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Times New Roman" w:eastAsia="方正小标宋简体" w:cs="Times New Roman"/>
          <w:b/>
          <w:bCs/>
          <w:sz w:val="44"/>
          <w:szCs w:val="44"/>
        </w:rPr>
      </w:pPr>
      <w:r>
        <w:rPr>
          <w:rFonts w:hint="eastAsia" w:ascii="方正小标宋简体" w:hAnsi="方正小标宋简体" w:eastAsia="方正小标宋简体" w:cs="方正小标宋简体"/>
          <w:sz w:val="44"/>
        </w:rPr>
        <w:t>浙江安防职业技术学院</w:t>
      </w:r>
      <w:r>
        <w:rPr>
          <w:rFonts w:hint="eastAsia" w:ascii="方正小标宋简体" w:hAnsi="Times New Roman" w:eastAsia="方正小标宋简体" w:cs="Times New Roman"/>
          <w:bCs/>
          <w:spacing w:val="15"/>
          <w:sz w:val="44"/>
          <w:szCs w:val="44"/>
        </w:rPr>
        <w:t>2019年部门预算</w:t>
      </w:r>
    </w:p>
    <w:p>
      <w:pPr>
        <w:spacing w:line="640" w:lineRule="exact"/>
        <w:ind w:firstLine="590" w:firstLineChars="196"/>
        <w:rPr>
          <w:rFonts w:hint="eastAsia" w:ascii="Times New Roman" w:hAnsi="Times New Roman" w:eastAsia="宋体" w:cs="Times New Roman"/>
          <w:b/>
          <w:bCs/>
          <w:color w:val="000000"/>
          <w:sz w:val="30"/>
          <w:szCs w:val="30"/>
        </w:rPr>
      </w:pPr>
    </w:p>
    <w:p>
      <w:pPr>
        <w:spacing w:line="640" w:lineRule="exact"/>
        <w:ind w:firstLine="627" w:firstLineChars="196"/>
        <w:rPr>
          <w:rFonts w:hint="eastAsia" w:ascii="黑体" w:hAnsi="Times New Roman" w:eastAsia="黑体" w:cs="Times New Roman"/>
          <w:bCs/>
          <w:color w:val="000000"/>
          <w:sz w:val="32"/>
          <w:szCs w:val="32"/>
        </w:rPr>
      </w:pPr>
      <w:r>
        <w:rPr>
          <w:rFonts w:hint="eastAsia" w:ascii="黑体" w:hAnsi="Times New Roman" w:eastAsia="黑体" w:cs="Times New Roman"/>
          <w:bCs/>
          <w:color w:val="000000"/>
          <w:sz w:val="32"/>
          <w:szCs w:val="32"/>
        </w:rPr>
        <w:t>一、浙江安防职业技术学院概况</w:t>
      </w:r>
    </w:p>
    <w:p>
      <w:pPr>
        <w:spacing w:line="640" w:lineRule="exact"/>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（一）主要职能。</w:t>
      </w:r>
    </w:p>
    <w:p>
      <w:pPr>
        <w:spacing w:line="640" w:lineRule="exact"/>
        <w:ind w:firstLine="627" w:firstLineChars="196"/>
        <w:rPr>
          <w:rFonts w:hint="eastAsia" w:ascii="仿宋" w:hAnsi="仿宋" w:eastAsia="仿宋" w:cs="仿宋"/>
          <w:b w:val="0"/>
          <w:bCs/>
          <w:sz w:val="32"/>
          <w:szCs w:val="32"/>
        </w:rPr>
      </w:pPr>
      <w:r>
        <w:rPr>
          <w:rFonts w:hint="eastAsia" w:ascii="仿宋" w:hAnsi="仿宋" w:eastAsia="仿宋" w:cs="仿宋"/>
          <w:b w:val="0"/>
          <w:bCs/>
          <w:sz w:val="32"/>
          <w:szCs w:val="32"/>
        </w:rPr>
        <w:t>浙江安防职业技术学院是一所国有公办普通全日制高职院校，创办于2013年6月，由温州市人民政府联合浙江省公安厅和公安部第一研究所举办，隶属温州市人民政府。</w:t>
      </w:r>
      <w:r>
        <w:rPr>
          <w:rFonts w:hint="eastAsia" w:ascii="仿宋" w:hAnsi="仿宋" w:eastAsia="仿宋" w:cs="仿宋"/>
          <w:b w:val="0"/>
          <w:bCs/>
          <w:sz w:val="32"/>
          <w:szCs w:val="32"/>
          <w:lang w:eastAsia="zh-CN"/>
        </w:rPr>
        <w:t>是</w:t>
      </w:r>
      <w:r>
        <w:rPr>
          <w:rFonts w:hint="eastAsia" w:ascii="仿宋" w:hAnsi="仿宋" w:eastAsia="仿宋" w:cs="仿宋"/>
          <w:b w:val="0"/>
          <w:bCs/>
          <w:sz w:val="32"/>
          <w:szCs w:val="32"/>
          <w:lang w:val="en-US" w:eastAsia="zh-CN"/>
        </w:rPr>
        <w:t>浙江省内唯一一所重点培养具有安防科技应用与推广能力，能够从事公共安全管理、安防工程建设、民航安全管理等高素质技术技能人才的高职院校。</w:t>
      </w:r>
    </w:p>
    <w:p>
      <w:pPr>
        <w:spacing w:line="640" w:lineRule="exact"/>
        <w:ind w:firstLine="627" w:firstLineChars="196"/>
        <w:rPr>
          <w:rFonts w:hint="eastAsia" w:ascii="仿宋" w:hAnsi="仿宋" w:eastAsia="仿宋" w:cs="仿宋"/>
          <w:sz w:val="32"/>
          <w:szCs w:val="32"/>
        </w:rPr>
      </w:pPr>
      <w:r>
        <w:rPr>
          <w:rFonts w:hint="eastAsia" w:ascii="仿宋" w:hAnsi="仿宋" w:eastAsia="仿宋" w:cs="仿宋"/>
          <w:b w:val="0"/>
          <w:bCs/>
          <w:sz w:val="32"/>
          <w:szCs w:val="32"/>
        </w:rPr>
        <w:t>学院现设“两系一部”：安全管理系、信息工程系和社科·基础部。</w:t>
      </w:r>
      <w:r>
        <w:rPr>
          <w:rFonts w:hint="eastAsia" w:ascii="仿宋" w:hAnsi="仿宋" w:eastAsia="仿宋" w:cs="仿宋"/>
          <w:b w:val="0"/>
          <w:bCs/>
          <w:sz w:val="32"/>
          <w:szCs w:val="32"/>
          <w:lang w:val="en-US" w:eastAsia="zh-CN"/>
        </w:rPr>
        <w:t>设有安全技术与管理、安全防范技术、物联网应用技术、大数据技术与应用、工程安全评价与监理、工程造价、消防工程技术、工业设计（信息交互设计方向）、室内艺术设计、空中乘务、民航安全技术管理、无人应用技术、虚拟现实应用技术、信息安全与管理等14个专业。其中安全防范技术、消防工程技术、工业设计等为浙江省特色专业，物联网应用技术为温州市重点专业。</w:t>
      </w:r>
    </w:p>
    <w:p>
      <w:pPr>
        <w:spacing w:line="640" w:lineRule="exact"/>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（二）部门预算单位构成。</w:t>
      </w:r>
    </w:p>
    <w:p>
      <w:pPr>
        <w:spacing w:line="640" w:lineRule="exact"/>
        <w:ind w:firstLine="627" w:firstLineChars="196"/>
        <w:rPr>
          <w:rFonts w:hint="eastAsia" w:ascii="仿宋_GB2312" w:eastAsia="仿宋_GB2312"/>
          <w:bCs/>
          <w:sz w:val="32"/>
          <w:szCs w:val="32"/>
          <w:lang w:eastAsia="zh-CN"/>
        </w:rPr>
      </w:pPr>
      <w:r>
        <w:rPr>
          <w:rFonts w:hint="eastAsia" w:ascii="仿宋_GB2312" w:eastAsia="仿宋_GB2312"/>
          <w:bCs/>
          <w:sz w:val="32"/>
          <w:szCs w:val="32"/>
        </w:rPr>
        <w:t>从预算单位构成看，浙江安防职业技术学院部门预算包括：</w:t>
      </w:r>
      <w:r>
        <w:rPr>
          <w:rFonts w:hint="eastAsia" w:ascii="仿宋_GB2312" w:eastAsia="仿宋_GB2312"/>
          <w:bCs/>
          <w:sz w:val="30"/>
          <w:szCs w:val="30"/>
        </w:rPr>
        <w:t>浙江安防职业技术学院</w:t>
      </w:r>
      <w:r>
        <w:rPr>
          <w:rFonts w:hint="eastAsia" w:ascii="仿宋_GB2312" w:eastAsia="仿宋_GB2312"/>
          <w:bCs/>
          <w:sz w:val="32"/>
          <w:szCs w:val="32"/>
        </w:rPr>
        <w:t>本级预算。</w:t>
      </w:r>
      <w:r>
        <w:rPr>
          <w:rFonts w:hint="eastAsia" w:ascii="仿宋_GB2312" w:eastAsia="仿宋_GB2312"/>
          <w:bCs/>
          <w:sz w:val="32"/>
          <w:szCs w:val="32"/>
          <w:lang w:eastAsia="zh-CN"/>
        </w:rPr>
        <w:t>我院无下属单位。</w:t>
      </w:r>
    </w:p>
    <w:p>
      <w:pPr>
        <w:spacing w:line="640" w:lineRule="exact"/>
        <w:rPr>
          <w:rFonts w:hint="eastAsia" w:ascii="楷体_GB2312" w:hAnsi="楷体_GB2312" w:eastAsia="楷体_GB2312" w:cs="楷体_GB2312"/>
          <w:b/>
          <w:bCs/>
          <w:color w:val="000000"/>
          <w:sz w:val="32"/>
          <w:szCs w:val="32"/>
        </w:rPr>
      </w:pPr>
      <w:r>
        <w:rPr>
          <w:rFonts w:hint="eastAsia" w:ascii="黑体" w:hAnsi="Times New Roman" w:eastAsia="黑体" w:cs="Times New Roman"/>
          <w:bCs/>
          <w:color w:val="000000"/>
          <w:sz w:val="32"/>
          <w:szCs w:val="32"/>
        </w:rPr>
        <w:t xml:space="preserve">    二、浙江安防职业技术学院2019年部门预算安排情况说明</w:t>
      </w:r>
      <w:r>
        <w:rPr>
          <w:rFonts w:hint="eastAsia" w:ascii="Times New Roman" w:hAnsi="Times New Roman" w:eastAsia="宋体" w:cs="Times New Roman"/>
          <w:color w:val="000000"/>
          <w:sz w:val="32"/>
          <w:szCs w:val="32"/>
        </w:rPr>
        <w:br w:type="textWrapping"/>
      </w:r>
      <w:r>
        <w:rPr>
          <w:rFonts w:hint="eastAsia" w:ascii="仿宋_GB2312" w:hAnsi="Times New Roman" w:eastAsia="仿宋_GB2312" w:cs="Times New Roman"/>
          <w:color w:val="000000"/>
          <w:sz w:val="30"/>
          <w:szCs w:val="30"/>
        </w:rPr>
        <w:t>　　</w:t>
      </w:r>
      <w:r>
        <w:rPr>
          <w:rFonts w:hint="eastAsia" w:ascii="楷体_GB2312" w:hAnsi="楷体_GB2312" w:eastAsia="楷体_GB2312" w:cs="楷体_GB2312"/>
          <w:b/>
          <w:bCs/>
          <w:color w:val="000000"/>
          <w:sz w:val="32"/>
          <w:szCs w:val="32"/>
        </w:rPr>
        <w:t>（一）关于浙江安防职业技术学院2019年收支预算情况的总体说明。</w:t>
      </w:r>
    </w:p>
    <w:p>
      <w:pPr>
        <w:spacing w:line="640" w:lineRule="exact"/>
        <w:ind w:firstLine="640" w:firstLineChars="200"/>
        <w:rPr>
          <w:rFonts w:hint="eastAsia" w:ascii="楷体_GB2312" w:hAnsi="楷体_GB2312" w:eastAsia="楷体_GB2312" w:cs="楷体_GB2312"/>
          <w:b/>
          <w:color w:val="000000"/>
          <w:sz w:val="32"/>
          <w:szCs w:val="32"/>
        </w:rPr>
      </w:pPr>
      <w:r>
        <w:rPr>
          <w:rFonts w:hint="eastAsia" w:ascii="仿宋_GB2312" w:eastAsia="仿宋_GB2312"/>
          <w:bCs/>
          <w:color w:val="000000"/>
          <w:sz w:val="32"/>
          <w:szCs w:val="32"/>
        </w:rPr>
        <w:t>按照</w:t>
      </w:r>
      <w:r>
        <w:rPr>
          <w:rFonts w:hint="eastAsia" w:ascii="仿宋_GB2312" w:eastAsia="仿宋_GB2312"/>
          <w:bCs/>
          <w:sz w:val="32"/>
          <w:szCs w:val="32"/>
        </w:rPr>
        <w:t>综合预算的原则，</w:t>
      </w:r>
      <w:r>
        <w:rPr>
          <w:rFonts w:hint="eastAsia" w:ascii="仿宋_GB2312" w:eastAsia="仿宋_GB2312"/>
          <w:color w:val="000000"/>
          <w:sz w:val="32"/>
          <w:szCs w:val="32"/>
        </w:rPr>
        <w:t>浙江安防职业技术学院所有收入和支出均纳入部门预算管理。收入包括：一般公共预算拨款收入、政府性基金预算收入、专户资金收入、单位结转；支出包括：教育支出，</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支出，住房保障支出，城乡社区支出</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eastAsia="zh-CN"/>
        </w:rPr>
        <w:t>浙江安防职业技术学院</w:t>
      </w:r>
      <w:r>
        <w:rPr>
          <w:rFonts w:hint="eastAsia" w:ascii="仿宋_GB2312" w:hAnsi="Times New Roman" w:eastAsia="仿宋_GB2312" w:cs="Times New Roman"/>
          <w:color w:val="000000"/>
          <w:sz w:val="32"/>
          <w:szCs w:val="32"/>
        </w:rPr>
        <w:t>2019年收支总预算</w:t>
      </w:r>
      <w:r>
        <w:rPr>
          <w:rFonts w:hint="eastAsia" w:ascii="仿宋_GB2312" w:hAnsi="Times New Roman" w:eastAsia="仿宋_GB2312" w:cs="Times New Roman"/>
          <w:color w:val="000000"/>
          <w:sz w:val="32"/>
          <w:szCs w:val="32"/>
          <w:lang w:val="en-US" w:eastAsia="zh-CN"/>
        </w:rPr>
        <w:t>7106.69</w:t>
      </w:r>
      <w:r>
        <w:rPr>
          <w:rFonts w:hint="eastAsia" w:ascii="仿宋_GB2312" w:hAnsi="Times New Roman" w:eastAsia="仿宋_GB2312" w:cs="Times New Roman"/>
          <w:color w:val="000000"/>
          <w:sz w:val="32"/>
          <w:szCs w:val="32"/>
        </w:rPr>
        <w:t>万元。</w:t>
      </w:r>
    </w:p>
    <w:p>
      <w:pPr>
        <w:spacing w:line="640" w:lineRule="exact"/>
        <w:ind w:firstLine="642"/>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（二）关于</w:t>
      </w:r>
      <w:r>
        <w:rPr>
          <w:rFonts w:hint="eastAsia" w:ascii="楷体_GB2312" w:hAnsi="楷体_GB2312" w:eastAsia="楷体_GB2312" w:cs="楷体_GB2312"/>
          <w:b/>
          <w:color w:val="000000"/>
          <w:sz w:val="32"/>
          <w:szCs w:val="32"/>
          <w:lang w:eastAsia="zh-CN"/>
        </w:rPr>
        <w:t>浙江安防职业技术学院</w:t>
      </w:r>
      <w:r>
        <w:rPr>
          <w:rFonts w:hint="eastAsia" w:ascii="楷体_GB2312" w:hAnsi="楷体_GB2312" w:eastAsia="楷体_GB2312" w:cs="楷体_GB2312"/>
          <w:b/>
          <w:color w:val="000000"/>
          <w:sz w:val="32"/>
          <w:szCs w:val="32"/>
        </w:rPr>
        <w:t>2019年收入预算情况说明。</w:t>
      </w:r>
    </w:p>
    <w:p>
      <w:pPr>
        <w:spacing w:line="640" w:lineRule="exact"/>
        <w:ind w:firstLine="642"/>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eastAsia="zh-CN"/>
        </w:rPr>
        <w:t>浙江安防职业技术学院</w:t>
      </w:r>
      <w:r>
        <w:rPr>
          <w:rFonts w:hint="eastAsia" w:ascii="仿宋_GB2312" w:hAnsi="Times New Roman" w:eastAsia="仿宋_GB2312" w:cs="Times New Roman"/>
          <w:color w:val="000000"/>
          <w:sz w:val="32"/>
          <w:szCs w:val="32"/>
        </w:rPr>
        <w:t>2019年收入预算</w:t>
      </w:r>
      <w:r>
        <w:rPr>
          <w:rFonts w:hint="eastAsia" w:ascii="仿宋_GB2312" w:hAnsi="Times New Roman" w:eastAsia="仿宋_GB2312" w:cs="Times New Roman"/>
          <w:color w:val="000000"/>
          <w:sz w:val="32"/>
          <w:szCs w:val="32"/>
          <w:lang w:val="en-US" w:eastAsia="zh-CN"/>
        </w:rPr>
        <w:t>7106.69</w:t>
      </w:r>
      <w:r>
        <w:rPr>
          <w:rFonts w:hint="eastAsia" w:ascii="仿宋_GB2312" w:hAnsi="Times New Roman" w:eastAsia="仿宋_GB2312" w:cs="Times New Roman"/>
          <w:color w:val="000000"/>
          <w:sz w:val="32"/>
          <w:szCs w:val="32"/>
        </w:rPr>
        <w:t>万元，其中：一般公共预算拨款收入</w:t>
      </w:r>
      <w:r>
        <w:rPr>
          <w:rFonts w:hint="eastAsia" w:ascii="仿宋_GB2312" w:hAnsi="Times New Roman" w:eastAsia="仿宋_GB2312" w:cs="Times New Roman"/>
          <w:color w:val="000000"/>
          <w:sz w:val="32"/>
          <w:szCs w:val="32"/>
          <w:lang w:val="en-US" w:eastAsia="zh-CN"/>
        </w:rPr>
        <w:t>3895.2</w:t>
      </w:r>
      <w:r>
        <w:rPr>
          <w:rFonts w:hint="eastAsia" w:ascii="仿宋_GB2312" w:hAnsi="Times New Roman" w:eastAsia="仿宋_GB2312" w:cs="Times New Roman"/>
          <w:color w:val="000000"/>
          <w:sz w:val="32"/>
          <w:szCs w:val="32"/>
        </w:rPr>
        <w:t>万元，占</w:t>
      </w:r>
      <w:r>
        <w:rPr>
          <w:rFonts w:hint="eastAsia" w:ascii="仿宋_GB2312" w:hAnsi="Times New Roman" w:eastAsia="仿宋_GB2312" w:cs="Times New Roman"/>
          <w:color w:val="000000"/>
          <w:sz w:val="32"/>
          <w:szCs w:val="32"/>
          <w:lang w:val="en-US" w:eastAsia="zh-CN"/>
        </w:rPr>
        <w:t>54.8</w:t>
      </w:r>
      <w:r>
        <w:rPr>
          <w:rFonts w:hint="eastAsia" w:ascii="仿宋_GB2312" w:hAnsi="Times New Roman" w:eastAsia="仿宋_GB2312" w:cs="Times New Roman"/>
          <w:color w:val="000000"/>
          <w:sz w:val="32"/>
          <w:szCs w:val="32"/>
        </w:rPr>
        <w:t>%；政府性基金收入</w:t>
      </w:r>
      <w:r>
        <w:rPr>
          <w:rFonts w:hint="eastAsia" w:ascii="仿宋_GB2312" w:hAnsi="Times New Roman" w:eastAsia="仿宋_GB2312" w:cs="Times New Roman"/>
          <w:color w:val="000000"/>
          <w:sz w:val="32"/>
          <w:szCs w:val="32"/>
          <w:lang w:val="en-US" w:eastAsia="zh-CN"/>
        </w:rPr>
        <w:t>1220.29</w:t>
      </w:r>
      <w:r>
        <w:rPr>
          <w:rFonts w:hint="eastAsia" w:ascii="仿宋_GB2312" w:hAnsi="Times New Roman" w:eastAsia="仿宋_GB2312" w:cs="Times New Roman"/>
          <w:color w:val="000000"/>
          <w:sz w:val="32"/>
          <w:szCs w:val="32"/>
        </w:rPr>
        <w:t>万元，占</w:t>
      </w:r>
      <w:r>
        <w:rPr>
          <w:rFonts w:hint="eastAsia" w:ascii="仿宋_GB2312" w:hAnsi="Times New Roman" w:eastAsia="仿宋_GB2312" w:cs="Times New Roman"/>
          <w:color w:val="000000"/>
          <w:sz w:val="32"/>
          <w:szCs w:val="32"/>
          <w:lang w:val="en-US" w:eastAsia="zh-CN"/>
        </w:rPr>
        <w:t>17.2</w:t>
      </w:r>
      <w:r>
        <w:rPr>
          <w:rFonts w:hint="eastAsia" w:ascii="仿宋_GB2312" w:hAnsi="Times New Roman" w:eastAsia="仿宋_GB2312" w:cs="Times New Roman"/>
          <w:color w:val="000000"/>
          <w:sz w:val="32"/>
          <w:szCs w:val="32"/>
        </w:rPr>
        <w:t>%；专户资金</w:t>
      </w:r>
      <w:r>
        <w:rPr>
          <w:rFonts w:hint="eastAsia" w:ascii="仿宋_GB2312" w:hAnsi="Times New Roman" w:eastAsia="仿宋_GB2312" w:cs="Times New Roman"/>
          <w:color w:val="000000"/>
          <w:sz w:val="32"/>
          <w:szCs w:val="32"/>
          <w:lang w:val="en-US" w:eastAsia="zh-CN"/>
        </w:rPr>
        <w:t>1991.2</w:t>
      </w:r>
      <w:r>
        <w:rPr>
          <w:rFonts w:hint="eastAsia" w:ascii="仿宋_GB2312" w:hAnsi="Times New Roman" w:eastAsia="仿宋_GB2312" w:cs="Times New Roman"/>
          <w:color w:val="000000"/>
          <w:sz w:val="32"/>
          <w:szCs w:val="32"/>
        </w:rPr>
        <w:t>万元，占</w:t>
      </w:r>
      <w:r>
        <w:rPr>
          <w:rFonts w:hint="eastAsia" w:ascii="仿宋_GB2312" w:hAnsi="Times New Roman" w:eastAsia="仿宋_GB2312" w:cs="Times New Roman"/>
          <w:color w:val="000000"/>
          <w:sz w:val="32"/>
          <w:szCs w:val="32"/>
          <w:lang w:val="en-US" w:eastAsia="zh-CN"/>
        </w:rPr>
        <w:t>28.0</w:t>
      </w:r>
      <w:r>
        <w:rPr>
          <w:rFonts w:hint="eastAsia" w:ascii="仿宋_GB2312" w:hAnsi="Times New Roman" w:eastAsia="仿宋_GB2312" w:cs="Times New Roman"/>
          <w:color w:val="000000"/>
          <w:sz w:val="32"/>
          <w:szCs w:val="32"/>
        </w:rPr>
        <w:t>%；单位结转</w:t>
      </w:r>
      <w:r>
        <w:rPr>
          <w:rFonts w:hint="eastAsia" w:ascii="仿宋_GB2312" w:hAnsi="Times New Roman" w:eastAsia="仿宋_GB2312" w:cs="Times New Roman"/>
          <w:color w:val="000000"/>
          <w:sz w:val="32"/>
          <w:szCs w:val="32"/>
          <w:lang w:val="en-US" w:eastAsia="zh-CN"/>
        </w:rPr>
        <w:t>0</w:t>
      </w:r>
      <w:r>
        <w:rPr>
          <w:rFonts w:hint="eastAsia" w:ascii="仿宋_GB2312" w:hAnsi="Times New Roman" w:eastAsia="仿宋_GB2312" w:cs="Times New Roman"/>
          <w:color w:val="000000"/>
          <w:sz w:val="32"/>
          <w:szCs w:val="32"/>
        </w:rPr>
        <w:t>万元，占</w:t>
      </w:r>
      <w:r>
        <w:rPr>
          <w:rFonts w:hint="eastAsia" w:ascii="仿宋_GB2312" w:hAnsi="Times New Roman" w:eastAsia="仿宋_GB2312" w:cs="Times New Roman"/>
          <w:color w:val="000000"/>
          <w:sz w:val="32"/>
          <w:szCs w:val="32"/>
          <w:lang w:val="en-US" w:eastAsia="zh-CN"/>
        </w:rPr>
        <w:t>0</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br w:type="textWrapping"/>
      </w:r>
      <w:r>
        <w:rPr>
          <w:rFonts w:hint="eastAsia" w:ascii="楷体_GB2312" w:hAnsi="楷体_GB2312" w:eastAsia="楷体_GB2312" w:cs="楷体_GB2312"/>
          <w:b/>
          <w:color w:val="000000"/>
          <w:sz w:val="32"/>
          <w:szCs w:val="32"/>
        </w:rPr>
        <w:t>　　（三）关于</w:t>
      </w:r>
      <w:r>
        <w:rPr>
          <w:rFonts w:hint="eastAsia" w:ascii="楷体_GB2312" w:hAnsi="楷体_GB2312" w:eastAsia="楷体_GB2312" w:cs="楷体_GB2312"/>
          <w:b/>
          <w:color w:val="000000"/>
          <w:sz w:val="32"/>
          <w:szCs w:val="32"/>
          <w:lang w:eastAsia="zh-CN"/>
        </w:rPr>
        <w:t>浙江安防职业技术学院</w:t>
      </w:r>
      <w:r>
        <w:rPr>
          <w:rFonts w:hint="eastAsia" w:ascii="楷体_GB2312" w:hAnsi="楷体_GB2312" w:eastAsia="楷体_GB2312" w:cs="楷体_GB2312"/>
          <w:b/>
          <w:color w:val="000000"/>
          <w:sz w:val="32"/>
          <w:szCs w:val="32"/>
        </w:rPr>
        <w:t>2019年支出预算情况说明。</w:t>
      </w:r>
      <w:r>
        <w:rPr>
          <w:rFonts w:hint="eastAsia" w:ascii="仿宋_GB2312" w:hAnsi="Times New Roman" w:eastAsia="仿宋_GB2312" w:cs="Times New Roman"/>
          <w:color w:val="000000"/>
          <w:sz w:val="32"/>
          <w:szCs w:val="32"/>
        </w:rPr>
        <w:br w:type="textWrapping"/>
      </w: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color w:val="000000"/>
          <w:sz w:val="32"/>
          <w:szCs w:val="32"/>
          <w:lang w:eastAsia="zh-CN"/>
        </w:rPr>
        <w:t>浙江安防职业技术学院</w:t>
      </w:r>
      <w:r>
        <w:rPr>
          <w:rFonts w:hint="eastAsia" w:ascii="仿宋_GB2312" w:hAnsi="Times New Roman" w:eastAsia="仿宋_GB2312" w:cs="Times New Roman"/>
          <w:color w:val="000000"/>
          <w:sz w:val="32"/>
          <w:szCs w:val="32"/>
        </w:rPr>
        <w:t>2019年支出预算</w:t>
      </w:r>
      <w:r>
        <w:rPr>
          <w:rFonts w:hint="eastAsia" w:ascii="仿宋_GB2312" w:hAnsi="Times New Roman" w:eastAsia="仿宋_GB2312" w:cs="Times New Roman"/>
          <w:color w:val="000000"/>
          <w:sz w:val="32"/>
          <w:szCs w:val="32"/>
          <w:lang w:val="en-US" w:eastAsia="zh-CN"/>
        </w:rPr>
        <w:t>7106.69</w:t>
      </w:r>
      <w:r>
        <w:rPr>
          <w:rFonts w:hint="eastAsia" w:ascii="仿宋_GB2312" w:hAnsi="Times New Roman" w:eastAsia="仿宋_GB2312" w:cs="Times New Roman"/>
          <w:color w:val="000000"/>
          <w:sz w:val="32"/>
          <w:szCs w:val="32"/>
        </w:rPr>
        <w:t>万元。</w:t>
      </w:r>
    </w:p>
    <w:p>
      <w:pPr>
        <w:spacing w:line="640" w:lineRule="exact"/>
        <w:ind w:firstLine="63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1.按支出功能分类，包括</w:t>
      </w:r>
      <w:r>
        <w:rPr>
          <w:rFonts w:hint="eastAsia" w:ascii="仿宋_GB2312" w:eastAsia="仿宋_GB2312"/>
          <w:color w:val="000000"/>
          <w:sz w:val="32"/>
          <w:szCs w:val="32"/>
        </w:rPr>
        <w:t>教育支出</w:t>
      </w:r>
      <w:r>
        <w:rPr>
          <w:rFonts w:hint="eastAsia" w:ascii="仿宋_GB2312" w:eastAsia="仿宋_GB2312"/>
          <w:color w:val="000000"/>
          <w:sz w:val="32"/>
          <w:szCs w:val="32"/>
          <w:lang w:val="en-US" w:eastAsia="zh-CN"/>
        </w:rPr>
        <w:t>5519.70万元、</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137.86万元、</w:t>
      </w:r>
      <w:r>
        <w:rPr>
          <w:rFonts w:hint="eastAsia" w:ascii="仿宋_GB2312" w:eastAsia="仿宋_GB2312"/>
          <w:color w:val="000000"/>
          <w:sz w:val="32"/>
          <w:szCs w:val="32"/>
        </w:rPr>
        <w:t>住房保障支出</w:t>
      </w:r>
      <w:r>
        <w:rPr>
          <w:rFonts w:hint="eastAsia" w:ascii="仿宋_GB2312" w:eastAsia="仿宋_GB2312"/>
          <w:color w:val="000000"/>
          <w:sz w:val="32"/>
          <w:szCs w:val="32"/>
          <w:lang w:val="en-US" w:eastAsia="zh-CN"/>
        </w:rPr>
        <w:t>228.84万元、</w:t>
      </w:r>
      <w:r>
        <w:rPr>
          <w:rFonts w:hint="eastAsia" w:ascii="仿宋_GB2312" w:eastAsia="仿宋_GB2312"/>
          <w:color w:val="000000"/>
          <w:sz w:val="32"/>
          <w:szCs w:val="32"/>
        </w:rPr>
        <w:t>城乡社区支出</w:t>
      </w:r>
      <w:r>
        <w:rPr>
          <w:rFonts w:hint="eastAsia" w:ascii="仿宋_GB2312" w:eastAsia="仿宋_GB2312"/>
          <w:color w:val="000000"/>
          <w:sz w:val="32"/>
          <w:szCs w:val="32"/>
          <w:lang w:val="en-US" w:eastAsia="zh-CN"/>
        </w:rPr>
        <w:t>1220.29万元</w:t>
      </w:r>
      <w:r>
        <w:rPr>
          <w:rFonts w:hint="eastAsia" w:ascii="仿宋_GB2312" w:hAnsi="Times New Roman" w:eastAsia="仿宋_GB2312" w:cs="Times New Roman"/>
          <w:color w:val="000000"/>
          <w:sz w:val="32"/>
          <w:szCs w:val="32"/>
        </w:rPr>
        <w:t>。</w:t>
      </w:r>
    </w:p>
    <w:p>
      <w:pPr>
        <w:spacing w:line="640" w:lineRule="exact"/>
        <w:ind w:firstLine="63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2.按支出用途分类，包括人员支出</w:t>
      </w:r>
      <w:r>
        <w:rPr>
          <w:rFonts w:hint="eastAsia" w:ascii="仿宋_GB2312" w:hAnsi="Times New Roman" w:eastAsia="仿宋_GB2312" w:cs="Times New Roman"/>
          <w:color w:val="000000"/>
          <w:sz w:val="32"/>
          <w:szCs w:val="32"/>
          <w:lang w:val="en-US" w:eastAsia="zh-CN"/>
        </w:rPr>
        <w:t>3232.65</w:t>
      </w:r>
      <w:r>
        <w:rPr>
          <w:rFonts w:hint="eastAsia" w:ascii="仿宋_GB2312" w:hAnsi="Times New Roman" w:eastAsia="仿宋_GB2312" w:cs="Times New Roman"/>
          <w:color w:val="000000"/>
          <w:sz w:val="32"/>
          <w:szCs w:val="32"/>
        </w:rPr>
        <w:t>万元，</w:t>
      </w:r>
      <w:r>
        <w:rPr>
          <w:rFonts w:hint="eastAsia" w:ascii="仿宋_GB2312" w:hAnsi="Times New Roman" w:eastAsia="仿宋_GB2312" w:cs="Times New Roman"/>
          <w:color w:val="000000"/>
          <w:sz w:val="32"/>
          <w:szCs w:val="32"/>
          <w:lang w:eastAsia="zh-CN"/>
        </w:rPr>
        <w:t>占</w:t>
      </w:r>
      <w:r>
        <w:rPr>
          <w:rFonts w:hint="eastAsia" w:ascii="仿宋_GB2312" w:hAnsi="Times New Roman" w:eastAsia="仿宋_GB2312" w:cs="Times New Roman"/>
          <w:color w:val="000000"/>
          <w:sz w:val="32"/>
          <w:szCs w:val="32"/>
          <w:lang w:val="en-US" w:eastAsia="zh-CN"/>
        </w:rPr>
        <w:t>45.5%；</w:t>
      </w:r>
      <w:r>
        <w:rPr>
          <w:rFonts w:hint="eastAsia" w:ascii="仿宋_GB2312" w:hAnsi="Times New Roman" w:eastAsia="仿宋_GB2312" w:cs="Times New Roman"/>
          <w:color w:val="000000"/>
          <w:sz w:val="32"/>
          <w:szCs w:val="32"/>
        </w:rPr>
        <w:t>公用经费支出</w:t>
      </w:r>
      <w:r>
        <w:rPr>
          <w:rFonts w:hint="eastAsia" w:ascii="仿宋_GB2312" w:hAnsi="Times New Roman" w:eastAsia="仿宋_GB2312" w:cs="Times New Roman"/>
          <w:color w:val="000000"/>
          <w:sz w:val="32"/>
          <w:szCs w:val="32"/>
          <w:lang w:val="en-US" w:eastAsia="zh-CN"/>
        </w:rPr>
        <w:t>384.2</w:t>
      </w:r>
      <w:r>
        <w:rPr>
          <w:rFonts w:hint="eastAsia" w:ascii="仿宋_GB2312" w:hAnsi="Times New Roman" w:eastAsia="仿宋_GB2312" w:cs="Times New Roman"/>
          <w:color w:val="000000"/>
          <w:sz w:val="32"/>
          <w:szCs w:val="32"/>
        </w:rPr>
        <w:t>万元</w:t>
      </w:r>
      <w:r>
        <w:rPr>
          <w:rFonts w:hint="eastAsia" w:ascii="仿宋_GB2312" w:hAnsi="Times New Roman" w:eastAsia="仿宋_GB2312" w:cs="Times New Roman"/>
          <w:color w:val="000000"/>
          <w:sz w:val="32"/>
          <w:szCs w:val="32"/>
          <w:lang w:val="en-US" w:eastAsia="zh-CN"/>
        </w:rPr>
        <w:t>，占5.4%</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项目支出</w:t>
      </w:r>
      <w:r>
        <w:rPr>
          <w:rFonts w:hint="eastAsia" w:ascii="仿宋_GB2312" w:hAnsi="Times New Roman" w:eastAsia="仿宋_GB2312" w:cs="Times New Roman"/>
          <w:color w:val="000000"/>
          <w:sz w:val="32"/>
          <w:szCs w:val="32"/>
          <w:lang w:val="en-US" w:eastAsia="zh-CN"/>
        </w:rPr>
        <w:t>3489.84</w:t>
      </w:r>
      <w:r>
        <w:rPr>
          <w:rFonts w:hint="eastAsia" w:ascii="仿宋_GB2312" w:hAnsi="Times New Roman" w:eastAsia="仿宋_GB2312" w:cs="Times New Roman"/>
          <w:color w:val="000000"/>
          <w:sz w:val="32"/>
          <w:szCs w:val="32"/>
        </w:rPr>
        <w:t>万元</w:t>
      </w:r>
      <w:r>
        <w:rPr>
          <w:rFonts w:hint="eastAsia" w:ascii="仿宋_GB2312" w:hAnsi="Times New Roman" w:eastAsia="仿宋_GB2312" w:cs="Times New Roman"/>
          <w:color w:val="000000"/>
          <w:sz w:val="32"/>
          <w:szCs w:val="32"/>
          <w:lang w:val="en-US" w:eastAsia="zh-CN"/>
        </w:rPr>
        <w:t>，占49.1%</w:t>
      </w:r>
      <w:r>
        <w:rPr>
          <w:rFonts w:hint="eastAsia" w:ascii="仿宋_GB2312" w:hAnsi="Times New Roman" w:eastAsia="仿宋_GB2312" w:cs="Times New Roman"/>
          <w:color w:val="000000"/>
          <w:sz w:val="32"/>
          <w:szCs w:val="32"/>
        </w:rPr>
        <w:t>。</w:t>
      </w:r>
    </w:p>
    <w:p>
      <w:pPr>
        <w:spacing w:line="640" w:lineRule="exact"/>
        <w:ind w:firstLine="630" w:firstLineChars="196"/>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（四）关于</w:t>
      </w:r>
      <w:r>
        <w:rPr>
          <w:rFonts w:hint="eastAsia" w:ascii="楷体_GB2312" w:hAnsi="楷体_GB2312" w:eastAsia="楷体_GB2312" w:cs="楷体_GB2312"/>
          <w:b/>
          <w:color w:val="000000"/>
          <w:sz w:val="32"/>
          <w:szCs w:val="32"/>
          <w:lang w:eastAsia="zh-CN"/>
        </w:rPr>
        <w:t>浙江安防职业技术学院</w:t>
      </w:r>
      <w:r>
        <w:rPr>
          <w:rFonts w:hint="eastAsia" w:ascii="楷体_GB2312" w:hAnsi="楷体_GB2312" w:eastAsia="楷体_GB2312" w:cs="楷体_GB2312"/>
          <w:b/>
          <w:color w:val="000000"/>
          <w:sz w:val="32"/>
          <w:szCs w:val="32"/>
        </w:rPr>
        <w:t>2019年财政拨款收支预算情况的总体说明。</w:t>
      </w:r>
    </w:p>
    <w:p>
      <w:pPr>
        <w:spacing w:line="640" w:lineRule="exact"/>
        <w:ind w:firstLine="64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eastAsia="zh-CN"/>
        </w:rPr>
        <w:t>浙江安防职业技术学院</w:t>
      </w:r>
      <w:r>
        <w:rPr>
          <w:rFonts w:hint="eastAsia" w:ascii="仿宋_GB2312" w:hAnsi="Times New Roman" w:eastAsia="仿宋_GB2312" w:cs="Times New Roman"/>
          <w:color w:val="000000"/>
          <w:sz w:val="32"/>
          <w:szCs w:val="32"/>
        </w:rPr>
        <w:t>2019年财政拨款收支总预算</w:t>
      </w:r>
      <w:r>
        <w:rPr>
          <w:rFonts w:hint="eastAsia" w:ascii="仿宋_GB2312" w:hAnsi="Times New Roman" w:eastAsia="仿宋_GB2312" w:cs="Times New Roman"/>
          <w:color w:val="000000"/>
          <w:sz w:val="32"/>
          <w:szCs w:val="32"/>
          <w:lang w:val="en-US" w:eastAsia="zh-CN"/>
        </w:rPr>
        <w:t>5115.49</w:t>
      </w:r>
      <w:r>
        <w:rPr>
          <w:rFonts w:hint="eastAsia" w:ascii="仿宋_GB2312" w:hAnsi="Times New Roman" w:eastAsia="仿宋_GB2312" w:cs="Times New Roman"/>
          <w:color w:val="000000"/>
          <w:sz w:val="32"/>
          <w:szCs w:val="32"/>
        </w:rPr>
        <w:t>万元。包括：一般公共预算拨款收入</w:t>
      </w:r>
      <w:r>
        <w:rPr>
          <w:rFonts w:hint="eastAsia" w:ascii="仿宋_GB2312" w:hAnsi="Times New Roman" w:eastAsia="仿宋_GB2312" w:cs="Times New Roman"/>
          <w:color w:val="000000"/>
          <w:sz w:val="32"/>
          <w:szCs w:val="32"/>
          <w:lang w:val="en-US" w:eastAsia="zh-CN"/>
        </w:rPr>
        <w:t>3895.2</w:t>
      </w:r>
      <w:r>
        <w:rPr>
          <w:rFonts w:hint="eastAsia" w:ascii="仿宋_GB2312" w:hAnsi="Times New Roman" w:eastAsia="仿宋_GB2312" w:cs="Times New Roman"/>
          <w:color w:val="000000"/>
          <w:sz w:val="32"/>
          <w:szCs w:val="32"/>
        </w:rPr>
        <w:t>万元、政府性基金收入</w:t>
      </w:r>
      <w:r>
        <w:rPr>
          <w:rFonts w:hint="eastAsia" w:ascii="仿宋_GB2312" w:hAnsi="Times New Roman" w:eastAsia="仿宋_GB2312" w:cs="Times New Roman"/>
          <w:color w:val="000000"/>
          <w:sz w:val="32"/>
          <w:szCs w:val="32"/>
          <w:lang w:val="en-US" w:eastAsia="zh-CN"/>
        </w:rPr>
        <w:t>1220.29</w:t>
      </w:r>
      <w:r>
        <w:rPr>
          <w:rFonts w:hint="eastAsia" w:ascii="仿宋_GB2312" w:hAnsi="Times New Roman" w:eastAsia="仿宋_GB2312" w:cs="Times New Roman"/>
          <w:color w:val="000000"/>
          <w:sz w:val="32"/>
          <w:szCs w:val="32"/>
        </w:rPr>
        <w:t>万元；支出包括：</w:t>
      </w:r>
      <w:r>
        <w:rPr>
          <w:rFonts w:hint="eastAsia" w:ascii="仿宋_GB2312" w:eastAsia="仿宋_GB2312"/>
          <w:color w:val="000000"/>
          <w:sz w:val="32"/>
          <w:szCs w:val="32"/>
        </w:rPr>
        <w:t>教育支出</w:t>
      </w:r>
      <w:r>
        <w:rPr>
          <w:rFonts w:hint="eastAsia" w:ascii="仿宋_GB2312" w:eastAsia="仿宋_GB2312"/>
          <w:color w:val="000000"/>
          <w:sz w:val="32"/>
          <w:szCs w:val="32"/>
          <w:lang w:val="en-US" w:eastAsia="zh-CN"/>
        </w:rPr>
        <w:t>3528.5万元、</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137.86万元、</w:t>
      </w:r>
      <w:r>
        <w:rPr>
          <w:rFonts w:hint="eastAsia" w:ascii="仿宋_GB2312" w:eastAsia="仿宋_GB2312"/>
          <w:color w:val="000000"/>
          <w:sz w:val="32"/>
          <w:szCs w:val="32"/>
        </w:rPr>
        <w:t>住房保障支出</w:t>
      </w:r>
      <w:r>
        <w:rPr>
          <w:rFonts w:hint="eastAsia" w:ascii="仿宋_GB2312" w:eastAsia="仿宋_GB2312"/>
          <w:color w:val="000000"/>
          <w:sz w:val="32"/>
          <w:szCs w:val="32"/>
          <w:lang w:val="en-US" w:eastAsia="zh-CN"/>
        </w:rPr>
        <w:t>228.84万元、</w:t>
      </w:r>
      <w:r>
        <w:rPr>
          <w:rFonts w:hint="eastAsia" w:ascii="仿宋_GB2312" w:eastAsia="仿宋_GB2312"/>
          <w:color w:val="000000"/>
          <w:sz w:val="32"/>
          <w:szCs w:val="32"/>
        </w:rPr>
        <w:t>城乡社区支出</w:t>
      </w:r>
      <w:r>
        <w:rPr>
          <w:rFonts w:hint="eastAsia" w:ascii="仿宋_GB2312" w:eastAsia="仿宋_GB2312"/>
          <w:color w:val="000000"/>
          <w:sz w:val="32"/>
          <w:szCs w:val="32"/>
          <w:lang w:val="en-US" w:eastAsia="zh-CN"/>
        </w:rPr>
        <w:t>1220.29万元</w:t>
      </w:r>
      <w:r>
        <w:rPr>
          <w:rFonts w:hint="eastAsia" w:ascii="仿宋_GB2312" w:hAnsi="Times New Roman" w:eastAsia="仿宋_GB2312" w:cs="Times New Roman"/>
          <w:color w:val="000000"/>
          <w:sz w:val="32"/>
          <w:szCs w:val="32"/>
        </w:rPr>
        <w:t>。</w:t>
      </w:r>
    </w:p>
    <w:p>
      <w:pPr>
        <w:numPr>
          <w:ilvl w:val="0"/>
          <w:numId w:val="1"/>
        </w:numPr>
        <w:spacing w:line="640" w:lineRule="exact"/>
        <w:ind w:firstLine="640"/>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关于</w:t>
      </w:r>
      <w:r>
        <w:rPr>
          <w:rFonts w:hint="eastAsia" w:ascii="楷体_GB2312" w:hAnsi="楷体_GB2312" w:eastAsia="楷体_GB2312" w:cs="楷体_GB2312"/>
          <w:b/>
          <w:color w:val="000000"/>
          <w:sz w:val="32"/>
          <w:szCs w:val="32"/>
          <w:lang w:eastAsia="zh-CN"/>
        </w:rPr>
        <w:t>浙江安防职业技术学院</w:t>
      </w:r>
      <w:r>
        <w:rPr>
          <w:rFonts w:hint="eastAsia" w:ascii="楷体_GB2312" w:hAnsi="楷体_GB2312" w:eastAsia="楷体_GB2312" w:cs="楷体_GB2312"/>
          <w:b/>
          <w:color w:val="000000"/>
          <w:sz w:val="32"/>
          <w:szCs w:val="32"/>
        </w:rPr>
        <w:t>2019年一般公共预算当年拨款情况说明。</w:t>
      </w:r>
    </w:p>
    <w:p>
      <w:pPr>
        <w:spacing w:line="640" w:lineRule="exact"/>
        <w:ind w:firstLine="642"/>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1.一般公共预算当年拨款规模变化情况。</w:t>
      </w:r>
    </w:p>
    <w:p>
      <w:pPr>
        <w:spacing w:line="640" w:lineRule="exact"/>
        <w:ind w:firstLine="642"/>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eastAsia="zh-CN"/>
        </w:rPr>
        <w:t>浙江安防职业技术学院</w:t>
      </w:r>
      <w:r>
        <w:rPr>
          <w:rFonts w:hint="eastAsia" w:ascii="仿宋_GB2312" w:hAnsi="Times New Roman" w:eastAsia="仿宋_GB2312" w:cs="Times New Roman"/>
          <w:color w:val="000000"/>
          <w:sz w:val="32"/>
          <w:szCs w:val="32"/>
        </w:rPr>
        <w:t>2019年一般公共预算当年拨款</w:t>
      </w:r>
      <w:r>
        <w:rPr>
          <w:rFonts w:hint="eastAsia" w:ascii="仿宋_GB2312" w:hAnsi="Times New Roman" w:eastAsia="仿宋_GB2312" w:cs="Times New Roman"/>
          <w:color w:val="000000"/>
          <w:sz w:val="32"/>
          <w:szCs w:val="32"/>
          <w:lang w:val="en-US" w:eastAsia="zh-CN"/>
        </w:rPr>
        <w:t>3895.2</w:t>
      </w:r>
      <w:r>
        <w:rPr>
          <w:rFonts w:hint="eastAsia" w:ascii="仿宋_GB2312" w:hAnsi="Times New Roman" w:eastAsia="仿宋_GB2312" w:cs="Times New Roman"/>
          <w:color w:val="000000"/>
          <w:sz w:val="32"/>
          <w:szCs w:val="32"/>
        </w:rPr>
        <w:t>万元，比2018年执行数增加</w:t>
      </w:r>
      <w:r>
        <w:rPr>
          <w:rFonts w:hint="eastAsia" w:ascii="仿宋_GB2312" w:hAnsi="Times New Roman" w:eastAsia="仿宋_GB2312" w:cs="Times New Roman"/>
          <w:color w:val="000000"/>
          <w:sz w:val="32"/>
          <w:szCs w:val="32"/>
          <w:lang w:val="en-US" w:eastAsia="zh-CN"/>
        </w:rPr>
        <w:t>1046.2</w:t>
      </w:r>
      <w:r>
        <w:rPr>
          <w:rFonts w:hint="eastAsia" w:ascii="仿宋_GB2312" w:hAnsi="Times New Roman" w:eastAsia="仿宋_GB2312" w:cs="Times New Roman"/>
          <w:color w:val="000000"/>
          <w:sz w:val="32"/>
          <w:szCs w:val="32"/>
        </w:rPr>
        <w:t>万元，主要是</w:t>
      </w:r>
      <w:r>
        <w:rPr>
          <w:rFonts w:hint="eastAsia" w:ascii="仿宋_GB2312" w:eastAsia="仿宋_GB2312"/>
          <w:color w:val="000000"/>
          <w:sz w:val="32"/>
          <w:szCs w:val="32"/>
        </w:rPr>
        <w:t>我院办学规模的扩大，教职工人数增长</w:t>
      </w:r>
      <w:r>
        <w:rPr>
          <w:rFonts w:hint="eastAsia" w:ascii="仿宋_GB2312" w:hAnsi="Times New Roman" w:eastAsia="仿宋_GB2312" w:cs="Times New Roman"/>
          <w:color w:val="000000"/>
          <w:sz w:val="32"/>
          <w:szCs w:val="32"/>
        </w:rPr>
        <w:t>。</w:t>
      </w:r>
    </w:p>
    <w:p>
      <w:pPr>
        <w:spacing w:line="640" w:lineRule="exact"/>
        <w:ind w:firstLine="642"/>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2.一般公共预算当年拨款结构情况。</w:t>
      </w:r>
    </w:p>
    <w:p>
      <w:pPr>
        <w:spacing w:line="6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w:t>
      </w:r>
      <w:r>
        <w:rPr>
          <w:rFonts w:hint="eastAsia" w:ascii="仿宋_GB2312" w:eastAsia="仿宋_GB2312"/>
          <w:color w:val="000000"/>
          <w:sz w:val="32"/>
          <w:szCs w:val="32"/>
        </w:rPr>
        <w:t>教育支出</w:t>
      </w:r>
      <w:r>
        <w:rPr>
          <w:rFonts w:hint="eastAsia" w:ascii="仿宋_GB2312" w:eastAsia="仿宋_GB2312"/>
          <w:color w:val="000000"/>
          <w:sz w:val="32"/>
          <w:szCs w:val="32"/>
          <w:lang w:val="en-US" w:eastAsia="zh-CN"/>
        </w:rPr>
        <w:t>3528.5万元，占90.6%；</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137.86万元，占3.5%；</w:t>
      </w:r>
      <w:r>
        <w:rPr>
          <w:rFonts w:hint="eastAsia" w:ascii="仿宋_GB2312" w:eastAsia="仿宋_GB2312"/>
          <w:color w:val="000000"/>
          <w:sz w:val="32"/>
          <w:szCs w:val="32"/>
        </w:rPr>
        <w:t>住房保障支出</w:t>
      </w:r>
      <w:r>
        <w:rPr>
          <w:rFonts w:hint="eastAsia" w:ascii="仿宋_GB2312" w:eastAsia="仿宋_GB2312"/>
          <w:color w:val="000000"/>
          <w:sz w:val="32"/>
          <w:szCs w:val="32"/>
          <w:lang w:val="en-US" w:eastAsia="zh-CN"/>
        </w:rPr>
        <w:t>228.84万元，占5.9%</w:t>
      </w:r>
      <w:r>
        <w:rPr>
          <w:rFonts w:hint="eastAsia" w:ascii="仿宋_GB2312" w:hAnsi="Times New Roman" w:eastAsia="仿宋_GB2312" w:cs="Times New Roman"/>
          <w:color w:val="000000"/>
          <w:sz w:val="32"/>
          <w:szCs w:val="32"/>
        </w:rPr>
        <w:t>。</w:t>
      </w:r>
    </w:p>
    <w:p>
      <w:pPr>
        <w:spacing w:line="6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w:t>
      </w:r>
      <w:r>
        <w:rPr>
          <w:rFonts w:hint="eastAsia" w:ascii="楷体_GB2312" w:hAnsi="楷体_GB2312" w:eastAsia="楷体_GB2312" w:cs="楷体_GB2312"/>
          <w:b/>
          <w:color w:val="000000"/>
          <w:sz w:val="32"/>
          <w:szCs w:val="32"/>
        </w:rPr>
        <w:t xml:space="preserve">  3.一般公共预算当年拨款具体使用情况。</w:t>
      </w:r>
    </w:p>
    <w:p>
      <w:pPr>
        <w:spacing w:line="540" w:lineRule="exact"/>
        <w:ind w:firstLine="640"/>
        <w:jc w:val="left"/>
        <w:rPr>
          <w:rFonts w:hint="eastAsia" w:ascii="仿宋_GB2312" w:eastAsia="仿宋_GB2312"/>
          <w:color w:val="000000"/>
          <w:sz w:val="32"/>
          <w:szCs w:val="32"/>
        </w:rPr>
      </w:pPr>
      <w:r>
        <w:rPr>
          <w:rFonts w:hint="eastAsia" w:ascii="仿宋_GB2312" w:eastAsia="仿宋_GB2312"/>
          <w:color w:val="000000"/>
          <w:sz w:val="32"/>
          <w:szCs w:val="32"/>
        </w:rPr>
        <w:t>（1）教育支出（类）职业教育（款）高等职业教育（项）事务</w:t>
      </w:r>
      <w:r>
        <w:rPr>
          <w:rFonts w:hint="eastAsia" w:ascii="仿宋_GB2312" w:eastAsia="仿宋_GB2312"/>
          <w:color w:val="000000"/>
          <w:sz w:val="32"/>
          <w:szCs w:val="32"/>
          <w:lang w:val="en-US" w:eastAsia="zh-CN"/>
        </w:rPr>
        <w:t>3528.5</w:t>
      </w:r>
      <w:r>
        <w:rPr>
          <w:rFonts w:hint="eastAsia" w:ascii="仿宋_GB2312" w:eastAsia="仿宋_GB2312"/>
          <w:color w:val="000000"/>
          <w:sz w:val="32"/>
          <w:szCs w:val="32"/>
        </w:rPr>
        <w:t>万元，主要用于人员基本支出，社会保障补助支出，公用经费、单项定额经费以及以部分项目经费（</w:t>
      </w:r>
      <w:r>
        <w:rPr>
          <w:rFonts w:hint="eastAsia" w:ascii="仿宋_GB2312" w:eastAsia="仿宋_GB2312"/>
          <w:color w:val="000000"/>
          <w:sz w:val="32"/>
          <w:szCs w:val="32"/>
          <w:lang w:eastAsia="zh-CN"/>
        </w:rPr>
        <w:t>教学教研经</w:t>
      </w:r>
      <w:r>
        <w:rPr>
          <w:rFonts w:hint="eastAsia" w:ascii="仿宋_GB2312" w:eastAsia="仿宋_GB2312"/>
          <w:color w:val="000000"/>
          <w:sz w:val="32"/>
          <w:szCs w:val="32"/>
        </w:rPr>
        <w:t>费、</w:t>
      </w:r>
      <w:r>
        <w:rPr>
          <w:rFonts w:hint="eastAsia" w:ascii="仿宋_GB2312" w:eastAsia="仿宋_GB2312"/>
          <w:color w:val="000000"/>
          <w:sz w:val="32"/>
          <w:szCs w:val="32"/>
          <w:lang w:eastAsia="zh-CN"/>
        </w:rPr>
        <w:t>实训室建设</w:t>
      </w:r>
      <w:r>
        <w:rPr>
          <w:rFonts w:hint="eastAsia" w:ascii="仿宋_GB2312" w:eastAsia="仿宋_GB2312"/>
          <w:color w:val="000000"/>
          <w:sz w:val="32"/>
          <w:szCs w:val="32"/>
        </w:rPr>
        <w:t>经费、</w:t>
      </w:r>
      <w:r>
        <w:rPr>
          <w:rFonts w:hint="eastAsia" w:ascii="仿宋_GB2312" w:eastAsia="仿宋_GB2312"/>
          <w:color w:val="000000"/>
          <w:sz w:val="32"/>
          <w:szCs w:val="32"/>
          <w:lang w:eastAsia="zh-CN"/>
        </w:rPr>
        <w:t>水电</w:t>
      </w:r>
      <w:r>
        <w:rPr>
          <w:rFonts w:hint="eastAsia" w:ascii="仿宋_GB2312" w:eastAsia="仿宋_GB2312"/>
          <w:color w:val="000000"/>
          <w:sz w:val="32"/>
          <w:szCs w:val="32"/>
        </w:rPr>
        <w:t>费</w:t>
      </w:r>
      <w:r>
        <w:rPr>
          <w:rFonts w:hint="eastAsia" w:ascii="仿宋_GB2312" w:eastAsia="仿宋_GB2312"/>
          <w:color w:val="000000"/>
          <w:sz w:val="32"/>
          <w:szCs w:val="32"/>
          <w:lang w:eastAsia="zh-CN"/>
        </w:rPr>
        <w:t>、物业管理费</w:t>
      </w:r>
      <w:r>
        <w:rPr>
          <w:rFonts w:hint="eastAsia" w:ascii="仿宋_GB2312" w:eastAsia="仿宋_GB2312"/>
          <w:color w:val="000000"/>
          <w:sz w:val="32"/>
          <w:szCs w:val="32"/>
        </w:rPr>
        <w:t>等）等支出。</w:t>
      </w:r>
    </w:p>
    <w:p>
      <w:pPr>
        <w:spacing w:line="540" w:lineRule="exact"/>
        <w:ind w:firstLine="640"/>
        <w:jc w:val="left"/>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支出（类）行政事业单位医疗（款）事业单位医疗（项）事务</w:t>
      </w:r>
      <w:r>
        <w:rPr>
          <w:rFonts w:hint="eastAsia" w:ascii="仿宋_GB2312" w:eastAsia="仿宋_GB2312"/>
          <w:color w:val="000000"/>
          <w:sz w:val="32"/>
          <w:szCs w:val="32"/>
          <w:lang w:val="en-US" w:eastAsia="zh-CN"/>
        </w:rPr>
        <w:t>137.86</w:t>
      </w:r>
      <w:r>
        <w:rPr>
          <w:rFonts w:hint="eastAsia" w:ascii="仿宋_GB2312" w:eastAsia="仿宋_GB2312"/>
          <w:color w:val="000000"/>
          <w:sz w:val="32"/>
          <w:szCs w:val="32"/>
        </w:rPr>
        <w:t>万元，主要用于我院在编教职工医疗保险费用支出。</w:t>
      </w:r>
    </w:p>
    <w:p>
      <w:pPr>
        <w:spacing w:line="540" w:lineRule="exact"/>
        <w:ind w:firstLine="640"/>
        <w:jc w:val="left"/>
        <w:rPr>
          <w:rFonts w:hint="eastAsia" w:ascii="仿宋_GB2312" w:eastAsia="仿宋_GB2312"/>
          <w:color w:val="000000"/>
          <w:sz w:val="32"/>
          <w:szCs w:val="32"/>
          <w:lang w:eastAsia="zh-CN"/>
        </w:rPr>
      </w:pPr>
      <w:r>
        <w:rPr>
          <w:rFonts w:hint="eastAsia" w:ascii="仿宋_GB2312" w:eastAsia="仿宋_GB2312"/>
          <w:color w:val="000000"/>
          <w:sz w:val="32"/>
          <w:szCs w:val="32"/>
        </w:rPr>
        <w:t>（3）住房保障支出（类）住房改革支出（款）住房公积金（项）事务</w:t>
      </w:r>
      <w:r>
        <w:rPr>
          <w:rFonts w:hint="eastAsia" w:ascii="仿宋_GB2312" w:eastAsia="仿宋_GB2312"/>
          <w:color w:val="000000"/>
          <w:sz w:val="32"/>
          <w:szCs w:val="32"/>
          <w:lang w:val="en-US" w:eastAsia="zh-CN"/>
        </w:rPr>
        <w:t>177.36</w:t>
      </w:r>
      <w:r>
        <w:rPr>
          <w:rFonts w:hint="eastAsia" w:ascii="仿宋_GB2312" w:eastAsia="仿宋_GB2312"/>
          <w:color w:val="000000"/>
          <w:sz w:val="32"/>
          <w:szCs w:val="32"/>
        </w:rPr>
        <w:t>万元，主要用于在编教职工住房公积金支出</w:t>
      </w:r>
      <w:r>
        <w:rPr>
          <w:rFonts w:hint="eastAsia" w:ascii="仿宋_GB2312" w:eastAsia="仿宋_GB2312"/>
          <w:color w:val="000000"/>
          <w:sz w:val="32"/>
          <w:szCs w:val="32"/>
          <w:lang w:eastAsia="zh-CN"/>
        </w:rPr>
        <w:t>。</w:t>
      </w:r>
    </w:p>
    <w:p>
      <w:pPr>
        <w:spacing w:line="540" w:lineRule="exact"/>
        <w:ind w:firstLine="640"/>
        <w:jc w:val="left"/>
        <w:rPr>
          <w:rFonts w:hint="eastAsia" w:ascii="楷体_GB2312" w:hAnsi="楷体_GB2312" w:eastAsia="楷体_GB2312" w:cs="楷体_GB2312"/>
          <w:b/>
          <w:color w:val="000000"/>
          <w:sz w:val="32"/>
          <w:szCs w:val="32"/>
        </w:rPr>
      </w:pPr>
      <w:r>
        <w:rPr>
          <w:rFonts w:hint="eastAsia" w:ascii="仿宋_GB2312" w:eastAsia="仿宋_GB2312"/>
          <w:color w:val="000000"/>
          <w:sz w:val="32"/>
          <w:szCs w:val="32"/>
        </w:rPr>
        <w:t>（4）住房保障支出（类）住房改革支出（款）购房补贴（项）事务</w:t>
      </w:r>
      <w:r>
        <w:rPr>
          <w:rFonts w:hint="eastAsia" w:ascii="仿宋_GB2312" w:eastAsia="仿宋_GB2312"/>
          <w:color w:val="000000"/>
          <w:sz w:val="32"/>
          <w:szCs w:val="32"/>
          <w:lang w:val="en-US" w:eastAsia="zh-CN"/>
        </w:rPr>
        <w:t>51.48</w:t>
      </w:r>
      <w:r>
        <w:rPr>
          <w:rFonts w:hint="eastAsia" w:ascii="仿宋_GB2312" w:eastAsia="仿宋_GB2312"/>
          <w:color w:val="000000"/>
          <w:sz w:val="32"/>
          <w:szCs w:val="32"/>
        </w:rPr>
        <w:t>万元，主要用于在编教职工住房公积金补贴支出。</w:t>
      </w:r>
      <w:r>
        <w:rPr>
          <w:rFonts w:hint="eastAsia" w:ascii="楷体_GB2312" w:hAnsi="楷体_GB2312" w:eastAsia="楷体_GB2312" w:cs="楷体_GB2312"/>
          <w:b/>
          <w:color w:val="000000"/>
          <w:sz w:val="32"/>
          <w:szCs w:val="32"/>
        </w:rPr>
        <w:t xml:space="preserve"> （六）关于</w:t>
      </w:r>
      <w:r>
        <w:rPr>
          <w:rFonts w:hint="eastAsia" w:ascii="楷体_GB2312" w:hAnsi="楷体_GB2312" w:eastAsia="楷体_GB2312" w:cs="楷体_GB2312"/>
          <w:b/>
          <w:color w:val="000000"/>
          <w:sz w:val="32"/>
          <w:szCs w:val="32"/>
          <w:lang w:eastAsia="zh-CN"/>
        </w:rPr>
        <w:t>浙江安防职业技术学院</w:t>
      </w:r>
      <w:r>
        <w:rPr>
          <w:rFonts w:hint="eastAsia" w:ascii="楷体_GB2312" w:hAnsi="楷体_GB2312" w:eastAsia="楷体_GB2312" w:cs="楷体_GB2312"/>
          <w:b/>
          <w:color w:val="000000"/>
          <w:sz w:val="32"/>
          <w:szCs w:val="32"/>
        </w:rPr>
        <w:t>2019年一般公共预算基本支出情况说明。</w:t>
      </w:r>
    </w:p>
    <w:p>
      <w:pPr>
        <w:spacing w:line="640" w:lineRule="exact"/>
        <w:ind w:firstLine="642"/>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eastAsia="zh-CN"/>
        </w:rPr>
        <w:t>浙江安防职业技术学院</w:t>
      </w:r>
      <w:r>
        <w:rPr>
          <w:rFonts w:hint="eastAsia" w:ascii="仿宋_GB2312" w:hAnsi="Times New Roman" w:eastAsia="仿宋_GB2312" w:cs="Times New Roman"/>
          <w:color w:val="000000"/>
          <w:sz w:val="32"/>
          <w:szCs w:val="32"/>
        </w:rPr>
        <w:t>2019年一般公共预算基本支出</w:t>
      </w:r>
      <w:r>
        <w:rPr>
          <w:rFonts w:hint="eastAsia" w:ascii="仿宋_GB2312" w:hAnsi="Times New Roman" w:eastAsia="仿宋_GB2312" w:cs="Times New Roman"/>
          <w:color w:val="000000"/>
          <w:sz w:val="32"/>
          <w:szCs w:val="32"/>
          <w:lang w:val="en-US" w:eastAsia="zh-CN"/>
        </w:rPr>
        <w:t>2992.98</w:t>
      </w:r>
      <w:r>
        <w:rPr>
          <w:rFonts w:hint="eastAsia" w:ascii="仿宋_GB2312" w:hAnsi="Times New Roman" w:eastAsia="仿宋_GB2312" w:cs="Times New Roman"/>
          <w:color w:val="000000"/>
          <w:sz w:val="32"/>
          <w:szCs w:val="32"/>
        </w:rPr>
        <w:t>万元，其中：</w:t>
      </w:r>
    </w:p>
    <w:p>
      <w:pPr>
        <w:spacing w:line="640" w:lineRule="exact"/>
        <w:ind w:firstLine="642"/>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人员经费</w:t>
      </w:r>
      <w:r>
        <w:rPr>
          <w:rFonts w:hint="eastAsia" w:ascii="仿宋_GB2312" w:hAnsi="Times New Roman" w:eastAsia="仿宋_GB2312" w:cs="Times New Roman"/>
          <w:color w:val="000000"/>
          <w:sz w:val="32"/>
          <w:szCs w:val="32"/>
          <w:lang w:val="en-US" w:eastAsia="zh-CN"/>
        </w:rPr>
        <w:t>2785.08</w:t>
      </w:r>
      <w:r>
        <w:rPr>
          <w:rFonts w:hint="eastAsia" w:ascii="仿宋_GB2312" w:hAnsi="Times New Roman" w:eastAsia="仿宋_GB2312" w:cs="Times New Roman"/>
          <w:color w:val="000000"/>
          <w:sz w:val="32"/>
          <w:szCs w:val="32"/>
        </w:rPr>
        <w:t>万元，主要包括：基本工资、津贴补贴、机关事业单位基本养老保险缴费、职业年金缴费、公务员医疗补助缴费、其他社会保障缴费、住房公积金；</w:t>
      </w:r>
    </w:p>
    <w:p>
      <w:pPr>
        <w:spacing w:line="640" w:lineRule="exact"/>
        <w:ind w:firstLine="642"/>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公用经费</w:t>
      </w:r>
      <w:r>
        <w:rPr>
          <w:rFonts w:hint="eastAsia" w:ascii="仿宋_GB2312" w:hAnsi="Times New Roman" w:eastAsia="仿宋_GB2312" w:cs="Times New Roman"/>
          <w:color w:val="000000"/>
          <w:sz w:val="32"/>
          <w:szCs w:val="32"/>
          <w:lang w:val="en-US" w:eastAsia="zh-CN"/>
        </w:rPr>
        <w:t>207.9</w:t>
      </w:r>
      <w:r>
        <w:rPr>
          <w:rFonts w:hint="eastAsia" w:ascii="仿宋_GB2312" w:hAnsi="Times New Roman" w:eastAsia="仿宋_GB2312" w:cs="Times New Roman"/>
          <w:color w:val="000000"/>
          <w:sz w:val="32"/>
          <w:szCs w:val="32"/>
        </w:rPr>
        <w:t>万元，主要包括：办公费、差旅费</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会议费、公务接待费、</w:t>
      </w:r>
      <w:r>
        <w:rPr>
          <w:rFonts w:hint="eastAsia" w:ascii="仿宋_GB2312" w:hAnsi="Times New Roman" w:eastAsia="仿宋_GB2312" w:cs="Times New Roman"/>
          <w:color w:val="000000"/>
          <w:sz w:val="32"/>
          <w:szCs w:val="32"/>
          <w:lang w:eastAsia="zh-CN"/>
        </w:rPr>
        <w:t>委托业务</w:t>
      </w:r>
      <w:r>
        <w:rPr>
          <w:rFonts w:hint="eastAsia" w:ascii="仿宋_GB2312" w:hAnsi="Times New Roman" w:eastAsia="仿宋_GB2312" w:cs="Times New Roman"/>
          <w:color w:val="000000"/>
          <w:sz w:val="32"/>
          <w:szCs w:val="32"/>
        </w:rPr>
        <w:t>费、工会经费、公务用车运行维护费、其他交通费用、其他商品和服务支出。</w:t>
      </w:r>
    </w:p>
    <w:p>
      <w:pPr>
        <w:spacing w:line="640" w:lineRule="exact"/>
        <w:ind w:firstLine="642"/>
        <w:rPr>
          <w:rFonts w:hint="eastAsia" w:ascii="仿宋_GB2312" w:hAnsi="Times New Roman" w:eastAsia="仿宋_GB2312" w:cs="Times New Roman"/>
          <w:color w:val="000000"/>
          <w:sz w:val="32"/>
          <w:szCs w:val="32"/>
        </w:rPr>
      </w:pPr>
      <w:r>
        <w:rPr>
          <w:rFonts w:hint="eastAsia" w:ascii="楷体_GB2312" w:hAnsi="楷体_GB2312" w:eastAsia="楷体_GB2312" w:cs="楷体_GB2312"/>
          <w:b/>
          <w:color w:val="000000"/>
          <w:sz w:val="32"/>
          <w:szCs w:val="32"/>
        </w:rPr>
        <w:t>（七）关于</w:t>
      </w:r>
      <w:r>
        <w:rPr>
          <w:rFonts w:hint="eastAsia" w:ascii="楷体_GB2312" w:hAnsi="楷体_GB2312" w:eastAsia="楷体_GB2312" w:cs="楷体_GB2312"/>
          <w:b/>
          <w:color w:val="000000"/>
          <w:sz w:val="32"/>
          <w:szCs w:val="32"/>
          <w:lang w:eastAsia="zh-CN"/>
        </w:rPr>
        <w:t>浙江安防职业技术学院</w:t>
      </w:r>
      <w:r>
        <w:rPr>
          <w:rFonts w:hint="eastAsia" w:ascii="楷体_GB2312" w:hAnsi="楷体_GB2312" w:eastAsia="楷体_GB2312" w:cs="楷体_GB2312"/>
          <w:b/>
          <w:color w:val="000000"/>
          <w:sz w:val="32"/>
          <w:szCs w:val="32"/>
        </w:rPr>
        <w:t>2019年政府性基金预算支出情况说明。</w:t>
      </w:r>
    </w:p>
    <w:p>
      <w:pPr>
        <w:spacing w:line="640" w:lineRule="exact"/>
        <w:ind w:firstLine="642"/>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1.政府性基金预算当年拨款规模变化情况。</w:t>
      </w:r>
    </w:p>
    <w:p>
      <w:pPr>
        <w:spacing w:line="640" w:lineRule="exact"/>
        <w:ind w:firstLine="642"/>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eastAsia="zh-CN"/>
        </w:rPr>
        <w:t>浙江安防职业技术学院</w:t>
      </w:r>
      <w:r>
        <w:rPr>
          <w:rFonts w:hint="eastAsia" w:ascii="仿宋_GB2312" w:hAnsi="Times New Roman" w:eastAsia="仿宋_GB2312" w:cs="Times New Roman"/>
          <w:color w:val="000000"/>
          <w:sz w:val="32"/>
          <w:szCs w:val="32"/>
        </w:rPr>
        <w:t xml:space="preserve">2019年政府性基金预算当年拨款  </w:t>
      </w:r>
      <w:r>
        <w:rPr>
          <w:rFonts w:hint="eastAsia" w:ascii="仿宋_GB2312" w:hAnsi="Times New Roman" w:eastAsia="仿宋_GB2312" w:cs="Times New Roman"/>
          <w:color w:val="000000"/>
          <w:sz w:val="32"/>
          <w:szCs w:val="32"/>
          <w:lang w:val="en-US" w:eastAsia="zh-CN"/>
        </w:rPr>
        <w:t>1220.29</w:t>
      </w:r>
      <w:r>
        <w:rPr>
          <w:rFonts w:hint="eastAsia" w:ascii="仿宋_GB2312" w:hAnsi="Times New Roman" w:eastAsia="仿宋_GB2312" w:cs="Times New Roman"/>
          <w:color w:val="000000"/>
          <w:sz w:val="32"/>
          <w:szCs w:val="32"/>
        </w:rPr>
        <w:t>万元，比2018年执行数或减少</w:t>
      </w:r>
      <w:r>
        <w:rPr>
          <w:rFonts w:hint="eastAsia" w:ascii="仿宋_GB2312" w:hAnsi="Times New Roman" w:eastAsia="仿宋_GB2312" w:cs="Times New Roman"/>
          <w:color w:val="000000"/>
          <w:sz w:val="32"/>
          <w:szCs w:val="32"/>
          <w:lang w:val="en-US" w:eastAsia="zh-CN"/>
        </w:rPr>
        <w:t>2644.55</w:t>
      </w:r>
      <w:r>
        <w:rPr>
          <w:rFonts w:hint="eastAsia" w:ascii="仿宋_GB2312" w:hAnsi="Times New Roman" w:eastAsia="仿宋_GB2312" w:cs="Times New Roman"/>
          <w:color w:val="000000"/>
          <w:sz w:val="32"/>
          <w:szCs w:val="32"/>
        </w:rPr>
        <w:t>万元，主要是</w:t>
      </w:r>
      <w:r>
        <w:rPr>
          <w:rFonts w:hint="eastAsia" w:ascii="仿宋_GB2312" w:eastAsia="仿宋_GB2312"/>
          <w:color w:val="000000"/>
          <w:sz w:val="32"/>
          <w:szCs w:val="32"/>
        </w:rPr>
        <w:t>基建投入减少</w:t>
      </w:r>
      <w:r>
        <w:rPr>
          <w:rFonts w:hint="eastAsia" w:ascii="仿宋_GB2312" w:hAnsi="Times New Roman" w:eastAsia="仿宋_GB2312" w:cs="Times New Roman"/>
          <w:color w:val="000000"/>
          <w:sz w:val="32"/>
          <w:szCs w:val="32"/>
        </w:rPr>
        <w:t>。</w:t>
      </w:r>
    </w:p>
    <w:p>
      <w:pPr>
        <w:spacing w:line="640" w:lineRule="exact"/>
        <w:ind w:firstLine="642"/>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2.政府性基金预算当年拨款结构情况。</w:t>
      </w:r>
    </w:p>
    <w:p>
      <w:pPr>
        <w:spacing w:line="6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w:t>
      </w:r>
      <w:r>
        <w:rPr>
          <w:rFonts w:hint="eastAsia" w:ascii="仿宋_GB2312" w:eastAsia="仿宋_GB2312"/>
          <w:color w:val="000000"/>
          <w:sz w:val="32"/>
          <w:szCs w:val="32"/>
        </w:rPr>
        <w:t>城乡社区支出（类）</w:t>
      </w:r>
      <w:r>
        <w:rPr>
          <w:rFonts w:hint="eastAsia" w:ascii="仿宋_GB2312" w:eastAsia="仿宋_GB2312"/>
          <w:color w:val="000000"/>
          <w:sz w:val="32"/>
          <w:szCs w:val="32"/>
          <w:lang w:val="en-US" w:eastAsia="zh-CN"/>
        </w:rPr>
        <w:t>1220.29</w:t>
      </w:r>
      <w:r>
        <w:rPr>
          <w:rFonts w:hint="eastAsia" w:ascii="仿宋_GB2312" w:eastAsia="仿宋_GB2312"/>
          <w:color w:val="000000"/>
          <w:sz w:val="32"/>
          <w:szCs w:val="32"/>
        </w:rPr>
        <w:t>万元，占100%。</w:t>
      </w:r>
    </w:p>
    <w:p>
      <w:pPr>
        <w:spacing w:line="6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w:t>
      </w:r>
      <w:r>
        <w:rPr>
          <w:rFonts w:hint="eastAsia" w:ascii="楷体_GB2312" w:hAnsi="楷体_GB2312" w:eastAsia="楷体_GB2312" w:cs="楷体_GB2312"/>
          <w:b/>
          <w:color w:val="000000"/>
          <w:sz w:val="32"/>
          <w:szCs w:val="32"/>
        </w:rPr>
        <w:t xml:space="preserve">  3.政府性基金预算当年拨款具体使用情况。</w:t>
      </w:r>
    </w:p>
    <w:p>
      <w:pPr>
        <w:spacing w:line="640" w:lineRule="exact"/>
        <w:ind w:firstLine="640"/>
        <w:jc w:val="left"/>
        <w:rPr>
          <w:rFonts w:hint="eastAsia" w:ascii="仿宋_GB2312" w:eastAsia="仿宋_GB2312"/>
          <w:color w:val="000000"/>
          <w:sz w:val="32"/>
          <w:szCs w:val="32"/>
        </w:rPr>
      </w:pPr>
      <w:r>
        <w:rPr>
          <w:rFonts w:hint="eastAsia" w:ascii="仿宋_GB2312" w:eastAsia="仿宋_GB2312"/>
          <w:color w:val="000000"/>
          <w:sz w:val="32"/>
          <w:szCs w:val="32"/>
        </w:rPr>
        <w:t>（1）城乡社区支出（类）国有土地使用权出让收入及对应专项债务收入安排的支出（款）其他国有土地使用权出让收入安排的支出（项）事务</w:t>
      </w:r>
      <w:r>
        <w:rPr>
          <w:rFonts w:hint="eastAsia" w:ascii="仿宋_GB2312" w:eastAsia="仿宋_GB2312"/>
          <w:color w:val="000000"/>
          <w:sz w:val="32"/>
          <w:szCs w:val="32"/>
          <w:lang w:val="en-US" w:eastAsia="zh-CN"/>
        </w:rPr>
        <w:t>1220.29</w:t>
      </w:r>
      <w:r>
        <w:rPr>
          <w:rFonts w:hint="eastAsia" w:ascii="仿宋_GB2312" w:eastAsia="仿宋_GB2312"/>
          <w:color w:val="000000"/>
          <w:sz w:val="32"/>
          <w:szCs w:val="32"/>
        </w:rPr>
        <w:t>万元，主要用于我院特警训练基地</w:t>
      </w:r>
      <w:r>
        <w:rPr>
          <w:rFonts w:hint="eastAsia" w:ascii="仿宋_GB2312" w:eastAsia="仿宋_GB2312"/>
          <w:color w:val="000000"/>
          <w:sz w:val="32"/>
          <w:szCs w:val="32"/>
          <w:lang w:eastAsia="zh-CN"/>
        </w:rPr>
        <w:t>建设</w:t>
      </w:r>
      <w:r>
        <w:rPr>
          <w:rFonts w:hint="eastAsia" w:ascii="仿宋_GB2312" w:eastAsia="仿宋_GB2312"/>
          <w:color w:val="000000"/>
          <w:sz w:val="32"/>
          <w:szCs w:val="32"/>
        </w:rPr>
        <w:t>。</w:t>
      </w:r>
    </w:p>
    <w:p>
      <w:pPr>
        <w:spacing w:line="640" w:lineRule="exact"/>
        <w:ind w:firstLine="630" w:firstLineChars="196"/>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（八）关于</w:t>
      </w:r>
      <w:r>
        <w:rPr>
          <w:rFonts w:hint="eastAsia" w:ascii="楷体_GB2312" w:hAnsi="楷体_GB2312" w:eastAsia="楷体_GB2312" w:cs="楷体_GB2312"/>
          <w:b/>
          <w:color w:val="000000"/>
          <w:sz w:val="32"/>
          <w:szCs w:val="32"/>
          <w:lang w:eastAsia="zh-CN"/>
        </w:rPr>
        <w:t>浙江安防职业技术学院</w:t>
      </w:r>
      <w:r>
        <w:rPr>
          <w:rFonts w:hint="eastAsia" w:ascii="楷体_GB2312" w:hAnsi="楷体_GB2312" w:eastAsia="楷体_GB2312" w:cs="楷体_GB2312"/>
          <w:b/>
          <w:color w:val="000000"/>
          <w:sz w:val="32"/>
          <w:szCs w:val="32"/>
        </w:rPr>
        <w:t>2019年</w:t>
      </w:r>
      <w:r>
        <w:rPr>
          <w:rFonts w:hint="eastAsia" w:ascii="楷体_GB2312" w:hAnsi="楷体_GB2312" w:eastAsia="楷体_GB2312" w:cs="楷体_GB2312"/>
          <w:b/>
          <w:sz w:val="32"/>
          <w:szCs w:val="32"/>
        </w:rPr>
        <w:t>一般公共预算</w:t>
      </w:r>
      <w:r>
        <w:rPr>
          <w:rFonts w:hint="eastAsia" w:ascii="楷体_GB2312" w:hAnsi="楷体_GB2312" w:eastAsia="楷体_GB2312" w:cs="楷体_GB2312"/>
          <w:b/>
          <w:color w:val="000000"/>
          <w:sz w:val="32"/>
          <w:szCs w:val="32"/>
        </w:rPr>
        <w:t>“三公”经费预算情况说明。</w:t>
      </w:r>
    </w:p>
    <w:p>
      <w:pPr>
        <w:spacing w:line="640" w:lineRule="exact"/>
        <w:ind w:firstLine="64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2019年财政拨款“三公”经费(不含出国经费）的预算数合计30万元，比上年预算下降14.3%，主要原因是我院</w:t>
      </w:r>
      <w:r>
        <w:rPr>
          <w:rFonts w:hint="eastAsia" w:ascii="仿宋_GB2312" w:hAnsi="仿宋_GB2312" w:eastAsia="仿宋_GB2312" w:cs="仿宋_GB2312"/>
          <w:kern w:val="0"/>
          <w:sz w:val="32"/>
          <w:szCs w:val="32"/>
          <w:lang w:eastAsia="zh-CN"/>
        </w:rPr>
        <w:t>因为车改我院上缴公务用车</w:t>
      </w:r>
      <w:r>
        <w:rPr>
          <w:rFonts w:hint="eastAsia" w:ascii="仿宋_GB2312" w:hAnsi="仿宋_GB2312" w:eastAsia="仿宋_GB2312" w:cs="仿宋_GB2312"/>
          <w:kern w:val="0"/>
          <w:sz w:val="32"/>
          <w:szCs w:val="32"/>
          <w:lang w:val="en-US" w:eastAsia="zh-CN"/>
        </w:rPr>
        <w:t>3辆，相应</w:t>
      </w:r>
      <w:r>
        <w:rPr>
          <w:rFonts w:hint="eastAsia" w:ascii="仿宋_GB2312" w:hAnsi="仿宋_GB2312" w:eastAsia="仿宋_GB2312" w:cs="仿宋_GB2312"/>
          <w:kern w:val="0"/>
          <w:sz w:val="32"/>
          <w:szCs w:val="32"/>
        </w:rPr>
        <w:t>公务用车购置及运行维护费</w:t>
      </w:r>
      <w:r>
        <w:rPr>
          <w:rFonts w:hint="eastAsia" w:ascii="仿宋_GB2312" w:hAnsi="仿宋_GB2312" w:eastAsia="仿宋_GB2312" w:cs="仿宋_GB2312"/>
          <w:kern w:val="0"/>
          <w:sz w:val="32"/>
          <w:szCs w:val="32"/>
          <w:lang w:eastAsia="zh-CN"/>
        </w:rPr>
        <w:t>减少了</w:t>
      </w:r>
      <w:r>
        <w:rPr>
          <w:rFonts w:hint="eastAsia" w:ascii="仿宋_GB2312" w:hAnsi="仿宋_GB2312" w:eastAsia="仿宋_GB2312" w:cs="仿宋_GB2312"/>
          <w:kern w:val="0"/>
          <w:sz w:val="32"/>
          <w:szCs w:val="32"/>
          <w:lang w:val="en-US" w:eastAsia="zh-CN"/>
        </w:rPr>
        <w:t>7.5万元。</w:t>
      </w:r>
    </w:p>
    <w:p>
      <w:pPr>
        <w:spacing w:line="640" w:lineRule="exact"/>
        <w:ind w:firstLine="640"/>
        <w:rPr>
          <w:rFonts w:hint="eastAsia" w:ascii="Times New Roman" w:hAnsi="Times New Roman" w:eastAsia="仿宋_GB2312" w:cs="Times New Roman"/>
          <w:color w:val="000000"/>
          <w:sz w:val="32"/>
          <w:szCs w:val="32"/>
        </w:rPr>
      </w:pPr>
      <w:r>
        <w:rPr>
          <w:rFonts w:hint="eastAsia" w:ascii="仿宋_GB2312" w:hAnsi="仿宋_GB2312" w:eastAsia="仿宋_GB2312" w:cs="仿宋_GB2312"/>
          <w:kern w:val="0"/>
          <w:sz w:val="32"/>
          <w:szCs w:val="32"/>
        </w:rPr>
        <w:t>1.因公出国（境）费用：根据《温州市财政局关于明确因公出国（境）经费审批意见的通知》（温财外[2018]</w:t>
      </w:r>
      <w:r>
        <w:rPr>
          <w:rFonts w:hint="eastAsia" w:ascii="仿宋_GB2312" w:hAnsi="仿宋_GB2312" w:eastAsia="仿宋_GB2312" w:cs="仿宋_GB2312"/>
          <w:kern w:val="0"/>
          <w:sz w:val="32"/>
          <w:szCs w:val="32"/>
          <w:lang w:val="en-US" w:eastAsia="zh-CN"/>
        </w:rPr>
        <w:t>41</w:t>
      </w:r>
      <w:r>
        <w:rPr>
          <w:rFonts w:hint="eastAsia" w:ascii="仿宋_GB2312" w:hAnsi="仿宋_GB2312" w:eastAsia="仿宋_GB2312" w:cs="仿宋_GB2312"/>
          <w:kern w:val="0"/>
          <w:sz w:val="32"/>
          <w:szCs w:val="32"/>
        </w:rPr>
        <w:t>号）文件精神，</w:t>
      </w:r>
      <w:r>
        <w:rPr>
          <w:rFonts w:hint="eastAsia" w:ascii="Times New Roman" w:hAnsi="Times New Roman" w:eastAsia="仿宋_GB2312" w:cs="Times New Roman"/>
          <w:color w:val="000000"/>
          <w:sz w:val="32"/>
          <w:szCs w:val="32"/>
        </w:rPr>
        <w:t>2019</w:t>
      </w:r>
      <w:r>
        <w:rPr>
          <w:rFonts w:ascii="Times New Roman" w:hAnsi="Times New Roman" w:eastAsia="仿宋_GB2312" w:cs="Times New Roman"/>
          <w:color w:val="000000"/>
          <w:sz w:val="32"/>
          <w:szCs w:val="32"/>
        </w:rPr>
        <w:t>年因公出国（境）经费实行归口管理，由市财政统筹安排，不再单独安排预算进行公开</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浙江安防职业技术学院</w:t>
      </w:r>
      <w:r>
        <w:rPr>
          <w:rFonts w:hint="eastAsia" w:ascii="Times New Roman" w:hAnsi="Times New Roman" w:eastAsia="仿宋_GB2312" w:cs="Times New Roman"/>
          <w:color w:val="000000"/>
          <w:sz w:val="32"/>
          <w:szCs w:val="32"/>
        </w:rPr>
        <w:t>2018年出国经费预算经核定为</w:t>
      </w:r>
      <w:r>
        <w:rPr>
          <w:rFonts w:hint="eastAsia" w:ascii="Times New Roman" w:hAnsi="Times New Roman" w:eastAsia="仿宋_GB2312" w:cs="Times New Roman"/>
          <w:color w:val="000000"/>
          <w:sz w:val="32"/>
          <w:szCs w:val="32"/>
          <w:lang w:val="en-US" w:eastAsia="zh-CN"/>
        </w:rPr>
        <w:t>6.8</w:t>
      </w:r>
      <w:r>
        <w:rPr>
          <w:rFonts w:hint="eastAsia" w:ascii="Times New Roman" w:hAnsi="Times New Roman" w:eastAsia="仿宋_GB2312" w:cs="Times New Roman"/>
          <w:color w:val="000000"/>
          <w:sz w:val="32"/>
          <w:szCs w:val="32"/>
        </w:rPr>
        <w:t>万元。</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2.公务接待费：2019年安排公务接待费预算</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万元，比上年预算数增长</w:t>
      </w:r>
      <w:r>
        <w:rPr>
          <w:rFonts w:hint="eastAsia" w:ascii="仿宋_GB2312" w:hAnsi="仿宋_GB2312" w:eastAsia="仿宋_GB2312" w:cs="仿宋_GB2312"/>
          <w:sz w:val="32"/>
          <w:szCs w:val="32"/>
          <w:lang w:val="en-US" w:eastAsia="zh-CN"/>
        </w:rPr>
        <w:t>33.3</w:t>
      </w:r>
      <w:r>
        <w:rPr>
          <w:rFonts w:hint="eastAsia" w:ascii="仿宋_GB2312" w:hAnsi="仿宋_GB2312" w:eastAsia="仿宋_GB2312" w:cs="仿宋_GB2312"/>
          <w:sz w:val="32"/>
          <w:szCs w:val="32"/>
        </w:rPr>
        <w:t>%。主要用于接待</w:t>
      </w:r>
      <w:r>
        <w:rPr>
          <w:rFonts w:hint="eastAsia" w:ascii="仿宋_GB2312" w:eastAsia="仿宋_GB2312"/>
          <w:sz w:val="32"/>
          <w:szCs w:val="32"/>
        </w:rPr>
        <w:t>各级领导、专家学者、兄弟院校、相关部门等支出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rPr>
        <w:t>的主要原因是我院</w:t>
      </w:r>
      <w:r>
        <w:rPr>
          <w:rFonts w:hint="eastAsia" w:ascii="仿宋_GB2312" w:hAnsi="仿宋_GB2312" w:eastAsia="仿宋_GB2312" w:cs="仿宋_GB2312"/>
          <w:sz w:val="32"/>
          <w:szCs w:val="32"/>
          <w:lang w:eastAsia="zh-CN"/>
        </w:rPr>
        <w:t>办学规模扩大，师生人数增长迅速，导致公务接待费有所增长</w:t>
      </w:r>
      <w:r>
        <w:rPr>
          <w:rFonts w:hint="eastAsia" w:ascii="仿宋_GB2312" w:hAnsi="仿宋_GB2312" w:eastAsia="仿宋_GB2312" w:cs="仿宋_GB2312"/>
          <w:sz w:val="32"/>
          <w:szCs w:val="32"/>
        </w:rPr>
        <w:t>。</w:t>
      </w:r>
    </w:p>
    <w:p>
      <w:pPr>
        <w:widowControl/>
        <w:spacing w:line="640" w:lineRule="exact"/>
        <w:ind w:firstLine="640" w:firstLineChars="200"/>
        <w:rPr>
          <w:rFonts w:hint="eastAsia" w:ascii="仿宋_GB2312" w:hAnsi="Times New Roman" w:eastAsia="仿宋_GB2312" w:cs="Times New Roman"/>
          <w:b/>
          <w:bCs/>
          <w:kern w:val="0"/>
          <w:sz w:val="32"/>
          <w:szCs w:val="32"/>
        </w:rPr>
      </w:pPr>
      <w:r>
        <w:rPr>
          <w:rFonts w:hint="eastAsia" w:ascii="仿宋_GB2312" w:hAnsi="Times New Roman" w:eastAsia="仿宋_GB2312" w:cs="Times New Roman"/>
          <w:kern w:val="0"/>
          <w:sz w:val="32"/>
          <w:szCs w:val="32"/>
        </w:rPr>
        <w:t>3.公务用车购置及运行维护费：2019年安排公务用车购置及运行维护费预算</w:t>
      </w:r>
      <w:r>
        <w:rPr>
          <w:rFonts w:hint="eastAsia" w:ascii="仿宋_GB2312" w:hAnsi="Times New Roman" w:eastAsia="仿宋_GB2312" w:cs="Times New Roman"/>
          <w:kern w:val="0"/>
          <w:sz w:val="32"/>
          <w:szCs w:val="32"/>
          <w:lang w:val="en-US" w:eastAsia="zh-CN"/>
        </w:rPr>
        <w:t>20</w:t>
      </w:r>
      <w:r>
        <w:rPr>
          <w:rFonts w:hint="eastAsia" w:ascii="仿宋_GB2312" w:hAnsi="Times New Roman" w:eastAsia="仿宋_GB2312" w:cs="Times New Roman"/>
          <w:kern w:val="0"/>
          <w:sz w:val="32"/>
          <w:szCs w:val="32"/>
        </w:rPr>
        <w:t>万元，比上年预算数下降</w:t>
      </w:r>
      <w:r>
        <w:rPr>
          <w:rFonts w:hint="eastAsia" w:ascii="仿宋_GB2312" w:hAnsi="Times New Roman" w:eastAsia="仿宋_GB2312" w:cs="Times New Roman"/>
          <w:kern w:val="0"/>
          <w:sz w:val="32"/>
          <w:szCs w:val="32"/>
          <w:lang w:val="en-US" w:eastAsia="zh-CN"/>
        </w:rPr>
        <w:t>27.3</w:t>
      </w:r>
      <w:r>
        <w:rPr>
          <w:rFonts w:hint="eastAsia" w:ascii="仿宋_GB2312" w:hAnsi="Times New Roman" w:eastAsia="仿宋_GB2312" w:cs="Times New Roman"/>
          <w:kern w:val="0"/>
          <w:sz w:val="32"/>
          <w:szCs w:val="32"/>
        </w:rPr>
        <w:t>%。其中，公务用车购置支出</w:t>
      </w:r>
      <w:r>
        <w:rPr>
          <w:rFonts w:hint="eastAsia" w:ascii="仿宋_GB2312" w:hAnsi="Times New Roman" w:eastAsia="仿宋_GB2312" w:cs="Times New Roman"/>
          <w:kern w:val="0"/>
          <w:sz w:val="32"/>
          <w:szCs w:val="32"/>
          <w:lang w:val="en-US" w:eastAsia="zh-CN"/>
        </w:rPr>
        <w:t>0</w:t>
      </w:r>
      <w:r>
        <w:rPr>
          <w:rFonts w:hint="eastAsia" w:ascii="仿宋_GB2312" w:hAnsi="Times New Roman" w:eastAsia="仿宋_GB2312" w:cs="Times New Roman"/>
          <w:kern w:val="0"/>
          <w:sz w:val="32"/>
          <w:szCs w:val="32"/>
        </w:rPr>
        <w:t>万元（含购置税等附加费用）；公务用车运行维护费支出</w:t>
      </w:r>
      <w:r>
        <w:rPr>
          <w:rFonts w:hint="eastAsia" w:ascii="仿宋_GB2312" w:hAnsi="Times New Roman" w:eastAsia="仿宋_GB2312" w:cs="Times New Roman"/>
          <w:kern w:val="0"/>
          <w:sz w:val="32"/>
          <w:szCs w:val="32"/>
          <w:lang w:val="en-US" w:eastAsia="zh-CN"/>
        </w:rPr>
        <w:t>20</w:t>
      </w:r>
      <w:r>
        <w:rPr>
          <w:rFonts w:hint="eastAsia" w:ascii="仿宋_GB2312" w:hAnsi="Times New Roman" w:eastAsia="仿宋_GB2312" w:cs="Times New Roman"/>
          <w:kern w:val="0"/>
          <w:sz w:val="32"/>
          <w:szCs w:val="32"/>
        </w:rPr>
        <w:t>万元，主要用于</w:t>
      </w:r>
      <w:r>
        <w:rPr>
          <w:rFonts w:hint="eastAsia" w:ascii="仿宋_GB2312" w:eastAsia="仿宋_GB2312"/>
          <w:sz w:val="32"/>
          <w:szCs w:val="32"/>
        </w:rPr>
        <w:t>学院教职工上下班</w:t>
      </w:r>
      <w:bookmarkStart w:id="0" w:name="_GoBack"/>
      <w:bookmarkEnd w:id="0"/>
      <w:r>
        <w:rPr>
          <w:rFonts w:hint="eastAsia" w:ascii="仿宋_GB2312" w:eastAsia="仿宋_GB2312"/>
          <w:sz w:val="32"/>
          <w:szCs w:val="32"/>
        </w:rPr>
        <w:t>班车，接待兄弟院校来宾及各类专家学者，</w:t>
      </w:r>
      <w:r>
        <w:rPr>
          <w:rFonts w:hint="eastAsia" w:ascii="仿宋_GB2312" w:eastAsia="仿宋_GB2312"/>
          <w:sz w:val="32"/>
          <w:szCs w:val="32"/>
          <w:lang w:eastAsia="zh-CN"/>
        </w:rPr>
        <w:t>学生外出实习</w:t>
      </w:r>
      <w:r>
        <w:rPr>
          <w:rFonts w:hint="eastAsia" w:ascii="仿宋_GB2312" w:hAnsi="Times New Roman" w:eastAsia="仿宋_GB2312" w:cs="Times New Roman"/>
          <w:kern w:val="0"/>
          <w:sz w:val="32"/>
          <w:szCs w:val="32"/>
        </w:rPr>
        <w:t>等所需的公务用车燃料费、维修费、过桥过路费、保险费、安全奖励费用等支出。减少的主要原因是</w:t>
      </w:r>
      <w:r>
        <w:rPr>
          <w:rFonts w:hint="eastAsia" w:ascii="仿宋_GB2312" w:hAnsi="Times New Roman" w:eastAsia="仿宋_GB2312" w:cs="Times New Roman"/>
          <w:kern w:val="0"/>
          <w:sz w:val="32"/>
          <w:szCs w:val="32"/>
          <w:lang w:eastAsia="zh-CN"/>
        </w:rPr>
        <w:t>因为车改我院上缴公务用车</w:t>
      </w:r>
      <w:r>
        <w:rPr>
          <w:rFonts w:hint="eastAsia" w:ascii="仿宋_GB2312" w:hAnsi="Times New Roman" w:eastAsia="仿宋_GB2312" w:cs="Times New Roman"/>
          <w:kern w:val="0"/>
          <w:sz w:val="32"/>
          <w:szCs w:val="32"/>
          <w:lang w:val="en-US" w:eastAsia="zh-CN"/>
        </w:rPr>
        <w:t>3辆</w:t>
      </w:r>
      <w:r>
        <w:rPr>
          <w:rFonts w:hint="eastAsia" w:ascii="仿宋_GB2312" w:hAnsi="Times New Roman" w:eastAsia="仿宋_GB2312" w:cs="Times New Roman"/>
          <w:kern w:val="0"/>
          <w:sz w:val="32"/>
          <w:szCs w:val="32"/>
        </w:rPr>
        <w:t>。</w:t>
      </w:r>
    </w:p>
    <w:p>
      <w:pPr>
        <w:spacing w:line="640" w:lineRule="exact"/>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（九）其他重要事项的情况说明。</w:t>
      </w:r>
    </w:p>
    <w:p>
      <w:pPr>
        <w:widowControl/>
        <w:spacing w:line="640" w:lineRule="exact"/>
        <w:ind w:firstLine="600"/>
        <w:rPr>
          <w:rFonts w:hint="eastAsia"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1.机关运行经费。</w:t>
      </w:r>
    </w:p>
    <w:p>
      <w:pPr>
        <w:pStyle w:val="7"/>
        <w:spacing w:line="6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本单位为事业单位，无机关运行经费。</w:t>
      </w:r>
    </w:p>
    <w:p>
      <w:pPr>
        <w:widowControl/>
        <w:numPr>
          <w:ilvl w:val="0"/>
          <w:numId w:val="2"/>
        </w:numPr>
        <w:spacing w:line="640" w:lineRule="exact"/>
        <w:ind w:firstLine="600"/>
        <w:rPr>
          <w:rFonts w:hint="eastAsia"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政府采购情况。</w:t>
      </w:r>
    </w:p>
    <w:p>
      <w:pPr>
        <w:widowControl/>
        <w:spacing w:line="640" w:lineRule="exact"/>
        <w:ind w:firstLine="640" w:firstLineChars="20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kern w:val="0"/>
          <w:sz w:val="32"/>
          <w:szCs w:val="32"/>
        </w:rPr>
        <w:t>2019年</w:t>
      </w:r>
      <w:r>
        <w:rPr>
          <w:rFonts w:hint="eastAsia" w:ascii="仿宋_GB2312" w:hAnsi="Times New Roman" w:eastAsia="仿宋_GB2312" w:cs="Times New Roman"/>
          <w:color w:val="000000"/>
          <w:kern w:val="0"/>
          <w:sz w:val="32"/>
          <w:szCs w:val="32"/>
          <w:lang w:eastAsia="zh-CN"/>
        </w:rPr>
        <w:t>浙江安防职业技术学院</w:t>
      </w:r>
      <w:r>
        <w:rPr>
          <w:rFonts w:hint="eastAsia" w:ascii="仿宋_GB2312" w:hAnsi="Times New Roman" w:eastAsia="仿宋_GB2312" w:cs="Times New Roman"/>
          <w:color w:val="000000"/>
          <w:kern w:val="0"/>
          <w:sz w:val="32"/>
          <w:szCs w:val="32"/>
        </w:rPr>
        <w:t xml:space="preserve">各单位政府采购预算总额  </w:t>
      </w:r>
      <w:r>
        <w:rPr>
          <w:rFonts w:hint="eastAsia" w:ascii="仿宋_GB2312" w:hAnsi="Times New Roman" w:eastAsia="仿宋_GB2312" w:cs="Times New Roman"/>
          <w:color w:val="000000"/>
          <w:kern w:val="0"/>
          <w:sz w:val="32"/>
          <w:szCs w:val="32"/>
          <w:lang w:val="en-US" w:eastAsia="zh-CN"/>
        </w:rPr>
        <w:t>927.36</w:t>
      </w:r>
      <w:r>
        <w:rPr>
          <w:rFonts w:hint="eastAsia" w:ascii="仿宋_GB2312" w:hAnsi="Times New Roman" w:eastAsia="仿宋_GB2312" w:cs="Times New Roman"/>
          <w:color w:val="000000"/>
          <w:kern w:val="0"/>
          <w:sz w:val="32"/>
          <w:szCs w:val="32"/>
        </w:rPr>
        <w:t>万元，其中：政府采购货物预算</w:t>
      </w:r>
      <w:r>
        <w:rPr>
          <w:rFonts w:hint="eastAsia" w:ascii="仿宋_GB2312" w:hAnsi="Times New Roman" w:eastAsia="仿宋_GB2312" w:cs="Times New Roman"/>
          <w:color w:val="000000"/>
          <w:kern w:val="0"/>
          <w:sz w:val="32"/>
          <w:szCs w:val="32"/>
          <w:lang w:val="en-US" w:eastAsia="zh-CN"/>
        </w:rPr>
        <w:t>727.36</w:t>
      </w:r>
      <w:r>
        <w:rPr>
          <w:rFonts w:hint="eastAsia" w:ascii="仿宋_GB2312" w:hAnsi="Times New Roman" w:eastAsia="仿宋_GB2312" w:cs="Times New Roman"/>
          <w:color w:val="000000"/>
          <w:kern w:val="0"/>
          <w:sz w:val="32"/>
          <w:szCs w:val="32"/>
        </w:rPr>
        <w:t>万元、政府采购服务预算</w:t>
      </w:r>
      <w:r>
        <w:rPr>
          <w:rFonts w:hint="eastAsia" w:ascii="仿宋_GB2312" w:hAnsi="Times New Roman" w:eastAsia="仿宋_GB2312" w:cs="Times New Roman"/>
          <w:color w:val="000000"/>
          <w:kern w:val="0"/>
          <w:sz w:val="32"/>
          <w:szCs w:val="32"/>
          <w:lang w:val="en-US" w:eastAsia="zh-CN"/>
        </w:rPr>
        <w:t>200</w:t>
      </w:r>
      <w:r>
        <w:rPr>
          <w:rFonts w:hint="eastAsia" w:ascii="仿宋_GB2312" w:hAnsi="Times New Roman" w:eastAsia="仿宋_GB2312" w:cs="Times New Roman"/>
          <w:color w:val="000000"/>
          <w:kern w:val="0"/>
          <w:sz w:val="32"/>
          <w:szCs w:val="32"/>
        </w:rPr>
        <w:t>万元。</w:t>
      </w:r>
    </w:p>
    <w:p>
      <w:pPr>
        <w:widowControl/>
        <w:spacing w:line="560" w:lineRule="exact"/>
        <w:ind w:firstLine="642"/>
        <w:rPr>
          <w:rFonts w:hint="eastAsia" w:ascii="仿宋_GB2312" w:hAnsi="Times New Roman" w:eastAsia="仿宋_GB2312" w:cs="Times New Roman"/>
          <w:kern w:val="0"/>
          <w:sz w:val="32"/>
          <w:szCs w:val="32"/>
        </w:rPr>
      </w:pPr>
      <w:r>
        <w:rPr>
          <w:rFonts w:hint="eastAsia" w:ascii="仿宋_GB2312" w:hAnsi="Times New Roman" w:eastAsia="仿宋_GB2312" w:cs="Times New Roman"/>
          <w:b/>
          <w:bCs/>
          <w:kern w:val="0"/>
          <w:sz w:val="32"/>
          <w:szCs w:val="32"/>
        </w:rPr>
        <w:t>3.国有资产占有使用情况</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截至2018年12月31日，</w:t>
      </w:r>
      <w:r>
        <w:rPr>
          <w:rFonts w:hint="eastAsia" w:ascii="仿宋_GB2312" w:hAnsi="仿宋_GB2312" w:eastAsia="仿宋_GB2312" w:cs="仿宋_GB2312"/>
          <w:spacing w:val="6"/>
          <w:sz w:val="32"/>
          <w:szCs w:val="32"/>
          <w:lang w:eastAsia="zh-CN"/>
        </w:rPr>
        <w:t>浙江安防职业技术学院</w:t>
      </w:r>
      <w:r>
        <w:rPr>
          <w:rFonts w:hint="eastAsia" w:ascii="仿宋_GB2312" w:hAnsi="仿宋_GB2312" w:eastAsia="仿宋_GB2312" w:cs="仿宋_GB2312"/>
          <w:spacing w:val="6"/>
          <w:sz w:val="32"/>
          <w:szCs w:val="32"/>
        </w:rPr>
        <w:t>所属各预算单位共有车辆</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2019年部门预算安排购置车辆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spacing w:line="640" w:lineRule="exact"/>
        <w:rPr>
          <w:rFonts w:hint="eastAsia"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 xml:space="preserve">    4.绩效目标设置情况。</w:t>
      </w:r>
    </w:p>
    <w:p>
      <w:pPr>
        <w:widowControl/>
        <w:spacing w:line="640" w:lineRule="exac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    2019年</w:t>
      </w:r>
      <w:r>
        <w:rPr>
          <w:rFonts w:hint="eastAsia" w:ascii="仿宋_GB2312" w:hAnsi="Times New Roman" w:eastAsia="仿宋_GB2312" w:cs="Times New Roman"/>
          <w:color w:val="000000"/>
          <w:kern w:val="0"/>
          <w:sz w:val="32"/>
          <w:szCs w:val="32"/>
          <w:lang w:eastAsia="zh-CN"/>
        </w:rPr>
        <w:t>浙江安防职业技术学院</w:t>
      </w:r>
      <w:r>
        <w:rPr>
          <w:rFonts w:hint="eastAsia" w:ascii="仿宋_GB2312" w:hAnsi="Times New Roman" w:eastAsia="仿宋_GB2312" w:cs="Times New Roman"/>
          <w:color w:val="000000"/>
          <w:kern w:val="0"/>
          <w:sz w:val="32"/>
          <w:szCs w:val="32"/>
        </w:rPr>
        <w:t>项目支出均实行绩效目标管理，涉及一般公共预算当年拨款</w:t>
      </w:r>
      <w:r>
        <w:rPr>
          <w:rFonts w:hint="eastAsia" w:ascii="仿宋_GB2312" w:hAnsi="Times New Roman" w:eastAsia="仿宋_GB2312" w:cs="Times New Roman"/>
          <w:color w:val="000000"/>
          <w:kern w:val="0"/>
          <w:sz w:val="32"/>
          <w:szCs w:val="32"/>
          <w:lang w:val="en-US" w:eastAsia="zh-CN"/>
        </w:rPr>
        <w:t>902.22</w:t>
      </w:r>
      <w:r>
        <w:rPr>
          <w:rFonts w:hint="eastAsia" w:ascii="仿宋_GB2312" w:hAnsi="Times New Roman" w:eastAsia="仿宋_GB2312" w:cs="Times New Roman"/>
          <w:color w:val="000000"/>
          <w:kern w:val="0"/>
          <w:sz w:val="32"/>
          <w:szCs w:val="32"/>
        </w:rPr>
        <w:t>万元。</w:t>
      </w:r>
    </w:p>
    <w:p>
      <w:pPr>
        <w:widowControl/>
        <w:spacing w:line="64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三、名词解释</w:t>
      </w:r>
    </w:p>
    <w:p>
      <w:pPr>
        <w:ind w:firstLine="640" w:firstLineChars="200"/>
        <w:rPr>
          <w:rFonts w:hint="eastAsia" w:ascii="仿宋_GB2312" w:eastAsia="仿宋_GB2312"/>
          <w:bCs/>
          <w:color w:val="000000"/>
          <w:sz w:val="30"/>
          <w:szCs w:val="30"/>
        </w:rPr>
      </w:pPr>
      <w:r>
        <w:rPr>
          <w:rFonts w:hint="eastAsia" w:ascii="仿宋_GB2312" w:hAnsi="Times New Roman" w:eastAsia="仿宋_GB2312" w:cs="Times New Roman"/>
          <w:color w:val="000000"/>
          <w:kern w:val="0"/>
          <w:sz w:val="32"/>
          <w:szCs w:val="32"/>
        </w:rPr>
        <w:t xml:space="preserve"> </w:t>
      </w:r>
      <w:r>
        <w:rPr>
          <w:rFonts w:hint="eastAsia" w:ascii="仿宋_GB2312" w:eastAsia="仿宋_GB2312"/>
          <w:bCs/>
          <w:color w:val="000000"/>
          <w:sz w:val="30"/>
          <w:szCs w:val="30"/>
        </w:rPr>
        <w:t>1.财政拨款收入：</w:t>
      </w:r>
      <w:r>
        <w:rPr>
          <w:rFonts w:hint="eastAsia" w:ascii="仿宋_GB2312" w:hAnsi="仿宋_GB2312" w:eastAsia="仿宋_GB2312"/>
          <w:sz w:val="32"/>
        </w:rPr>
        <w:t>本级财政部门当年拨付的财政预算资金，包括一般公共预算财政拨款和政府性基金预算财政拨款。</w:t>
      </w:r>
    </w:p>
    <w:p>
      <w:pPr>
        <w:ind w:firstLine="600" w:firstLineChars="200"/>
        <w:rPr>
          <w:rFonts w:hint="eastAsia" w:eastAsia="仿宋_GB2312"/>
          <w:sz w:val="32"/>
          <w:szCs w:val="32"/>
        </w:rPr>
      </w:pPr>
      <w:r>
        <w:rPr>
          <w:rFonts w:hint="eastAsia" w:ascii="仿宋_GB2312" w:eastAsia="仿宋_GB2312"/>
          <w:bCs/>
          <w:color w:val="000000"/>
          <w:sz w:val="30"/>
          <w:szCs w:val="30"/>
        </w:rPr>
        <w:t>2.专户资金:</w:t>
      </w:r>
      <w:r>
        <w:rPr>
          <w:rFonts w:eastAsia="仿宋_GB2312"/>
          <w:sz w:val="32"/>
          <w:szCs w:val="32"/>
        </w:rPr>
        <w:t>作为本部门的事业收入，纳入财政专户管理的资金。</w:t>
      </w:r>
    </w:p>
    <w:p>
      <w:pPr>
        <w:ind w:firstLine="600" w:firstLineChars="200"/>
        <w:rPr>
          <w:rFonts w:hint="eastAsia" w:ascii="仿宋_GB2312" w:hAnsi="仿宋_GB2312" w:eastAsia="仿宋_GB2312"/>
          <w:sz w:val="32"/>
        </w:rPr>
      </w:pPr>
      <w:r>
        <w:rPr>
          <w:rFonts w:hint="eastAsia" w:ascii="仿宋_GB2312" w:eastAsia="仿宋_GB2312"/>
          <w:bCs/>
          <w:color w:val="000000"/>
          <w:sz w:val="30"/>
          <w:szCs w:val="30"/>
        </w:rPr>
        <w:t>3.单</w:t>
      </w:r>
      <w:r>
        <w:rPr>
          <w:rFonts w:hint="eastAsia" w:eastAsia="仿宋_GB2312"/>
          <w:sz w:val="32"/>
          <w:szCs w:val="32"/>
        </w:rPr>
        <w:t>位结余：是指上年度预算未使用完毕需继续纳入本年度预算的资金（包括一般公共预算、政府性基金预算和专户资金预算）。</w:t>
      </w:r>
    </w:p>
    <w:p>
      <w:pPr>
        <w:ind w:firstLine="600" w:firstLineChars="200"/>
        <w:jc w:val="left"/>
        <w:rPr>
          <w:rFonts w:hint="eastAsia" w:ascii="仿宋_GB2312" w:hAnsi="仿宋_GB2312" w:eastAsia="仿宋_GB2312"/>
          <w:sz w:val="32"/>
        </w:rPr>
      </w:pPr>
      <w:r>
        <w:rPr>
          <w:rFonts w:hint="eastAsia" w:ascii="仿宋_GB2312" w:eastAsia="仿宋_GB2312"/>
          <w:bCs/>
          <w:color w:val="000000"/>
          <w:sz w:val="30"/>
          <w:szCs w:val="30"/>
        </w:rPr>
        <w:t>4.事业收入：</w:t>
      </w:r>
      <w:r>
        <w:rPr>
          <w:rFonts w:hint="eastAsia" w:ascii="仿宋_GB2312" w:hAnsi="仿宋_GB2312" w:eastAsia="仿宋_GB2312"/>
          <w:sz w:val="32"/>
        </w:rPr>
        <w:t>事业单位开展专业业务活动及辅助活动所取得的收入，不含专户资金收入。</w:t>
      </w:r>
    </w:p>
    <w:p>
      <w:pPr>
        <w:ind w:firstLine="600" w:firstLineChars="200"/>
        <w:rPr>
          <w:rFonts w:hint="eastAsia" w:ascii="仿宋_GB2312" w:hAnsi="仿宋_GB2312" w:eastAsia="仿宋_GB2312"/>
          <w:sz w:val="32"/>
        </w:rPr>
      </w:pPr>
      <w:r>
        <w:rPr>
          <w:rFonts w:hint="eastAsia" w:ascii="仿宋_GB2312" w:eastAsia="仿宋_GB2312"/>
          <w:bCs/>
          <w:color w:val="000000"/>
          <w:sz w:val="30"/>
          <w:szCs w:val="30"/>
        </w:rPr>
        <w:t>5.事业单位经营收入：</w:t>
      </w:r>
      <w:r>
        <w:rPr>
          <w:rFonts w:hint="eastAsia" w:ascii="仿宋_GB2312" w:hAnsi="仿宋_GB2312" w:eastAsia="仿宋_GB2312"/>
          <w:sz w:val="32"/>
        </w:rPr>
        <w:t>事业单位在专业业务活动及辅助活动之外开展非独立核算经营活动取得的收入。</w:t>
      </w:r>
    </w:p>
    <w:p>
      <w:pPr>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6.其他收入：</w:t>
      </w:r>
      <w:r>
        <w:rPr>
          <w:rFonts w:hint="eastAsia" w:ascii="仿宋_GB2312" w:hAnsi="仿宋_GB2312" w:eastAsia="仿宋_GB2312"/>
          <w:sz w:val="32"/>
        </w:rPr>
        <w:t>预算单位在“财政拨款、事业收入、经营收入”等之外取得的各项收入（含上级补助收入和附属单位缴款等收入）。</w:t>
      </w:r>
    </w:p>
    <w:p>
      <w:pPr>
        <w:ind w:firstLine="600" w:firstLineChars="200"/>
        <w:rPr>
          <w:rFonts w:hint="eastAsia" w:eastAsia="仿宋_GB2312"/>
          <w:sz w:val="32"/>
          <w:szCs w:val="32"/>
        </w:rPr>
      </w:pPr>
      <w:r>
        <w:rPr>
          <w:rFonts w:hint="eastAsia" w:ascii="仿宋_GB2312" w:eastAsia="仿宋_GB2312"/>
          <w:bCs/>
          <w:color w:val="000000"/>
          <w:sz w:val="30"/>
          <w:szCs w:val="30"/>
        </w:rPr>
        <w:t>7.用事业基金弥补收支差额：指事业单位在预计用当年的“财政拨款收入”“专户资金”“事业收入”“事业单位经营收入”“其他收入”“上年结转”等不足以安排当年支出的情况下，使</w:t>
      </w:r>
      <w:r>
        <w:rPr>
          <w:rFonts w:eastAsia="仿宋_GB2312"/>
          <w:sz w:val="32"/>
          <w:szCs w:val="32"/>
        </w:rPr>
        <w:t>用</w:t>
      </w:r>
      <w:r>
        <w:rPr>
          <w:rFonts w:hint="eastAsia" w:eastAsia="仿宋_GB2312"/>
          <w:sz w:val="32"/>
          <w:szCs w:val="32"/>
        </w:rPr>
        <w:t>以前年度积累的</w:t>
      </w:r>
      <w:r>
        <w:rPr>
          <w:rFonts w:eastAsia="仿宋_GB2312"/>
          <w:sz w:val="32"/>
          <w:szCs w:val="32"/>
        </w:rPr>
        <w:t>事业基金弥补本年收支</w:t>
      </w:r>
      <w:r>
        <w:rPr>
          <w:rFonts w:hint="eastAsia" w:eastAsia="仿宋_GB2312"/>
          <w:sz w:val="32"/>
          <w:szCs w:val="32"/>
        </w:rPr>
        <w:t>缺口的资金。</w:t>
      </w:r>
    </w:p>
    <w:p>
      <w:pPr>
        <w:ind w:firstLine="600" w:firstLineChars="200"/>
        <w:rPr>
          <w:rFonts w:hint="eastAsia" w:eastAsia="仿宋_GB2312"/>
          <w:sz w:val="32"/>
          <w:szCs w:val="32"/>
        </w:rPr>
      </w:pPr>
      <w:r>
        <w:rPr>
          <w:rFonts w:hint="eastAsia" w:ascii="仿宋_GB2312" w:eastAsia="仿宋_GB2312"/>
          <w:bCs/>
          <w:color w:val="000000"/>
          <w:sz w:val="30"/>
          <w:szCs w:val="30"/>
        </w:rPr>
        <w:t>8.</w:t>
      </w:r>
      <w:r>
        <w:rPr>
          <w:rFonts w:hint="eastAsia" w:eastAsia="仿宋_GB2312"/>
          <w:sz w:val="32"/>
          <w:szCs w:val="32"/>
        </w:rPr>
        <w:t>上年结转：指以前年度尚未完成、结转到本年仍按原规定用途继续使用的资金。</w:t>
      </w:r>
    </w:p>
    <w:p>
      <w:pPr>
        <w:ind w:firstLine="640" w:firstLineChars="200"/>
        <w:jc w:val="left"/>
        <w:rPr>
          <w:rFonts w:hint="eastAsia" w:ascii="仿宋_GB2312" w:hAnsi="仿宋_GB2312" w:eastAsia="仿宋_GB2312"/>
          <w:sz w:val="32"/>
        </w:rPr>
      </w:pPr>
      <w:r>
        <w:rPr>
          <w:rFonts w:hint="eastAsia" w:ascii="仿宋_GB2312" w:hAnsi="仿宋_GB2312" w:eastAsia="仿宋_GB2312"/>
          <w:sz w:val="32"/>
        </w:rPr>
        <w:t>9.基本支出：是预算单位为保障其正常运转，完成日常工作任务所发生的支出，包括人员支出和日常公用支出。</w:t>
      </w:r>
    </w:p>
    <w:p>
      <w:pPr>
        <w:ind w:firstLine="640" w:firstLineChars="200"/>
        <w:jc w:val="left"/>
        <w:rPr>
          <w:rFonts w:hint="eastAsia" w:ascii="仿宋_GB2312" w:hAnsi="仿宋_GB2312" w:eastAsia="仿宋_GB2312"/>
          <w:sz w:val="32"/>
        </w:rPr>
      </w:pPr>
      <w:r>
        <w:rPr>
          <w:rFonts w:hint="eastAsia" w:ascii="仿宋_GB2312" w:hAnsi="仿宋_GB2312" w:eastAsia="仿宋_GB2312"/>
          <w:sz w:val="32"/>
        </w:rPr>
        <w:t>10.项目支出：是预算单位为完成其特定的行政工作任务或事业发展目标所发生的支出。</w:t>
      </w:r>
    </w:p>
    <w:p>
      <w:pPr>
        <w:spacing w:line="540" w:lineRule="exact"/>
        <w:ind w:firstLine="640"/>
        <w:jc w:val="left"/>
        <w:rPr>
          <w:rFonts w:hint="eastAsia" w:ascii="仿宋_GB2312" w:hAnsi="仿宋_GB2312" w:eastAsia="仿宋_GB2312"/>
          <w:sz w:val="32"/>
        </w:rPr>
      </w:pPr>
      <w:r>
        <w:rPr>
          <w:rFonts w:hint="eastAsia" w:ascii="仿宋_GB2312" w:hAnsi="仿宋_GB2312" w:eastAsia="仿宋_GB2312"/>
          <w:sz w:val="32"/>
        </w:rPr>
        <w:t>11.教育支出（类）职业教育（款）高等职业教育（项）:指的是浙江安防职业技术学院人员工资及日常运转、社会保障等方面的支出。</w:t>
      </w:r>
    </w:p>
    <w:p>
      <w:pPr>
        <w:spacing w:line="540" w:lineRule="exact"/>
        <w:ind w:firstLine="640"/>
        <w:jc w:val="left"/>
        <w:rPr>
          <w:rFonts w:hint="eastAsia"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val="en-US" w:eastAsia="zh-CN"/>
        </w:rPr>
        <w:t>2</w:t>
      </w:r>
      <w:r>
        <w:rPr>
          <w:rFonts w:hint="eastAsia" w:ascii="仿宋_GB2312" w:hAnsi="仿宋_GB2312" w:eastAsia="仿宋_GB2312"/>
          <w:sz w:val="32"/>
        </w:rPr>
        <w:t>.</w:t>
      </w:r>
      <w:r>
        <w:rPr>
          <w:rFonts w:hint="eastAsia" w:ascii="仿宋_GB2312" w:hAnsi="仿宋_GB2312" w:eastAsia="仿宋_GB2312"/>
          <w:sz w:val="32"/>
          <w:lang w:eastAsia="zh-CN"/>
        </w:rPr>
        <w:t>卫生健康支出</w:t>
      </w:r>
      <w:r>
        <w:rPr>
          <w:rFonts w:hint="eastAsia" w:ascii="仿宋_GB2312" w:hAnsi="仿宋_GB2312" w:eastAsia="仿宋_GB2312"/>
          <w:sz w:val="32"/>
        </w:rPr>
        <w:t>（类）行政事业单位医疗（款）事业单位医疗（项）：指的是浙江安防职业技术学院基本医疗保障的支出。</w:t>
      </w:r>
    </w:p>
    <w:p>
      <w:pPr>
        <w:spacing w:line="540" w:lineRule="exact"/>
        <w:ind w:firstLine="640"/>
        <w:jc w:val="left"/>
        <w:rPr>
          <w:rFonts w:hint="eastAsia"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val="en-US" w:eastAsia="zh-CN"/>
        </w:rPr>
        <w:t>3</w:t>
      </w:r>
      <w:r>
        <w:rPr>
          <w:rFonts w:hint="eastAsia" w:ascii="仿宋_GB2312" w:hAnsi="仿宋_GB2312" w:eastAsia="仿宋_GB2312"/>
          <w:sz w:val="32"/>
        </w:rPr>
        <w:t>.住房保障支出（类）住房改革支出（款）住房公积金（项）：指的是浙江安防职业技术学院住房公积金支出。</w:t>
      </w:r>
    </w:p>
    <w:p>
      <w:pPr>
        <w:spacing w:line="540" w:lineRule="exact"/>
        <w:ind w:firstLine="640"/>
        <w:jc w:val="left"/>
        <w:rPr>
          <w:rFonts w:hint="eastAsia"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val="en-US" w:eastAsia="zh-CN"/>
        </w:rPr>
        <w:t>4</w:t>
      </w:r>
      <w:r>
        <w:rPr>
          <w:rFonts w:hint="eastAsia" w:ascii="仿宋_GB2312" w:hAnsi="仿宋_GB2312" w:eastAsia="仿宋_GB2312"/>
          <w:sz w:val="32"/>
        </w:rPr>
        <w:t>.住房保障支出（类）住房改革支出（款）购房补贴（项）：指的是浙江安防职业技术学院住房公积金补贴支出。</w:t>
      </w:r>
    </w:p>
    <w:p>
      <w:pPr>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1</w:t>
      </w:r>
      <w:r>
        <w:rPr>
          <w:rFonts w:hint="eastAsia" w:ascii="仿宋_GB2312" w:eastAsia="仿宋_GB2312"/>
          <w:bCs/>
          <w:color w:val="000000"/>
          <w:sz w:val="30"/>
          <w:szCs w:val="30"/>
          <w:lang w:val="en-US" w:eastAsia="zh-CN"/>
        </w:rPr>
        <w:t>5</w:t>
      </w:r>
      <w:r>
        <w:rPr>
          <w:rFonts w:hint="eastAsia" w:ascii="仿宋_GB2312" w:hAnsi="仿宋_GB2312" w:eastAsia="仿宋_GB2312"/>
          <w:sz w:val="32"/>
        </w:rPr>
        <w:t>.</w:t>
      </w:r>
      <w:r>
        <w:rPr>
          <w:rFonts w:hint="eastAsia" w:ascii="仿宋_GB2312" w:eastAsia="仿宋_GB2312"/>
          <w:color w:val="000000"/>
          <w:sz w:val="32"/>
          <w:szCs w:val="32"/>
        </w:rPr>
        <w:t xml:space="preserve"> 城乡社区支出（类）国有土地使用权出让收入及对应专项债务收入安排的支出（款）其他国有土地使用权出让收入安排的支出（项）：指的是</w:t>
      </w:r>
      <w:r>
        <w:rPr>
          <w:rFonts w:hint="eastAsia" w:ascii="仿宋_GB2312" w:hAnsi="仿宋_GB2312" w:eastAsia="仿宋_GB2312"/>
          <w:sz w:val="32"/>
        </w:rPr>
        <w:t>浙江安防职业技术学院</w:t>
      </w:r>
      <w:r>
        <w:rPr>
          <w:rFonts w:hint="eastAsia" w:ascii="仿宋_GB2312" w:eastAsia="仿宋_GB2312"/>
          <w:color w:val="000000"/>
          <w:sz w:val="32"/>
          <w:szCs w:val="32"/>
        </w:rPr>
        <w:t>基建</w:t>
      </w:r>
      <w:r>
        <w:rPr>
          <w:rFonts w:hint="eastAsia" w:ascii="仿宋_GB2312" w:eastAsia="仿宋_GB2312"/>
          <w:color w:val="000000"/>
          <w:sz w:val="32"/>
          <w:szCs w:val="32"/>
          <w:lang w:eastAsia="zh-CN"/>
        </w:rPr>
        <w:t>工程项目的支出</w:t>
      </w:r>
      <w:r>
        <w:rPr>
          <w:rFonts w:hint="eastAsia" w:ascii="仿宋_GB2312" w:eastAsia="仿宋_GB2312"/>
          <w:color w:val="000000"/>
          <w:sz w:val="32"/>
          <w:szCs w:val="32"/>
        </w:rPr>
        <w:t>。</w:t>
      </w:r>
    </w:p>
    <w:p>
      <w:pPr>
        <w:spacing w:line="640" w:lineRule="exact"/>
        <w:ind w:firstLine="600" w:firstLineChars="200"/>
        <w:rPr>
          <w:rFonts w:ascii="仿宋_GB2312" w:hAnsi="Times New Roman" w:eastAsia="仿宋_GB2312" w:cs="Times New Roman"/>
          <w:bCs/>
          <w:color w:val="000000"/>
          <w:sz w:val="30"/>
          <w:szCs w:val="30"/>
        </w:rPr>
      </w:pPr>
    </w:p>
    <w:p>
      <w:pPr>
        <w:spacing w:line="580" w:lineRule="exact"/>
        <w:rPr>
          <w:rFonts w:hint="eastAsia" w:ascii="方正小标宋简体" w:hAnsi="方正小标宋简体" w:eastAsia="方正小标宋简体" w:cs="方正小标宋简体"/>
          <w:spacing w:val="15"/>
          <w:sz w:val="44"/>
          <w:szCs w:val="44"/>
        </w:rPr>
      </w:pPr>
      <w:r>
        <w:rPr>
          <w:rFonts w:hint="eastAsia" w:ascii="黑体" w:hAnsi="黑体" w:eastAsia="黑体" w:cs="黑体"/>
          <w:spacing w:val="15"/>
          <w:sz w:val="32"/>
          <w:szCs w:val="32"/>
        </w:rPr>
        <w:br w:type="page"/>
      </w:r>
      <w:r>
        <w:rPr>
          <w:rFonts w:hint="eastAsia" w:ascii="黑体" w:hAnsi="黑体" w:eastAsia="黑体" w:cs="黑体"/>
          <w:spacing w:val="15"/>
          <w:sz w:val="32"/>
          <w:szCs w:val="32"/>
        </w:rPr>
        <w:t>附件3-2</w:t>
      </w:r>
      <w:r>
        <w:rPr>
          <w:rFonts w:ascii="黑体" w:hAnsi="黑体" w:eastAsia="黑体" w:cs="黑体"/>
          <w:spacing w:val="15"/>
          <w:sz w:val="32"/>
          <w:szCs w:val="32"/>
        </w:rPr>
        <w:t>市级部门预算公开表格</w:t>
      </w:r>
    </w:p>
    <w:tbl>
      <w:tblPr>
        <w:tblStyle w:val="6"/>
        <w:tblW w:w="10121" w:type="dxa"/>
        <w:jc w:val="center"/>
        <w:tblInd w:w="0" w:type="dxa"/>
        <w:tblLayout w:type="fixed"/>
        <w:tblCellMar>
          <w:top w:w="0" w:type="dxa"/>
          <w:left w:w="108" w:type="dxa"/>
          <w:bottom w:w="0" w:type="dxa"/>
          <w:right w:w="108" w:type="dxa"/>
        </w:tblCellMar>
      </w:tblPr>
      <w:tblGrid>
        <w:gridCol w:w="2830"/>
        <w:gridCol w:w="2034"/>
        <w:gridCol w:w="3528"/>
        <w:gridCol w:w="1729"/>
      </w:tblGrid>
      <w:tr>
        <w:tblPrEx>
          <w:tblLayout w:type="fixed"/>
          <w:tblCellMar>
            <w:top w:w="0" w:type="dxa"/>
            <w:left w:w="108" w:type="dxa"/>
            <w:bottom w:w="0" w:type="dxa"/>
            <w:right w:w="108" w:type="dxa"/>
          </w:tblCellMar>
        </w:tblPrEx>
        <w:trPr>
          <w:trHeight w:val="570" w:hRule="atLeast"/>
          <w:jc w:val="center"/>
        </w:trPr>
        <w:tc>
          <w:tcPr>
            <w:tcW w:w="10121" w:type="dxa"/>
            <w:gridSpan w:val="4"/>
            <w:tcBorders>
              <w:top w:val="nil"/>
              <w:left w:val="nil"/>
              <w:bottom w:val="nil"/>
              <w:right w:val="nil"/>
            </w:tcBorders>
            <w:shd w:val="clear" w:color="auto" w:fill="auto"/>
            <w:noWrap/>
            <w:vAlign w:val="center"/>
          </w:tcPr>
          <w:p>
            <w:pPr>
              <w:widowControl/>
              <w:rPr>
                <w:rFonts w:ascii="方正小标宋简体" w:hAnsi="宋体" w:eastAsia="方正小标宋简体" w:cs="宋体"/>
                <w:kern w:val="0"/>
                <w:sz w:val="44"/>
                <w:szCs w:val="44"/>
              </w:rPr>
            </w:pPr>
            <w:r>
              <w:rPr>
                <w:rFonts w:hint="eastAsia" w:ascii="方正小标宋简体" w:hAnsi="宋体" w:eastAsia="方正小标宋简体" w:cs="宋体"/>
                <w:kern w:val="0"/>
                <w:szCs w:val="21"/>
              </w:rPr>
              <w:t>表1</w:t>
            </w:r>
            <w:r>
              <w:rPr>
                <w:rFonts w:hint="eastAsia" w:ascii="方正小标宋简体" w:hAnsi="宋体" w:eastAsia="方正小标宋简体" w:cs="宋体"/>
                <w:kern w:val="0"/>
                <w:sz w:val="24"/>
                <w:szCs w:val="24"/>
              </w:rPr>
              <w:t xml:space="preserve">  </w:t>
            </w:r>
            <w:r>
              <w:rPr>
                <w:rFonts w:hint="eastAsia" w:ascii="方正小标宋简体" w:hAnsi="宋体" w:eastAsia="方正小标宋简体" w:cs="宋体"/>
                <w:kern w:val="0"/>
                <w:sz w:val="44"/>
                <w:szCs w:val="44"/>
              </w:rPr>
              <w:t xml:space="preserve">      2019年市级部门收支预算总表</w:t>
            </w:r>
          </w:p>
        </w:tc>
      </w:tr>
      <w:tr>
        <w:tblPrEx>
          <w:tblLayout w:type="fixed"/>
          <w:tblCellMar>
            <w:top w:w="0" w:type="dxa"/>
            <w:left w:w="108" w:type="dxa"/>
            <w:bottom w:w="0" w:type="dxa"/>
            <w:right w:w="108" w:type="dxa"/>
          </w:tblCellMar>
        </w:tblPrEx>
        <w:trPr>
          <w:trHeight w:val="300" w:hRule="atLeast"/>
          <w:jc w:val="center"/>
        </w:trPr>
        <w:tc>
          <w:tcPr>
            <w:tcW w:w="2830" w:type="dxa"/>
            <w:tcBorders>
              <w:top w:val="nil"/>
              <w:left w:val="nil"/>
              <w:bottom w:val="nil"/>
              <w:right w:val="nil"/>
            </w:tcBorders>
            <w:shd w:val="clear" w:color="auto" w:fill="auto"/>
            <w:noWrap/>
            <w:vAlign w:val="center"/>
          </w:tcPr>
          <w:p>
            <w:pPr>
              <w:widowControl/>
              <w:jc w:val="left"/>
              <w:rPr>
                <w:rFonts w:hint="eastAsia" w:ascii="方正书宋_GBK" w:hAnsi="宋体" w:eastAsia="方正书宋_GBK" w:cs="宋体"/>
                <w:kern w:val="0"/>
                <w:sz w:val="20"/>
                <w:szCs w:val="24"/>
                <w:lang w:eastAsia="zh-CN"/>
              </w:rPr>
            </w:pPr>
            <w:r>
              <w:rPr>
                <w:rFonts w:hint="eastAsia" w:ascii="方正书宋_GBK" w:hAnsi="宋体" w:eastAsia="方正书宋_GBK" w:cs="宋体"/>
                <w:kern w:val="0"/>
                <w:sz w:val="20"/>
                <w:szCs w:val="24"/>
              </w:rPr>
              <w:t>部门名称：</w:t>
            </w:r>
            <w:r>
              <w:rPr>
                <w:rFonts w:hint="eastAsia" w:ascii="方正书宋_GBK" w:hAnsi="宋体" w:eastAsia="方正书宋_GBK" w:cs="宋体"/>
                <w:kern w:val="0"/>
                <w:sz w:val="20"/>
                <w:szCs w:val="24"/>
                <w:lang w:eastAsia="zh-CN"/>
              </w:rPr>
              <w:t xml:space="preserve"> 浙江安防职业技术学院</w:t>
            </w:r>
          </w:p>
        </w:tc>
        <w:tc>
          <w:tcPr>
            <w:tcW w:w="2034" w:type="dxa"/>
            <w:tcBorders>
              <w:top w:val="nil"/>
              <w:left w:val="nil"/>
              <w:bottom w:val="nil"/>
              <w:right w:val="nil"/>
            </w:tcBorders>
            <w:shd w:val="clear" w:color="auto" w:fill="auto"/>
            <w:noWrap/>
            <w:vAlign w:val="center"/>
          </w:tcPr>
          <w:p>
            <w:pPr>
              <w:widowControl/>
              <w:jc w:val="left"/>
              <w:rPr>
                <w:rFonts w:ascii="宋体" w:hAnsi="宋体" w:eastAsia="宋体" w:cs="宋体"/>
                <w:kern w:val="0"/>
                <w:sz w:val="18"/>
                <w:szCs w:val="18"/>
              </w:rPr>
            </w:pPr>
          </w:p>
        </w:tc>
        <w:tc>
          <w:tcPr>
            <w:tcW w:w="3528" w:type="dxa"/>
            <w:tcBorders>
              <w:top w:val="nil"/>
              <w:left w:val="nil"/>
              <w:bottom w:val="nil"/>
              <w:right w:val="nil"/>
            </w:tcBorders>
            <w:shd w:val="clear" w:color="auto" w:fill="auto"/>
            <w:noWrap/>
            <w:vAlign w:val="center"/>
          </w:tcPr>
          <w:p>
            <w:pPr>
              <w:widowControl/>
              <w:jc w:val="left"/>
              <w:rPr>
                <w:rFonts w:ascii="宋体" w:hAnsi="宋体" w:eastAsia="宋体" w:cs="宋体"/>
                <w:kern w:val="0"/>
                <w:sz w:val="18"/>
                <w:szCs w:val="18"/>
              </w:rPr>
            </w:pPr>
          </w:p>
        </w:tc>
        <w:tc>
          <w:tcPr>
            <w:tcW w:w="1729" w:type="dxa"/>
            <w:tcBorders>
              <w:top w:val="nil"/>
              <w:left w:val="nil"/>
              <w:bottom w:val="nil"/>
              <w:right w:val="nil"/>
            </w:tcBorders>
            <w:shd w:val="clear" w:color="auto" w:fill="auto"/>
            <w:vAlign w:val="center"/>
          </w:tcPr>
          <w:p>
            <w:pPr>
              <w:widowControl/>
              <w:jc w:val="right"/>
              <w:rPr>
                <w:rFonts w:ascii="方正书宋_GBK" w:hAnsi="宋体" w:eastAsia="方正书宋_GBK" w:cs="宋体"/>
                <w:kern w:val="0"/>
                <w:sz w:val="20"/>
                <w:szCs w:val="24"/>
              </w:rPr>
            </w:pPr>
            <w:r>
              <w:rPr>
                <w:rFonts w:hint="eastAsia" w:ascii="方正书宋_GBK" w:hAnsi="宋体" w:eastAsia="方正书宋_GBK" w:cs="宋体"/>
                <w:kern w:val="0"/>
                <w:sz w:val="20"/>
                <w:szCs w:val="24"/>
              </w:rPr>
              <w:t>单位：万元</w:t>
            </w:r>
          </w:p>
        </w:tc>
      </w:tr>
      <w:tr>
        <w:tblPrEx>
          <w:tblLayout w:type="fixed"/>
          <w:tblCellMar>
            <w:top w:w="0" w:type="dxa"/>
            <w:left w:w="108" w:type="dxa"/>
            <w:bottom w:w="0" w:type="dxa"/>
            <w:right w:w="108" w:type="dxa"/>
          </w:tblCellMar>
        </w:tblPrEx>
        <w:trPr>
          <w:trHeight w:val="330" w:hRule="atLeast"/>
          <w:jc w:val="center"/>
        </w:trPr>
        <w:tc>
          <w:tcPr>
            <w:tcW w:w="4864" w:type="dxa"/>
            <w:gridSpan w:val="2"/>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收                    入</w:t>
            </w:r>
          </w:p>
        </w:tc>
        <w:tc>
          <w:tcPr>
            <w:tcW w:w="5257"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支                    出</w:t>
            </w:r>
          </w:p>
        </w:tc>
      </w:tr>
      <w:tr>
        <w:tblPrEx>
          <w:tblLayout w:type="fixed"/>
          <w:tblCellMar>
            <w:top w:w="0" w:type="dxa"/>
            <w:left w:w="108" w:type="dxa"/>
            <w:bottom w:w="0" w:type="dxa"/>
            <w:right w:w="108" w:type="dxa"/>
          </w:tblCellMar>
        </w:tblPrEx>
        <w:trPr>
          <w:trHeight w:val="381"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项                        目</w:t>
            </w:r>
          </w:p>
        </w:tc>
        <w:tc>
          <w:tcPr>
            <w:tcW w:w="2034" w:type="dxa"/>
            <w:tcBorders>
              <w:top w:val="nil"/>
              <w:left w:val="nil"/>
              <w:bottom w:val="single" w:color="auto" w:sz="4" w:space="0"/>
              <w:right w:val="single" w:color="auto"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预算数</w:t>
            </w:r>
          </w:p>
        </w:tc>
        <w:tc>
          <w:tcPr>
            <w:tcW w:w="352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项                        目</w:t>
            </w:r>
          </w:p>
        </w:tc>
        <w:tc>
          <w:tcPr>
            <w:tcW w:w="1729" w:type="dxa"/>
            <w:tcBorders>
              <w:top w:val="single" w:color="000000" w:sz="4" w:space="0"/>
              <w:left w:val="nil"/>
              <w:bottom w:val="single" w:color="auto" w:sz="4" w:space="0"/>
              <w:right w:val="single" w:color="000000"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预算数</w:t>
            </w:r>
          </w:p>
        </w:tc>
      </w:tr>
      <w:tr>
        <w:tblPrEx>
          <w:tblLayout w:type="fixed"/>
          <w:tblCellMar>
            <w:top w:w="0" w:type="dxa"/>
            <w:left w:w="108" w:type="dxa"/>
            <w:bottom w:w="0" w:type="dxa"/>
            <w:right w:w="108" w:type="dxa"/>
          </w:tblCellMar>
        </w:tblPrEx>
        <w:trPr>
          <w:trHeight w:val="315"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一、财政拨款</w:t>
            </w:r>
          </w:p>
        </w:tc>
        <w:tc>
          <w:tcPr>
            <w:tcW w:w="20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5115.49 </w:t>
            </w:r>
          </w:p>
        </w:tc>
        <w:tc>
          <w:tcPr>
            <w:tcW w:w="35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合计</w:t>
            </w: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7106.69 </w:t>
            </w:r>
          </w:p>
        </w:tc>
      </w:tr>
      <w:tr>
        <w:tblPrEx>
          <w:tblLayout w:type="fixed"/>
          <w:tblCellMar>
            <w:top w:w="0" w:type="dxa"/>
            <w:left w:w="108" w:type="dxa"/>
            <w:bottom w:w="0" w:type="dxa"/>
            <w:right w:w="108" w:type="dxa"/>
          </w:tblCellMar>
        </w:tblPrEx>
        <w:trPr>
          <w:trHeight w:val="315"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xml:space="preserve">    一般公共预算</w:t>
            </w:r>
          </w:p>
        </w:tc>
        <w:tc>
          <w:tcPr>
            <w:tcW w:w="20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3895.20 </w:t>
            </w:r>
          </w:p>
        </w:tc>
        <w:tc>
          <w:tcPr>
            <w:tcW w:w="35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教育支出</w:t>
            </w: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5519.70 </w:t>
            </w:r>
          </w:p>
        </w:tc>
      </w:tr>
      <w:tr>
        <w:tblPrEx>
          <w:tblLayout w:type="fixed"/>
          <w:tblCellMar>
            <w:top w:w="0" w:type="dxa"/>
            <w:left w:w="108" w:type="dxa"/>
            <w:bottom w:w="0" w:type="dxa"/>
            <w:right w:w="108" w:type="dxa"/>
          </w:tblCellMar>
        </w:tblPrEx>
        <w:trPr>
          <w:trHeight w:val="315"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xml:space="preserve">    政府性基金预算</w:t>
            </w:r>
          </w:p>
        </w:tc>
        <w:tc>
          <w:tcPr>
            <w:tcW w:w="20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1220.29 </w:t>
            </w:r>
          </w:p>
        </w:tc>
        <w:tc>
          <w:tcPr>
            <w:tcW w:w="35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职业教育</w:t>
            </w: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5519.70 </w:t>
            </w:r>
          </w:p>
        </w:tc>
      </w:tr>
      <w:tr>
        <w:tblPrEx>
          <w:tblLayout w:type="fixed"/>
          <w:tblCellMar>
            <w:top w:w="0" w:type="dxa"/>
            <w:left w:w="108" w:type="dxa"/>
            <w:bottom w:w="0" w:type="dxa"/>
            <w:right w:w="108" w:type="dxa"/>
          </w:tblCellMar>
        </w:tblPrEx>
        <w:trPr>
          <w:trHeight w:val="315"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二、专户资金</w:t>
            </w:r>
          </w:p>
        </w:tc>
        <w:tc>
          <w:tcPr>
            <w:tcW w:w="20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1991.20 </w:t>
            </w:r>
          </w:p>
        </w:tc>
        <w:tc>
          <w:tcPr>
            <w:tcW w:w="35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高等职业教育</w:t>
            </w: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5519.70 </w:t>
            </w:r>
          </w:p>
        </w:tc>
      </w:tr>
      <w:tr>
        <w:tblPrEx>
          <w:tblLayout w:type="fixed"/>
          <w:tblCellMar>
            <w:top w:w="0" w:type="dxa"/>
            <w:left w:w="108" w:type="dxa"/>
            <w:bottom w:w="0" w:type="dxa"/>
            <w:right w:w="108" w:type="dxa"/>
          </w:tblCellMar>
        </w:tblPrEx>
        <w:trPr>
          <w:trHeight w:val="315"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三、单位结余</w:t>
            </w:r>
          </w:p>
        </w:tc>
        <w:tc>
          <w:tcPr>
            <w:tcW w:w="20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5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卫生健康支出</w:t>
            </w: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137.86 </w:t>
            </w:r>
          </w:p>
        </w:tc>
      </w:tr>
      <w:tr>
        <w:tblPrEx>
          <w:tblLayout w:type="fixed"/>
          <w:tblCellMar>
            <w:top w:w="0" w:type="dxa"/>
            <w:left w:w="108" w:type="dxa"/>
            <w:bottom w:w="0" w:type="dxa"/>
            <w:right w:w="108" w:type="dxa"/>
          </w:tblCellMar>
        </w:tblPrEx>
        <w:trPr>
          <w:trHeight w:val="315"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p>
        </w:tc>
        <w:tc>
          <w:tcPr>
            <w:tcW w:w="20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5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行政事业单位医疗</w:t>
            </w: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137.86 </w:t>
            </w:r>
          </w:p>
        </w:tc>
      </w:tr>
      <w:tr>
        <w:tblPrEx>
          <w:tblLayout w:type="fixed"/>
          <w:tblCellMar>
            <w:top w:w="0" w:type="dxa"/>
            <w:left w:w="108" w:type="dxa"/>
            <w:bottom w:w="0" w:type="dxa"/>
            <w:right w:w="108" w:type="dxa"/>
          </w:tblCellMar>
        </w:tblPrEx>
        <w:trPr>
          <w:trHeight w:val="315"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p>
        </w:tc>
        <w:tc>
          <w:tcPr>
            <w:tcW w:w="20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5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事业单位医疗</w:t>
            </w: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137.86 </w:t>
            </w:r>
          </w:p>
        </w:tc>
      </w:tr>
      <w:tr>
        <w:tblPrEx>
          <w:tblLayout w:type="fixed"/>
          <w:tblCellMar>
            <w:top w:w="0" w:type="dxa"/>
            <w:left w:w="108" w:type="dxa"/>
            <w:bottom w:w="0" w:type="dxa"/>
            <w:right w:w="108" w:type="dxa"/>
          </w:tblCellMar>
        </w:tblPrEx>
        <w:trPr>
          <w:trHeight w:val="315"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p>
        </w:tc>
        <w:tc>
          <w:tcPr>
            <w:tcW w:w="20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5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城乡社区支出</w:t>
            </w: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1220.29 </w:t>
            </w:r>
          </w:p>
        </w:tc>
      </w:tr>
      <w:tr>
        <w:tblPrEx>
          <w:tblLayout w:type="fixed"/>
          <w:tblCellMar>
            <w:top w:w="0" w:type="dxa"/>
            <w:left w:w="108" w:type="dxa"/>
            <w:bottom w:w="0" w:type="dxa"/>
            <w:right w:w="108" w:type="dxa"/>
          </w:tblCellMar>
        </w:tblPrEx>
        <w:trPr>
          <w:trHeight w:val="315"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20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5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国有土地使用权出让收入及对应专项债务收入安排的支出</w:t>
            </w: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1220.29 </w:t>
            </w:r>
          </w:p>
        </w:tc>
      </w:tr>
      <w:tr>
        <w:tblPrEx>
          <w:tblLayout w:type="fixed"/>
          <w:tblCellMar>
            <w:top w:w="0" w:type="dxa"/>
            <w:left w:w="108" w:type="dxa"/>
            <w:bottom w:w="0" w:type="dxa"/>
            <w:right w:w="108" w:type="dxa"/>
          </w:tblCellMar>
        </w:tblPrEx>
        <w:trPr>
          <w:trHeight w:val="315"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20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5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其他国有土地使用权出让收入安排的支出</w:t>
            </w: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1220.29 </w:t>
            </w:r>
          </w:p>
        </w:tc>
      </w:tr>
      <w:tr>
        <w:tblPrEx>
          <w:tblLayout w:type="fixed"/>
          <w:tblCellMar>
            <w:top w:w="0" w:type="dxa"/>
            <w:left w:w="108" w:type="dxa"/>
            <w:bottom w:w="0" w:type="dxa"/>
            <w:right w:w="108" w:type="dxa"/>
          </w:tblCellMar>
        </w:tblPrEx>
        <w:trPr>
          <w:trHeight w:val="315"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20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5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住房保障支出</w:t>
            </w: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228.84 </w:t>
            </w:r>
          </w:p>
        </w:tc>
      </w:tr>
      <w:tr>
        <w:tblPrEx>
          <w:tblLayout w:type="fixed"/>
          <w:tblCellMar>
            <w:top w:w="0" w:type="dxa"/>
            <w:left w:w="108" w:type="dxa"/>
            <w:bottom w:w="0" w:type="dxa"/>
            <w:right w:w="108" w:type="dxa"/>
          </w:tblCellMar>
        </w:tblPrEx>
        <w:trPr>
          <w:trHeight w:val="315"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20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5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住房改革支出</w:t>
            </w: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228.84 </w:t>
            </w:r>
          </w:p>
        </w:tc>
      </w:tr>
      <w:tr>
        <w:tblPrEx>
          <w:tblLayout w:type="fixed"/>
          <w:tblCellMar>
            <w:top w:w="0" w:type="dxa"/>
            <w:left w:w="108" w:type="dxa"/>
            <w:bottom w:w="0" w:type="dxa"/>
            <w:right w:w="108" w:type="dxa"/>
          </w:tblCellMar>
        </w:tblPrEx>
        <w:trPr>
          <w:trHeight w:val="315"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20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5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住房公积金</w:t>
            </w: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177.36 </w:t>
            </w:r>
          </w:p>
        </w:tc>
      </w:tr>
      <w:tr>
        <w:tblPrEx>
          <w:tblLayout w:type="fixed"/>
          <w:tblCellMar>
            <w:top w:w="0" w:type="dxa"/>
            <w:left w:w="108" w:type="dxa"/>
            <w:bottom w:w="0" w:type="dxa"/>
            <w:right w:w="108" w:type="dxa"/>
          </w:tblCellMar>
        </w:tblPrEx>
        <w:trPr>
          <w:trHeight w:val="315"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20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5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购房补贴</w:t>
            </w: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51.48 </w:t>
            </w:r>
          </w:p>
        </w:tc>
      </w:tr>
      <w:tr>
        <w:tblPrEx>
          <w:tblLayout w:type="fixed"/>
          <w:tblCellMar>
            <w:top w:w="0" w:type="dxa"/>
            <w:left w:w="108" w:type="dxa"/>
            <w:bottom w:w="0" w:type="dxa"/>
            <w:right w:w="108" w:type="dxa"/>
          </w:tblCellMar>
        </w:tblPrEx>
        <w:trPr>
          <w:trHeight w:val="480"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20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5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20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5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20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5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20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5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20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5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20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5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方正书宋_GBK" w:hAnsi="宋体" w:eastAsia="方正书宋_GBK" w:cs="宋体"/>
                <w:kern w:val="0"/>
                <w:sz w:val="20"/>
                <w:szCs w:val="24"/>
              </w:rPr>
            </w:pPr>
          </w:p>
        </w:tc>
        <w:tc>
          <w:tcPr>
            <w:tcW w:w="20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52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50"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p>
        </w:tc>
        <w:tc>
          <w:tcPr>
            <w:tcW w:w="20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52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2830" w:type="dxa"/>
            <w:tcBorders>
              <w:top w:val="nil"/>
              <w:left w:val="single" w:color="auto" w:sz="4" w:space="0"/>
              <w:bottom w:val="single" w:color="auto" w:sz="4" w:space="0"/>
              <w:right w:val="nil"/>
            </w:tcBorders>
            <w:shd w:val="clear" w:color="auto" w:fill="auto"/>
            <w:vAlign w:val="center"/>
          </w:tcPr>
          <w:p>
            <w:pPr>
              <w:widowControl/>
              <w:jc w:val="left"/>
              <w:rPr>
                <w:rFonts w:ascii="方正书宋_GBK" w:hAnsi="宋体" w:eastAsia="方正书宋_GBK" w:cs="宋体"/>
                <w:kern w:val="0"/>
                <w:sz w:val="20"/>
                <w:szCs w:val="24"/>
              </w:rPr>
            </w:pPr>
          </w:p>
        </w:tc>
        <w:tc>
          <w:tcPr>
            <w:tcW w:w="2034"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5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2830" w:type="dxa"/>
            <w:tcBorders>
              <w:top w:val="nil"/>
              <w:left w:val="single" w:color="auto" w:sz="4" w:space="0"/>
              <w:bottom w:val="single" w:color="auto" w:sz="4" w:space="0"/>
              <w:right w:val="nil"/>
            </w:tcBorders>
            <w:shd w:val="clear" w:color="auto" w:fill="auto"/>
            <w:vAlign w:val="center"/>
          </w:tcPr>
          <w:p>
            <w:pPr>
              <w:widowControl/>
              <w:jc w:val="left"/>
              <w:rPr>
                <w:rFonts w:ascii="方正书宋_GBK" w:hAnsi="宋体" w:eastAsia="方正书宋_GBK" w:cs="宋体"/>
                <w:kern w:val="0"/>
                <w:sz w:val="20"/>
                <w:szCs w:val="24"/>
              </w:rPr>
            </w:pPr>
            <w:r>
              <w:rPr>
                <w:rFonts w:hint="eastAsia" w:ascii="宋体" w:hAnsi="宋体" w:eastAsia="宋体" w:cs="宋体"/>
                <w:kern w:val="0"/>
                <w:sz w:val="20"/>
                <w:szCs w:val="24"/>
              </w:rPr>
              <w:t xml:space="preserve">    </w:t>
            </w:r>
          </w:p>
        </w:tc>
        <w:tc>
          <w:tcPr>
            <w:tcW w:w="2034"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5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45" w:hRule="atLeast"/>
          <w:jc w:val="center"/>
        </w:trPr>
        <w:tc>
          <w:tcPr>
            <w:tcW w:w="2830" w:type="dxa"/>
            <w:tcBorders>
              <w:top w:val="nil"/>
              <w:left w:val="single" w:color="auto" w:sz="4" w:space="0"/>
              <w:bottom w:val="single" w:color="auto" w:sz="4" w:space="0"/>
              <w:right w:val="nil"/>
            </w:tcBorders>
            <w:shd w:val="clear" w:color="auto" w:fill="auto"/>
            <w:vAlign w:val="center"/>
          </w:tcPr>
          <w:p>
            <w:pPr>
              <w:widowControl/>
              <w:jc w:val="left"/>
              <w:rPr>
                <w:rFonts w:ascii="方正书宋_GBK" w:hAnsi="宋体" w:eastAsia="方正书宋_GBK" w:cs="宋体"/>
                <w:kern w:val="0"/>
                <w:sz w:val="20"/>
                <w:szCs w:val="24"/>
              </w:rPr>
            </w:pPr>
            <w:r>
              <w:rPr>
                <w:rFonts w:hint="eastAsia" w:ascii="宋体" w:hAnsi="宋体" w:eastAsia="宋体" w:cs="宋体"/>
                <w:kern w:val="0"/>
                <w:sz w:val="20"/>
                <w:szCs w:val="24"/>
              </w:rPr>
              <w:t xml:space="preserve">  </w:t>
            </w:r>
          </w:p>
        </w:tc>
        <w:tc>
          <w:tcPr>
            <w:tcW w:w="2034"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5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4"/>
              </w:rPr>
            </w:pPr>
            <w:r>
              <w:rPr>
                <w:rFonts w:hint="eastAsia" w:ascii="方正书宋_GBK" w:hAnsi="宋体" w:eastAsia="方正书宋_GBK" w:cs="宋体"/>
                <w:kern w:val="0"/>
                <w:sz w:val="20"/>
                <w:szCs w:val="24"/>
              </w:rPr>
              <w:t>收  入  总  计</w:t>
            </w:r>
          </w:p>
        </w:tc>
        <w:tc>
          <w:tcPr>
            <w:tcW w:w="20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7106.69</w:t>
            </w:r>
            <w:r>
              <w:rPr>
                <w:rFonts w:hint="eastAsia" w:ascii="宋体" w:hAnsi="宋体" w:eastAsia="宋体" w:cs="宋体"/>
                <w:kern w:val="0"/>
                <w:sz w:val="18"/>
                <w:szCs w:val="18"/>
              </w:rPr>
              <w:t>　</w:t>
            </w:r>
          </w:p>
        </w:tc>
        <w:tc>
          <w:tcPr>
            <w:tcW w:w="35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支  出  总  计</w:t>
            </w:r>
          </w:p>
        </w:tc>
        <w:tc>
          <w:tcPr>
            <w:tcW w:w="1729" w:type="dxa"/>
            <w:tcBorders>
              <w:top w:val="single" w:color="000000" w:sz="4" w:space="0"/>
              <w:left w:val="nil"/>
              <w:bottom w:val="single" w:color="auto" w:sz="4" w:space="0"/>
              <w:right w:val="single" w:color="00000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7106.69</w:t>
            </w:r>
            <w:r>
              <w:rPr>
                <w:rFonts w:hint="eastAsia" w:ascii="宋体" w:hAnsi="宋体" w:eastAsia="宋体" w:cs="宋体"/>
                <w:kern w:val="0"/>
                <w:sz w:val="18"/>
                <w:szCs w:val="18"/>
              </w:rPr>
              <w:t>　</w:t>
            </w:r>
          </w:p>
        </w:tc>
      </w:tr>
    </w:tbl>
    <w:p>
      <w:pPr>
        <w:spacing w:line="580" w:lineRule="exact"/>
        <w:rPr>
          <w:rFonts w:hint="eastAsia" w:ascii="方正小标宋简体" w:hAnsi="方正小标宋简体" w:eastAsia="方正小标宋简体" w:cs="方正小标宋简体"/>
          <w:spacing w:val="15"/>
          <w:sz w:val="44"/>
          <w:szCs w:val="44"/>
        </w:rPr>
      </w:pPr>
    </w:p>
    <w:p>
      <w:pPr>
        <w:spacing w:line="580" w:lineRule="exact"/>
        <w:rPr>
          <w:rFonts w:hint="eastAsia" w:ascii="方正小标宋简体" w:hAnsi="方正小标宋简体" w:eastAsia="方正小标宋简体" w:cs="方正小标宋简体"/>
          <w:spacing w:val="15"/>
          <w:sz w:val="44"/>
          <w:szCs w:val="44"/>
        </w:rPr>
      </w:pPr>
    </w:p>
    <w:tbl>
      <w:tblPr>
        <w:tblStyle w:val="6"/>
        <w:tblW w:w="10020" w:type="dxa"/>
        <w:jc w:val="center"/>
        <w:tblInd w:w="0" w:type="dxa"/>
        <w:tblLayout w:type="fixed"/>
        <w:tblCellMar>
          <w:top w:w="0" w:type="dxa"/>
          <w:left w:w="108" w:type="dxa"/>
          <w:bottom w:w="0" w:type="dxa"/>
          <w:right w:w="108" w:type="dxa"/>
        </w:tblCellMar>
      </w:tblPr>
      <w:tblGrid>
        <w:gridCol w:w="3220"/>
        <w:gridCol w:w="1420"/>
        <w:gridCol w:w="4020"/>
        <w:gridCol w:w="1360"/>
      </w:tblGrid>
      <w:tr>
        <w:tblPrEx>
          <w:tblLayout w:type="fixed"/>
          <w:tblCellMar>
            <w:top w:w="0" w:type="dxa"/>
            <w:left w:w="108" w:type="dxa"/>
            <w:bottom w:w="0" w:type="dxa"/>
            <w:right w:w="108" w:type="dxa"/>
          </w:tblCellMar>
        </w:tblPrEx>
        <w:trPr>
          <w:trHeight w:val="570" w:hRule="atLeast"/>
          <w:jc w:val="center"/>
        </w:trPr>
        <w:tc>
          <w:tcPr>
            <w:tcW w:w="10020" w:type="dxa"/>
            <w:gridSpan w:val="4"/>
            <w:tcBorders>
              <w:top w:val="nil"/>
              <w:left w:val="nil"/>
              <w:bottom w:val="nil"/>
              <w:right w:val="nil"/>
            </w:tcBorders>
            <w:shd w:val="clear" w:color="auto" w:fill="auto"/>
            <w:noWrap/>
            <w:vAlign w:val="center"/>
          </w:tcPr>
          <w:p>
            <w:pPr>
              <w:widowControl/>
              <w:rPr>
                <w:rFonts w:ascii="方正小标宋简体" w:hAnsi="宋体" w:eastAsia="方正小标宋简体" w:cs="宋体"/>
                <w:kern w:val="0"/>
                <w:sz w:val="44"/>
                <w:szCs w:val="44"/>
              </w:rPr>
            </w:pPr>
            <w:r>
              <w:rPr>
                <w:rFonts w:hint="eastAsia" w:ascii="方正小标宋简体" w:hAnsi="宋体" w:eastAsia="方正小标宋简体" w:cs="宋体"/>
                <w:kern w:val="0"/>
                <w:szCs w:val="21"/>
              </w:rPr>
              <w:t>表2</w:t>
            </w:r>
            <w:r>
              <w:rPr>
                <w:rFonts w:hint="eastAsia" w:ascii="方正小标宋简体" w:hAnsi="宋体" w:eastAsia="方正小标宋简体" w:cs="宋体"/>
                <w:kern w:val="0"/>
                <w:sz w:val="44"/>
                <w:szCs w:val="44"/>
              </w:rPr>
              <w:t xml:space="preserve">    2019年市级部门财政拨款收支预算总表</w:t>
            </w:r>
          </w:p>
        </w:tc>
      </w:tr>
      <w:tr>
        <w:tblPrEx>
          <w:tblLayout w:type="fixed"/>
          <w:tblCellMar>
            <w:top w:w="0" w:type="dxa"/>
            <w:left w:w="108" w:type="dxa"/>
            <w:bottom w:w="0" w:type="dxa"/>
            <w:right w:w="108" w:type="dxa"/>
          </w:tblCellMar>
        </w:tblPrEx>
        <w:trPr>
          <w:trHeight w:val="300" w:hRule="atLeast"/>
          <w:jc w:val="center"/>
        </w:trPr>
        <w:tc>
          <w:tcPr>
            <w:tcW w:w="3220" w:type="dxa"/>
            <w:tcBorders>
              <w:top w:val="nil"/>
              <w:left w:val="nil"/>
              <w:bottom w:val="nil"/>
              <w:right w:val="nil"/>
            </w:tcBorders>
            <w:shd w:val="clear" w:color="auto" w:fill="auto"/>
            <w:noWrap/>
            <w:vAlign w:val="center"/>
          </w:tcPr>
          <w:p>
            <w:pPr>
              <w:widowControl/>
              <w:jc w:val="left"/>
              <w:rPr>
                <w:rFonts w:hint="eastAsia" w:ascii="方正书宋_GBK" w:hAnsi="宋体" w:eastAsia="方正书宋_GBK" w:cs="宋体"/>
                <w:kern w:val="0"/>
                <w:sz w:val="20"/>
                <w:szCs w:val="24"/>
                <w:lang w:eastAsia="zh-CN"/>
              </w:rPr>
            </w:pPr>
            <w:r>
              <w:rPr>
                <w:rFonts w:hint="eastAsia" w:ascii="方正书宋_GBK" w:hAnsi="宋体" w:eastAsia="方正书宋_GBK" w:cs="宋体"/>
                <w:kern w:val="0"/>
                <w:sz w:val="20"/>
                <w:szCs w:val="24"/>
              </w:rPr>
              <w:t>部门名称：</w:t>
            </w:r>
            <w:r>
              <w:rPr>
                <w:rFonts w:hint="eastAsia" w:ascii="方正书宋_GBK" w:hAnsi="宋体" w:eastAsia="方正书宋_GBK" w:cs="宋体"/>
                <w:kern w:val="0"/>
                <w:sz w:val="20"/>
                <w:szCs w:val="24"/>
                <w:lang w:eastAsia="zh-CN"/>
              </w:rPr>
              <w:t xml:space="preserve"> 浙江安防职业技术学院</w:t>
            </w:r>
          </w:p>
        </w:tc>
        <w:tc>
          <w:tcPr>
            <w:tcW w:w="1420" w:type="dxa"/>
            <w:tcBorders>
              <w:top w:val="nil"/>
              <w:left w:val="nil"/>
              <w:bottom w:val="nil"/>
              <w:right w:val="nil"/>
            </w:tcBorders>
            <w:shd w:val="clear" w:color="auto" w:fill="auto"/>
            <w:noWrap/>
            <w:vAlign w:val="center"/>
          </w:tcPr>
          <w:p>
            <w:pPr>
              <w:widowControl/>
              <w:jc w:val="left"/>
              <w:rPr>
                <w:rFonts w:ascii="宋体" w:hAnsi="宋体" w:eastAsia="宋体" w:cs="宋体"/>
                <w:kern w:val="0"/>
                <w:sz w:val="18"/>
                <w:szCs w:val="18"/>
              </w:rPr>
            </w:pPr>
          </w:p>
        </w:tc>
        <w:tc>
          <w:tcPr>
            <w:tcW w:w="4020" w:type="dxa"/>
            <w:tcBorders>
              <w:top w:val="nil"/>
              <w:left w:val="nil"/>
              <w:bottom w:val="nil"/>
              <w:right w:val="nil"/>
            </w:tcBorders>
            <w:shd w:val="clear" w:color="auto" w:fill="auto"/>
            <w:noWrap/>
            <w:vAlign w:val="center"/>
          </w:tcPr>
          <w:p>
            <w:pPr>
              <w:widowControl/>
              <w:jc w:val="left"/>
              <w:rPr>
                <w:rFonts w:ascii="宋体" w:hAnsi="宋体" w:eastAsia="宋体" w:cs="宋体"/>
                <w:kern w:val="0"/>
                <w:sz w:val="18"/>
                <w:szCs w:val="18"/>
              </w:rPr>
            </w:pPr>
          </w:p>
        </w:tc>
        <w:tc>
          <w:tcPr>
            <w:tcW w:w="1360" w:type="dxa"/>
            <w:tcBorders>
              <w:top w:val="nil"/>
              <w:left w:val="nil"/>
              <w:bottom w:val="nil"/>
              <w:right w:val="nil"/>
            </w:tcBorders>
            <w:shd w:val="clear" w:color="auto" w:fill="auto"/>
            <w:vAlign w:val="center"/>
          </w:tcPr>
          <w:p>
            <w:pPr>
              <w:widowControl/>
              <w:jc w:val="right"/>
              <w:rPr>
                <w:rFonts w:ascii="方正书宋_GBK" w:hAnsi="宋体" w:eastAsia="方正书宋_GBK" w:cs="宋体"/>
                <w:kern w:val="0"/>
                <w:sz w:val="20"/>
                <w:szCs w:val="24"/>
              </w:rPr>
            </w:pPr>
            <w:r>
              <w:rPr>
                <w:rFonts w:hint="eastAsia" w:ascii="方正书宋_GBK" w:hAnsi="宋体" w:eastAsia="方正书宋_GBK" w:cs="宋体"/>
                <w:kern w:val="0"/>
                <w:sz w:val="20"/>
                <w:szCs w:val="24"/>
              </w:rPr>
              <w:t>单位：万元</w:t>
            </w:r>
          </w:p>
        </w:tc>
      </w:tr>
      <w:tr>
        <w:tblPrEx>
          <w:tblLayout w:type="fixed"/>
          <w:tblCellMar>
            <w:top w:w="0" w:type="dxa"/>
            <w:left w:w="108" w:type="dxa"/>
            <w:bottom w:w="0" w:type="dxa"/>
            <w:right w:w="108" w:type="dxa"/>
          </w:tblCellMar>
        </w:tblPrEx>
        <w:trPr>
          <w:trHeight w:val="330" w:hRule="atLeast"/>
          <w:jc w:val="center"/>
        </w:trPr>
        <w:tc>
          <w:tcPr>
            <w:tcW w:w="4640" w:type="dxa"/>
            <w:gridSpan w:val="2"/>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收                    入</w:t>
            </w:r>
          </w:p>
        </w:tc>
        <w:tc>
          <w:tcPr>
            <w:tcW w:w="538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支                    出</w:t>
            </w:r>
          </w:p>
        </w:tc>
      </w:tr>
      <w:tr>
        <w:tblPrEx>
          <w:tblLayout w:type="fixed"/>
          <w:tblCellMar>
            <w:top w:w="0" w:type="dxa"/>
            <w:left w:w="108" w:type="dxa"/>
            <w:bottom w:w="0" w:type="dxa"/>
            <w:right w:w="108" w:type="dxa"/>
          </w:tblCellMar>
        </w:tblPrEx>
        <w:trPr>
          <w:trHeight w:val="328"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项                        目</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预算数</w:t>
            </w:r>
          </w:p>
        </w:tc>
        <w:tc>
          <w:tcPr>
            <w:tcW w:w="40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项                        目</w:t>
            </w:r>
          </w:p>
        </w:tc>
        <w:tc>
          <w:tcPr>
            <w:tcW w:w="1360" w:type="dxa"/>
            <w:tcBorders>
              <w:top w:val="single" w:color="000000" w:sz="4" w:space="0"/>
              <w:left w:val="nil"/>
              <w:bottom w:val="single" w:color="auto" w:sz="4" w:space="0"/>
              <w:right w:val="single" w:color="000000"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预算数</w:t>
            </w: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一、财政拨款</w:t>
            </w:r>
          </w:p>
        </w:tc>
        <w:tc>
          <w:tcPr>
            <w:tcW w:w="14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5115.49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合计</w:t>
            </w: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5115.49 </w:t>
            </w: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xml:space="preserve">    一般公共预算</w:t>
            </w:r>
          </w:p>
        </w:tc>
        <w:tc>
          <w:tcPr>
            <w:tcW w:w="14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3,895.20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教育支出</w:t>
            </w: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3528.50 </w:t>
            </w: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xml:space="preserve">    政府性基金预算</w:t>
            </w:r>
          </w:p>
        </w:tc>
        <w:tc>
          <w:tcPr>
            <w:tcW w:w="14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1,220.29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职业教育</w:t>
            </w: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3528.50 </w:t>
            </w: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高等职业教育</w:t>
            </w: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3528.50 </w:t>
            </w: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卫生健康支出</w:t>
            </w: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137.86 </w:t>
            </w: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行政事业单位医疗</w:t>
            </w: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137.86 </w:t>
            </w: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事业单位医疗</w:t>
            </w: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137.86 </w:t>
            </w: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城乡社区支出</w:t>
            </w: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1220.29 </w:t>
            </w: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国有土地使用权出让收入及对应专项债务收入安排的支出</w:t>
            </w: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1220.29 </w:t>
            </w: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其他国有土地使用权出让收入安排的支出</w:t>
            </w: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1220.29 </w:t>
            </w: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住房保障支出</w:t>
            </w: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228.84 </w:t>
            </w: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住房改革支出</w:t>
            </w: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228.84 </w:t>
            </w: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住房公积金</w:t>
            </w: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177.36 </w:t>
            </w: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购房补贴</w:t>
            </w: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51.48 </w:t>
            </w:r>
          </w:p>
        </w:tc>
      </w:tr>
      <w:tr>
        <w:tblPrEx>
          <w:tblLayout w:type="fixed"/>
          <w:tblCellMar>
            <w:top w:w="0" w:type="dxa"/>
            <w:left w:w="108" w:type="dxa"/>
            <w:bottom w:w="0" w:type="dxa"/>
            <w:right w:w="108" w:type="dxa"/>
          </w:tblCellMar>
        </w:tblPrEx>
        <w:trPr>
          <w:trHeight w:val="450"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4"/>
              </w:rPr>
            </w:pPr>
            <w:r>
              <w:rPr>
                <w:rFonts w:hint="eastAsia" w:ascii="宋体" w:hAnsi="宋体" w:eastAsia="宋体" w:cs="宋体"/>
                <w:kern w:val="0"/>
                <w:sz w:val="20"/>
                <w:szCs w:val="24"/>
              </w:rPr>
              <w:t>　</w:t>
            </w:r>
          </w:p>
        </w:tc>
        <w:tc>
          <w:tcPr>
            <w:tcW w:w="142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4"/>
              </w:rPr>
            </w:pPr>
            <w:r>
              <w:rPr>
                <w:rFonts w:hint="eastAsia" w:ascii="宋体" w:hAnsi="宋体" w:eastAsia="宋体" w:cs="宋体"/>
                <w:kern w:val="0"/>
                <w:sz w:val="20"/>
                <w:szCs w:val="24"/>
              </w:rPr>
              <w:t>　</w:t>
            </w:r>
          </w:p>
        </w:tc>
        <w:tc>
          <w:tcPr>
            <w:tcW w:w="142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4"/>
              </w:rPr>
            </w:pPr>
            <w:r>
              <w:rPr>
                <w:rFonts w:hint="eastAsia" w:ascii="宋体" w:hAnsi="宋体" w:eastAsia="宋体" w:cs="宋体"/>
                <w:kern w:val="0"/>
                <w:sz w:val="20"/>
                <w:szCs w:val="24"/>
              </w:rPr>
              <w:t>　</w:t>
            </w:r>
          </w:p>
        </w:tc>
        <w:tc>
          <w:tcPr>
            <w:tcW w:w="142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322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收  入  总  计</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5115.49 </w:t>
            </w:r>
          </w:p>
        </w:tc>
        <w:tc>
          <w:tcPr>
            <w:tcW w:w="4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支  出  总  计</w:t>
            </w:r>
          </w:p>
        </w:tc>
        <w:tc>
          <w:tcPr>
            <w:tcW w:w="136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5115.49 </w:t>
            </w:r>
          </w:p>
        </w:tc>
      </w:tr>
    </w:tbl>
    <w:p>
      <w:pPr>
        <w:spacing w:line="580" w:lineRule="exact"/>
        <w:rPr>
          <w:rFonts w:hint="eastAsia" w:ascii="方正小标宋简体" w:hAnsi="方正小标宋简体" w:eastAsia="方正小标宋简体" w:cs="方正小标宋简体"/>
          <w:spacing w:val="15"/>
          <w:sz w:val="44"/>
          <w:szCs w:val="44"/>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tbl>
      <w:tblPr>
        <w:tblStyle w:val="6"/>
        <w:tblW w:w="10000" w:type="dxa"/>
        <w:jc w:val="center"/>
        <w:tblInd w:w="0" w:type="dxa"/>
        <w:tblLayout w:type="fixed"/>
        <w:tblCellMar>
          <w:top w:w="0" w:type="dxa"/>
          <w:left w:w="108" w:type="dxa"/>
          <w:bottom w:w="0" w:type="dxa"/>
          <w:right w:w="108" w:type="dxa"/>
        </w:tblCellMar>
      </w:tblPr>
      <w:tblGrid>
        <w:gridCol w:w="2260"/>
        <w:gridCol w:w="3560"/>
        <w:gridCol w:w="1060"/>
        <w:gridCol w:w="980"/>
        <w:gridCol w:w="1020"/>
        <w:gridCol w:w="1120"/>
      </w:tblGrid>
      <w:tr>
        <w:tblPrEx>
          <w:tblLayout w:type="fixed"/>
          <w:tblCellMar>
            <w:top w:w="0" w:type="dxa"/>
            <w:left w:w="108" w:type="dxa"/>
            <w:bottom w:w="0" w:type="dxa"/>
            <w:right w:w="108" w:type="dxa"/>
          </w:tblCellMar>
        </w:tblPrEx>
        <w:trPr>
          <w:trHeight w:val="525" w:hRule="atLeast"/>
          <w:jc w:val="center"/>
        </w:trPr>
        <w:tc>
          <w:tcPr>
            <w:tcW w:w="10000" w:type="dxa"/>
            <w:gridSpan w:val="6"/>
            <w:tcBorders>
              <w:top w:val="nil"/>
              <w:left w:val="nil"/>
              <w:bottom w:val="nil"/>
              <w:right w:val="nil"/>
            </w:tcBorders>
            <w:shd w:val="clear" w:color="auto" w:fill="auto"/>
            <w:noWrap/>
            <w:vAlign w:val="center"/>
          </w:tcPr>
          <w:p>
            <w:pPr>
              <w:widowControl/>
              <w:rPr>
                <w:rFonts w:ascii="方正小标宋简体" w:hAnsi="宋体" w:eastAsia="方正小标宋简体" w:cs="宋体"/>
                <w:kern w:val="0"/>
                <w:sz w:val="44"/>
                <w:szCs w:val="44"/>
              </w:rPr>
            </w:pPr>
            <w:r>
              <w:rPr>
                <w:rFonts w:hint="eastAsia" w:ascii="方正小标宋简体" w:hAnsi="宋体" w:eastAsia="方正小标宋简体" w:cs="宋体"/>
                <w:kern w:val="0"/>
                <w:szCs w:val="21"/>
              </w:rPr>
              <w:t xml:space="preserve">表3         </w:t>
            </w:r>
            <w:r>
              <w:rPr>
                <w:rFonts w:hint="eastAsia" w:ascii="方正小标宋简体" w:hAnsi="宋体" w:eastAsia="方正小标宋简体" w:cs="宋体"/>
                <w:kern w:val="0"/>
                <w:sz w:val="44"/>
                <w:szCs w:val="44"/>
              </w:rPr>
              <w:t>2019年市级部门一般公共预算支出表</w:t>
            </w:r>
          </w:p>
        </w:tc>
      </w:tr>
      <w:tr>
        <w:tblPrEx>
          <w:tblLayout w:type="fixed"/>
          <w:tblCellMar>
            <w:top w:w="0" w:type="dxa"/>
            <w:left w:w="108" w:type="dxa"/>
            <w:bottom w:w="0" w:type="dxa"/>
            <w:right w:w="108" w:type="dxa"/>
          </w:tblCellMar>
        </w:tblPrEx>
        <w:trPr>
          <w:trHeight w:val="402" w:hRule="atLeast"/>
          <w:jc w:val="center"/>
        </w:trPr>
        <w:tc>
          <w:tcPr>
            <w:tcW w:w="2260" w:type="dxa"/>
            <w:tcBorders>
              <w:top w:val="nil"/>
              <w:left w:val="nil"/>
              <w:bottom w:val="single" w:color="auto" w:sz="4" w:space="0"/>
              <w:right w:val="nil"/>
            </w:tcBorders>
            <w:shd w:val="clear" w:color="auto" w:fill="auto"/>
            <w:noWrap/>
            <w:vAlign w:val="center"/>
          </w:tcPr>
          <w:p>
            <w:pPr>
              <w:widowControl/>
              <w:jc w:val="left"/>
              <w:rPr>
                <w:rFonts w:hint="eastAsia" w:ascii="方正书宋_GBK" w:hAnsi="宋体" w:eastAsia="方正书宋_GBK" w:cs="宋体"/>
                <w:kern w:val="0"/>
                <w:sz w:val="18"/>
                <w:szCs w:val="18"/>
                <w:lang w:eastAsia="zh-CN"/>
              </w:rPr>
            </w:pPr>
            <w:r>
              <w:rPr>
                <w:rFonts w:hint="eastAsia" w:ascii="方正书宋_GBK" w:hAnsi="宋体" w:eastAsia="方正书宋_GBK" w:cs="宋体"/>
                <w:kern w:val="0"/>
                <w:sz w:val="18"/>
                <w:szCs w:val="18"/>
              </w:rPr>
              <w:t>部门名称：</w:t>
            </w:r>
            <w:r>
              <w:rPr>
                <w:rFonts w:hint="eastAsia" w:ascii="方正书宋_GBK" w:hAnsi="宋体" w:eastAsia="方正书宋_GBK" w:cs="宋体"/>
                <w:kern w:val="0"/>
                <w:sz w:val="18"/>
                <w:szCs w:val="18"/>
                <w:lang w:eastAsia="zh-CN"/>
              </w:rPr>
              <w:t xml:space="preserve"> 浙江安防职业技术学院</w:t>
            </w:r>
          </w:p>
        </w:tc>
        <w:tc>
          <w:tcPr>
            <w:tcW w:w="3560" w:type="dxa"/>
            <w:tcBorders>
              <w:top w:val="nil"/>
              <w:left w:val="nil"/>
              <w:bottom w:val="single" w:color="auto" w:sz="4" w:space="0"/>
              <w:right w:val="nil"/>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060" w:type="dxa"/>
            <w:tcBorders>
              <w:top w:val="nil"/>
              <w:left w:val="nil"/>
              <w:bottom w:val="single" w:color="auto" w:sz="4" w:space="0"/>
              <w:right w:val="nil"/>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980" w:type="dxa"/>
            <w:tcBorders>
              <w:top w:val="nil"/>
              <w:left w:val="nil"/>
              <w:bottom w:val="single" w:color="auto" w:sz="4" w:space="0"/>
              <w:right w:val="nil"/>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020" w:type="dxa"/>
            <w:tcBorders>
              <w:top w:val="nil"/>
              <w:left w:val="nil"/>
              <w:bottom w:val="single" w:color="auto" w:sz="4" w:space="0"/>
              <w:right w:val="nil"/>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120" w:type="dxa"/>
            <w:tcBorders>
              <w:top w:val="nil"/>
              <w:left w:val="nil"/>
              <w:bottom w:val="single" w:color="auto" w:sz="4" w:space="0"/>
              <w:right w:val="nil"/>
            </w:tcBorders>
            <w:shd w:val="clear" w:color="auto" w:fill="auto"/>
            <w:noWrap/>
            <w:vAlign w:val="center"/>
          </w:tcPr>
          <w:p>
            <w:pPr>
              <w:widowControl/>
              <w:jc w:val="right"/>
              <w:rPr>
                <w:rFonts w:ascii="方正书宋_GBK" w:hAnsi="宋体" w:eastAsia="方正书宋_GBK" w:cs="宋体"/>
                <w:kern w:val="0"/>
                <w:sz w:val="20"/>
                <w:szCs w:val="24"/>
              </w:rPr>
            </w:pPr>
            <w:r>
              <w:rPr>
                <w:rFonts w:hint="eastAsia" w:ascii="方正书宋_GBK" w:hAnsi="宋体" w:eastAsia="方正书宋_GBK" w:cs="宋体"/>
                <w:kern w:val="0"/>
                <w:sz w:val="20"/>
                <w:szCs w:val="24"/>
              </w:rPr>
              <w:t>单位：万元</w:t>
            </w:r>
          </w:p>
        </w:tc>
      </w:tr>
      <w:tr>
        <w:tblPrEx>
          <w:tblLayout w:type="fixed"/>
          <w:tblCellMar>
            <w:top w:w="0" w:type="dxa"/>
            <w:left w:w="108" w:type="dxa"/>
            <w:bottom w:w="0" w:type="dxa"/>
            <w:right w:w="108" w:type="dxa"/>
          </w:tblCellMar>
        </w:tblPrEx>
        <w:trPr>
          <w:trHeight w:val="360"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4"/>
              </w:rPr>
            </w:pPr>
            <w:r>
              <w:rPr>
                <w:rFonts w:hint="eastAsia" w:ascii="宋体" w:hAnsi="宋体" w:eastAsia="宋体" w:cs="宋体"/>
                <w:kern w:val="0"/>
                <w:sz w:val="20"/>
                <w:szCs w:val="24"/>
              </w:rPr>
              <w:t>科目编码</w:t>
            </w:r>
          </w:p>
        </w:tc>
        <w:tc>
          <w:tcPr>
            <w:tcW w:w="3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0"/>
                <w:szCs w:val="24"/>
              </w:rPr>
            </w:pPr>
            <w:r>
              <w:rPr>
                <w:rFonts w:hint="eastAsia" w:ascii="宋体" w:hAnsi="宋体" w:eastAsia="宋体" w:cs="宋体"/>
                <w:kern w:val="0"/>
                <w:sz w:val="20"/>
                <w:szCs w:val="24"/>
              </w:rPr>
              <w:t>科目名称</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4"/>
              </w:rPr>
            </w:pPr>
            <w:r>
              <w:rPr>
                <w:rFonts w:hint="eastAsia" w:ascii="宋体" w:hAnsi="宋体" w:eastAsia="宋体" w:cs="宋体"/>
                <w:kern w:val="0"/>
                <w:sz w:val="20"/>
                <w:szCs w:val="24"/>
              </w:rPr>
              <w:t>总计</w:t>
            </w:r>
          </w:p>
        </w:tc>
        <w:tc>
          <w:tcPr>
            <w:tcW w:w="9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20"/>
                <w:szCs w:val="24"/>
              </w:rPr>
            </w:pPr>
            <w:r>
              <w:rPr>
                <w:rFonts w:hint="eastAsia" w:ascii="宋体" w:hAnsi="宋体" w:eastAsia="宋体" w:cs="宋体"/>
                <w:kern w:val="0"/>
                <w:sz w:val="20"/>
                <w:szCs w:val="24"/>
              </w:rPr>
              <w:t>基本支出</w:t>
            </w: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4"/>
              </w:rPr>
            </w:pPr>
            <w:r>
              <w:rPr>
                <w:rFonts w:hint="eastAsia" w:ascii="宋体" w:hAnsi="宋体" w:eastAsia="宋体" w:cs="宋体"/>
                <w:kern w:val="0"/>
                <w:sz w:val="20"/>
                <w:szCs w:val="24"/>
              </w:rPr>
              <w:t>项目支出</w:t>
            </w:r>
          </w:p>
        </w:tc>
        <w:tc>
          <w:tcPr>
            <w:tcW w:w="11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备注</w:t>
            </w:r>
          </w:p>
        </w:tc>
      </w:tr>
      <w:tr>
        <w:tblPrEx>
          <w:tblLayout w:type="fixed"/>
          <w:tblCellMar>
            <w:top w:w="0" w:type="dxa"/>
            <w:left w:w="108" w:type="dxa"/>
            <w:bottom w:w="0" w:type="dxa"/>
            <w:right w:w="108" w:type="dxa"/>
          </w:tblCellMar>
        </w:tblPrEx>
        <w:trPr>
          <w:trHeight w:val="600"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4"/>
              </w:rPr>
            </w:pPr>
          </w:p>
        </w:tc>
        <w:tc>
          <w:tcPr>
            <w:tcW w:w="3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4"/>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4"/>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4"/>
              </w:rPr>
            </w:pP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4"/>
              </w:rPr>
            </w:pPr>
          </w:p>
        </w:tc>
        <w:tc>
          <w:tcPr>
            <w:tcW w:w="3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合计</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3895.20 </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2992.98 </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902.22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r>
        <w:tblPrEx>
          <w:tblLayout w:type="fixed"/>
          <w:tblCellMar>
            <w:top w:w="0" w:type="dxa"/>
            <w:left w:w="108" w:type="dxa"/>
            <w:bottom w:w="0" w:type="dxa"/>
            <w:right w:w="108" w:type="dxa"/>
          </w:tblCellMar>
        </w:tblPrEx>
        <w:trPr>
          <w:trHeight w:val="402"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205</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教育支出</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3528.50 </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2626.28 </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902.22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r>
        <w:tblPrEx>
          <w:tblLayout w:type="fixed"/>
          <w:tblCellMar>
            <w:top w:w="0" w:type="dxa"/>
            <w:left w:w="108" w:type="dxa"/>
            <w:bottom w:w="0" w:type="dxa"/>
            <w:right w:w="108" w:type="dxa"/>
          </w:tblCellMar>
        </w:tblPrEx>
        <w:trPr>
          <w:trHeight w:val="402"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  20503</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  职业教育</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3528.50 </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2626.28 </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902.22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r>
        <w:tblPrEx>
          <w:tblLayout w:type="fixed"/>
          <w:tblCellMar>
            <w:top w:w="0" w:type="dxa"/>
            <w:left w:w="108" w:type="dxa"/>
            <w:bottom w:w="0" w:type="dxa"/>
            <w:right w:w="108" w:type="dxa"/>
          </w:tblCellMar>
        </w:tblPrEx>
        <w:trPr>
          <w:trHeight w:val="402"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    2050305</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    高等职业教育</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3528.50 </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2626.28 </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902.22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r>
        <w:tblPrEx>
          <w:tblLayout w:type="fixed"/>
          <w:tblCellMar>
            <w:top w:w="0" w:type="dxa"/>
            <w:left w:w="108" w:type="dxa"/>
            <w:bottom w:w="0" w:type="dxa"/>
            <w:right w:w="108" w:type="dxa"/>
          </w:tblCellMar>
        </w:tblPrEx>
        <w:trPr>
          <w:trHeight w:val="402"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210</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卫生健康支出</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137.86 </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137.86 </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0.00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r>
        <w:tblPrEx>
          <w:tblLayout w:type="fixed"/>
          <w:tblCellMar>
            <w:top w:w="0" w:type="dxa"/>
            <w:left w:w="108" w:type="dxa"/>
            <w:bottom w:w="0" w:type="dxa"/>
            <w:right w:w="108" w:type="dxa"/>
          </w:tblCellMar>
        </w:tblPrEx>
        <w:trPr>
          <w:trHeight w:val="402"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  21011</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  行政事业单位医疗</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137.86 </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137.86 </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0.00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r>
        <w:tblPrEx>
          <w:tblLayout w:type="fixed"/>
          <w:tblCellMar>
            <w:top w:w="0" w:type="dxa"/>
            <w:left w:w="108" w:type="dxa"/>
            <w:bottom w:w="0" w:type="dxa"/>
            <w:right w:w="108" w:type="dxa"/>
          </w:tblCellMar>
        </w:tblPrEx>
        <w:trPr>
          <w:trHeight w:val="480"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    2101102</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    事业单位医疗</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137.86 </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137.86 </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0.00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r>
        <w:tblPrEx>
          <w:tblLayout w:type="fixed"/>
          <w:tblCellMar>
            <w:top w:w="0" w:type="dxa"/>
            <w:left w:w="108" w:type="dxa"/>
            <w:bottom w:w="0" w:type="dxa"/>
            <w:right w:w="108" w:type="dxa"/>
          </w:tblCellMar>
        </w:tblPrEx>
        <w:trPr>
          <w:trHeight w:val="402"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221</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住房保障支出</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228.84 </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228.84 </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0.00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r>
        <w:tblPrEx>
          <w:tblLayout w:type="fixed"/>
          <w:tblCellMar>
            <w:top w:w="0" w:type="dxa"/>
            <w:left w:w="108" w:type="dxa"/>
            <w:bottom w:w="0" w:type="dxa"/>
            <w:right w:w="108" w:type="dxa"/>
          </w:tblCellMar>
        </w:tblPrEx>
        <w:trPr>
          <w:trHeight w:val="402"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  22102</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  住房改革支出</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228.84 </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228.84 </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0.00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r>
        <w:tblPrEx>
          <w:tblLayout w:type="fixed"/>
          <w:tblCellMar>
            <w:top w:w="0" w:type="dxa"/>
            <w:left w:w="108" w:type="dxa"/>
            <w:bottom w:w="0" w:type="dxa"/>
            <w:right w:w="108" w:type="dxa"/>
          </w:tblCellMar>
        </w:tblPrEx>
        <w:trPr>
          <w:trHeight w:val="402"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    2210201</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    住房公积金</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177.36 </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177.36 </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0.00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r>
        <w:tblPrEx>
          <w:tblLayout w:type="fixed"/>
          <w:tblCellMar>
            <w:top w:w="0" w:type="dxa"/>
            <w:left w:w="108" w:type="dxa"/>
            <w:bottom w:w="0" w:type="dxa"/>
            <w:right w:w="108" w:type="dxa"/>
          </w:tblCellMar>
        </w:tblPrEx>
        <w:trPr>
          <w:trHeight w:val="402"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    2210203</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    购房补贴</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51.48 </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51.48 </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0.00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r>
        <w:tblPrEx>
          <w:tblLayout w:type="fixed"/>
          <w:tblCellMar>
            <w:top w:w="0" w:type="dxa"/>
            <w:left w:w="108" w:type="dxa"/>
            <w:bottom w:w="0" w:type="dxa"/>
            <w:right w:w="108" w:type="dxa"/>
          </w:tblCellMar>
        </w:tblPrEx>
        <w:trPr>
          <w:trHeight w:val="402"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4"/>
              </w:rPr>
            </w:pPr>
          </w:p>
        </w:tc>
        <w:tc>
          <w:tcPr>
            <w:tcW w:w="3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r>
        <w:tblPrEx>
          <w:tblLayout w:type="fixed"/>
          <w:tblCellMar>
            <w:top w:w="0" w:type="dxa"/>
            <w:left w:w="108" w:type="dxa"/>
            <w:bottom w:w="0" w:type="dxa"/>
            <w:right w:w="108" w:type="dxa"/>
          </w:tblCellMar>
        </w:tblPrEx>
        <w:trPr>
          <w:trHeight w:val="402"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p>
        </w:tc>
        <w:tc>
          <w:tcPr>
            <w:tcW w:w="3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r>
        <w:tblPrEx>
          <w:tblLayout w:type="fixed"/>
          <w:tblCellMar>
            <w:top w:w="0" w:type="dxa"/>
            <w:left w:w="108" w:type="dxa"/>
            <w:bottom w:w="0" w:type="dxa"/>
            <w:right w:w="108" w:type="dxa"/>
          </w:tblCellMar>
        </w:tblPrEx>
        <w:trPr>
          <w:trHeight w:val="402"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p>
        </w:tc>
        <w:tc>
          <w:tcPr>
            <w:tcW w:w="3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r>
        <w:tblPrEx>
          <w:tblLayout w:type="fixed"/>
          <w:tblCellMar>
            <w:top w:w="0" w:type="dxa"/>
            <w:left w:w="108" w:type="dxa"/>
            <w:bottom w:w="0" w:type="dxa"/>
            <w:right w:w="108" w:type="dxa"/>
          </w:tblCellMar>
        </w:tblPrEx>
        <w:trPr>
          <w:trHeight w:val="402"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p>
        </w:tc>
        <w:tc>
          <w:tcPr>
            <w:tcW w:w="3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r>
        <w:tblPrEx>
          <w:tblLayout w:type="fixed"/>
          <w:tblCellMar>
            <w:top w:w="0" w:type="dxa"/>
            <w:left w:w="108" w:type="dxa"/>
            <w:bottom w:w="0" w:type="dxa"/>
            <w:right w:w="108" w:type="dxa"/>
          </w:tblCellMar>
        </w:tblPrEx>
        <w:trPr>
          <w:trHeight w:val="402"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p>
        </w:tc>
        <w:tc>
          <w:tcPr>
            <w:tcW w:w="3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r>
        <w:tblPrEx>
          <w:tblLayout w:type="fixed"/>
          <w:tblCellMar>
            <w:top w:w="0" w:type="dxa"/>
            <w:left w:w="108" w:type="dxa"/>
            <w:bottom w:w="0" w:type="dxa"/>
            <w:right w:w="108" w:type="dxa"/>
          </w:tblCellMar>
        </w:tblPrEx>
        <w:trPr>
          <w:trHeight w:val="402"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4"/>
              </w:rPr>
            </w:pP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4"/>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bl>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tbl>
      <w:tblPr>
        <w:tblStyle w:val="6"/>
        <w:tblW w:w="10080" w:type="dxa"/>
        <w:jc w:val="center"/>
        <w:tblInd w:w="0" w:type="dxa"/>
        <w:tblLayout w:type="fixed"/>
        <w:tblCellMar>
          <w:top w:w="0" w:type="dxa"/>
          <w:left w:w="108" w:type="dxa"/>
          <w:bottom w:w="0" w:type="dxa"/>
          <w:right w:w="108" w:type="dxa"/>
        </w:tblCellMar>
      </w:tblPr>
      <w:tblGrid>
        <w:gridCol w:w="2240"/>
        <w:gridCol w:w="3560"/>
        <w:gridCol w:w="1020"/>
        <w:gridCol w:w="1060"/>
        <w:gridCol w:w="980"/>
        <w:gridCol w:w="1220"/>
      </w:tblGrid>
      <w:tr>
        <w:tblPrEx>
          <w:tblLayout w:type="fixed"/>
          <w:tblCellMar>
            <w:top w:w="0" w:type="dxa"/>
            <w:left w:w="108" w:type="dxa"/>
            <w:bottom w:w="0" w:type="dxa"/>
            <w:right w:w="108" w:type="dxa"/>
          </w:tblCellMar>
        </w:tblPrEx>
        <w:trPr>
          <w:trHeight w:val="525" w:hRule="atLeast"/>
          <w:jc w:val="center"/>
        </w:trPr>
        <w:tc>
          <w:tcPr>
            <w:tcW w:w="10080" w:type="dxa"/>
            <w:gridSpan w:val="6"/>
            <w:tcBorders>
              <w:top w:val="nil"/>
              <w:left w:val="nil"/>
              <w:bottom w:val="nil"/>
              <w:right w:val="nil"/>
            </w:tcBorders>
            <w:shd w:val="clear" w:color="auto" w:fill="auto"/>
            <w:noWrap/>
            <w:vAlign w:val="center"/>
          </w:tcPr>
          <w:p>
            <w:pPr>
              <w:widowControl/>
              <w:rPr>
                <w:rFonts w:ascii="方正小标宋简体" w:hAnsi="宋体" w:eastAsia="方正小标宋简体" w:cs="宋体"/>
                <w:kern w:val="0"/>
                <w:sz w:val="44"/>
                <w:szCs w:val="44"/>
              </w:rPr>
            </w:pPr>
            <w:r>
              <w:rPr>
                <w:rFonts w:hint="eastAsia" w:ascii="方正小标宋简体" w:hAnsi="宋体" w:eastAsia="方正小标宋简体" w:cs="宋体"/>
                <w:kern w:val="0"/>
                <w:szCs w:val="21"/>
              </w:rPr>
              <w:t>表4</w:t>
            </w:r>
            <w:r>
              <w:rPr>
                <w:rFonts w:hint="eastAsia" w:ascii="方正小标宋简体" w:hAnsi="宋体" w:eastAsia="方正小标宋简体" w:cs="宋体"/>
                <w:kern w:val="0"/>
                <w:sz w:val="44"/>
                <w:szCs w:val="44"/>
              </w:rPr>
              <w:t xml:space="preserve">    2019年市级部门政府性基金预算支出表</w:t>
            </w:r>
          </w:p>
        </w:tc>
      </w:tr>
      <w:tr>
        <w:tblPrEx>
          <w:tblLayout w:type="fixed"/>
          <w:tblCellMar>
            <w:top w:w="0" w:type="dxa"/>
            <w:left w:w="108" w:type="dxa"/>
            <w:bottom w:w="0" w:type="dxa"/>
            <w:right w:w="108" w:type="dxa"/>
          </w:tblCellMar>
        </w:tblPrEx>
        <w:trPr>
          <w:trHeight w:val="402" w:hRule="atLeast"/>
          <w:jc w:val="center"/>
        </w:trPr>
        <w:tc>
          <w:tcPr>
            <w:tcW w:w="2240" w:type="dxa"/>
            <w:tcBorders>
              <w:top w:val="nil"/>
              <w:left w:val="nil"/>
              <w:bottom w:val="single" w:color="auto" w:sz="4" w:space="0"/>
              <w:right w:val="nil"/>
            </w:tcBorders>
            <w:shd w:val="clear" w:color="auto" w:fill="auto"/>
            <w:noWrap/>
            <w:vAlign w:val="center"/>
          </w:tcPr>
          <w:p>
            <w:pPr>
              <w:widowControl/>
              <w:jc w:val="left"/>
              <w:rPr>
                <w:rFonts w:hint="eastAsia" w:ascii="方正书宋_GBK" w:hAnsi="宋体" w:eastAsia="方正书宋_GBK" w:cs="宋体"/>
                <w:kern w:val="0"/>
                <w:sz w:val="18"/>
                <w:szCs w:val="18"/>
                <w:lang w:eastAsia="zh-CN"/>
              </w:rPr>
            </w:pPr>
            <w:r>
              <w:rPr>
                <w:rFonts w:hint="eastAsia" w:ascii="方正书宋_GBK" w:hAnsi="宋体" w:eastAsia="方正书宋_GBK" w:cs="宋体"/>
                <w:kern w:val="0"/>
                <w:sz w:val="18"/>
                <w:szCs w:val="18"/>
              </w:rPr>
              <w:t>部门名称：</w:t>
            </w:r>
            <w:r>
              <w:rPr>
                <w:rFonts w:hint="eastAsia" w:ascii="方正书宋_GBK" w:hAnsi="宋体" w:eastAsia="方正书宋_GBK" w:cs="宋体"/>
                <w:kern w:val="0"/>
                <w:sz w:val="18"/>
                <w:szCs w:val="18"/>
                <w:lang w:eastAsia="zh-CN"/>
              </w:rPr>
              <w:t xml:space="preserve"> 浙江安防职业技术学院</w:t>
            </w:r>
          </w:p>
        </w:tc>
        <w:tc>
          <w:tcPr>
            <w:tcW w:w="3560" w:type="dxa"/>
            <w:tcBorders>
              <w:top w:val="nil"/>
              <w:left w:val="nil"/>
              <w:bottom w:val="nil"/>
              <w:right w:val="nil"/>
            </w:tcBorders>
            <w:shd w:val="clear" w:color="auto" w:fill="auto"/>
            <w:vAlign w:val="center"/>
          </w:tcPr>
          <w:p>
            <w:pPr>
              <w:widowControl/>
              <w:jc w:val="left"/>
              <w:rPr>
                <w:rFonts w:ascii="方正书宋_GBK" w:hAnsi="宋体" w:eastAsia="方正书宋_GBK" w:cs="宋体"/>
                <w:kern w:val="0"/>
                <w:sz w:val="18"/>
                <w:szCs w:val="18"/>
              </w:rPr>
            </w:pPr>
          </w:p>
        </w:tc>
        <w:tc>
          <w:tcPr>
            <w:tcW w:w="1020" w:type="dxa"/>
            <w:tcBorders>
              <w:top w:val="nil"/>
              <w:left w:val="nil"/>
              <w:bottom w:val="nil"/>
              <w:right w:val="nil"/>
            </w:tcBorders>
            <w:shd w:val="clear" w:color="auto" w:fill="auto"/>
            <w:vAlign w:val="center"/>
          </w:tcPr>
          <w:p>
            <w:pPr>
              <w:widowControl/>
              <w:jc w:val="left"/>
              <w:rPr>
                <w:rFonts w:ascii="方正书宋_GBK" w:hAnsi="宋体" w:eastAsia="方正书宋_GBK" w:cs="宋体"/>
                <w:kern w:val="0"/>
                <w:sz w:val="18"/>
                <w:szCs w:val="18"/>
              </w:rPr>
            </w:pPr>
          </w:p>
        </w:tc>
        <w:tc>
          <w:tcPr>
            <w:tcW w:w="1060" w:type="dxa"/>
            <w:tcBorders>
              <w:top w:val="nil"/>
              <w:left w:val="nil"/>
              <w:bottom w:val="nil"/>
              <w:right w:val="nil"/>
            </w:tcBorders>
            <w:shd w:val="clear" w:color="auto" w:fill="auto"/>
            <w:vAlign w:val="center"/>
          </w:tcPr>
          <w:p>
            <w:pPr>
              <w:widowControl/>
              <w:jc w:val="left"/>
              <w:rPr>
                <w:rFonts w:ascii="方正书宋_GBK" w:hAnsi="宋体" w:eastAsia="方正书宋_GBK" w:cs="宋体"/>
                <w:kern w:val="0"/>
                <w:sz w:val="18"/>
                <w:szCs w:val="18"/>
              </w:rPr>
            </w:pPr>
          </w:p>
        </w:tc>
        <w:tc>
          <w:tcPr>
            <w:tcW w:w="980" w:type="dxa"/>
            <w:tcBorders>
              <w:top w:val="nil"/>
              <w:left w:val="nil"/>
              <w:bottom w:val="nil"/>
              <w:right w:val="nil"/>
            </w:tcBorders>
            <w:shd w:val="clear" w:color="auto" w:fill="auto"/>
            <w:vAlign w:val="center"/>
          </w:tcPr>
          <w:p>
            <w:pPr>
              <w:widowControl/>
              <w:jc w:val="left"/>
              <w:rPr>
                <w:rFonts w:ascii="方正书宋_GBK" w:hAnsi="宋体" w:eastAsia="方正书宋_GBK" w:cs="宋体"/>
                <w:kern w:val="0"/>
                <w:sz w:val="18"/>
                <w:szCs w:val="18"/>
              </w:rPr>
            </w:pPr>
          </w:p>
        </w:tc>
        <w:tc>
          <w:tcPr>
            <w:tcW w:w="1220" w:type="dxa"/>
            <w:tcBorders>
              <w:top w:val="nil"/>
              <w:left w:val="nil"/>
              <w:bottom w:val="nil"/>
              <w:right w:val="nil"/>
            </w:tcBorders>
            <w:shd w:val="clear" w:color="auto" w:fill="auto"/>
            <w:noWrap/>
            <w:vAlign w:val="center"/>
          </w:tcPr>
          <w:p>
            <w:pPr>
              <w:widowControl/>
              <w:jc w:val="right"/>
              <w:rPr>
                <w:rFonts w:ascii="方正书宋_GBK" w:hAnsi="宋体" w:eastAsia="方正书宋_GBK" w:cs="宋体"/>
                <w:kern w:val="0"/>
                <w:sz w:val="18"/>
                <w:szCs w:val="18"/>
              </w:rPr>
            </w:pPr>
            <w:r>
              <w:rPr>
                <w:rFonts w:hint="eastAsia" w:ascii="方正书宋_GBK" w:hAnsi="宋体" w:eastAsia="方正书宋_GBK" w:cs="宋体"/>
                <w:kern w:val="0"/>
                <w:sz w:val="18"/>
                <w:szCs w:val="18"/>
              </w:rPr>
              <w:t>单位：万元</w:t>
            </w:r>
          </w:p>
        </w:tc>
      </w:tr>
      <w:tr>
        <w:tblPrEx>
          <w:tblLayout w:type="fixed"/>
          <w:tblCellMar>
            <w:top w:w="0" w:type="dxa"/>
            <w:left w:w="108" w:type="dxa"/>
            <w:bottom w:w="0" w:type="dxa"/>
            <w:right w:w="108" w:type="dxa"/>
          </w:tblCellMar>
        </w:tblPrEx>
        <w:trPr>
          <w:trHeight w:val="360" w:hRule="atLeast"/>
          <w:jc w:val="center"/>
        </w:trPr>
        <w:tc>
          <w:tcPr>
            <w:tcW w:w="2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4"/>
              </w:rPr>
            </w:pPr>
            <w:r>
              <w:rPr>
                <w:rFonts w:hint="eastAsia" w:ascii="宋体" w:hAnsi="宋体" w:eastAsia="宋体" w:cs="宋体"/>
                <w:kern w:val="0"/>
                <w:sz w:val="20"/>
                <w:szCs w:val="24"/>
              </w:rPr>
              <w:t>科目编码</w:t>
            </w:r>
          </w:p>
        </w:tc>
        <w:tc>
          <w:tcPr>
            <w:tcW w:w="35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0"/>
                <w:szCs w:val="24"/>
              </w:rPr>
            </w:pPr>
            <w:r>
              <w:rPr>
                <w:rFonts w:hint="eastAsia" w:ascii="宋体" w:hAnsi="宋体" w:eastAsia="宋体" w:cs="宋体"/>
                <w:kern w:val="0"/>
                <w:sz w:val="20"/>
                <w:szCs w:val="24"/>
              </w:rPr>
              <w:t>科目名称</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4"/>
              </w:rPr>
            </w:pPr>
            <w:r>
              <w:rPr>
                <w:rFonts w:hint="eastAsia" w:ascii="宋体" w:hAnsi="宋体" w:eastAsia="宋体" w:cs="宋体"/>
                <w:kern w:val="0"/>
                <w:sz w:val="20"/>
                <w:szCs w:val="24"/>
              </w:rPr>
              <w:t>总计</w:t>
            </w:r>
          </w:p>
        </w:tc>
        <w:tc>
          <w:tcPr>
            <w:tcW w:w="106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20"/>
                <w:szCs w:val="24"/>
              </w:rPr>
            </w:pPr>
            <w:r>
              <w:rPr>
                <w:rFonts w:hint="eastAsia" w:ascii="宋体" w:hAnsi="宋体" w:eastAsia="宋体" w:cs="宋体"/>
                <w:kern w:val="0"/>
                <w:sz w:val="20"/>
                <w:szCs w:val="24"/>
              </w:rPr>
              <w:t>基本支出</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4"/>
              </w:rPr>
            </w:pPr>
            <w:r>
              <w:rPr>
                <w:rFonts w:hint="eastAsia" w:ascii="宋体" w:hAnsi="宋体" w:eastAsia="宋体" w:cs="宋体"/>
                <w:kern w:val="0"/>
                <w:sz w:val="20"/>
                <w:szCs w:val="24"/>
              </w:rPr>
              <w:t>项目支出</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备注</w:t>
            </w:r>
          </w:p>
        </w:tc>
      </w:tr>
      <w:tr>
        <w:tblPrEx>
          <w:tblLayout w:type="fixed"/>
          <w:tblCellMar>
            <w:top w:w="0" w:type="dxa"/>
            <w:left w:w="108" w:type="dxa"/>
            <w:bottom w:w="0" w:type="dxa"/>
            <w:right w:w="108" w:type="dxa"/>
          </w:tblCellMar>
        </w:tblPrEx>
        <w:trPr>
          <w:trHeight w:val="600" w:hRule="atLeast"/>
          <w:jc w:val="center"/>
        </w:trPr>
        <w:tc>
          <w:tcPr>
            <w:tcW w:w="2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4"/>
              </w:rPr>
            </w:pPr>
          </w:p>
        </w:tc>
        <w:tc>
          <w:tcPr>
            <w:tcW w:w="35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4"/>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4"/>
              </w:rPr>
            </w:pPr>
          </w:p>
        </w:tc>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4"/>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4"/>
              </w:rPr>
            </w:pPr>
            <w:r>
              <w:rPr>
                <w:rFonts w:ascii="Times New Roman" w:hAnsi="Times New Roman" w:eastAsia="宋体" w:cs="Times New Roman"/>
                <w:kern w:val="0"/>
                <w:sz w:val="20"/>
                <w:szCs w:val="24"/>
              </w:rPr>
              <w:t>**</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4"/>
              </w:rPr>
            </w:pPr>
            <w:r>
              <w:rPr>
                <w:rFonts w:ascii="Times New Roman" w:hAnsi="Times New Roman" w:eastAsia="宋体" w:cs="Times New Roman"/>
                <w:kern w:val="0"/>
                <w:sz w:val="20"/>
                <w:szCs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4"/>
              </w:rPr>
            </w:pPr>
            <w:r>
              <w:rPr>
                <w:rFonts w:hint="eastAsia" w:ascii="宋体" w:hAnsi="宋体" w:eastAsia="宋体" w:cs="宋体"/>
                <w:kern w:val="0"/>
                <w:sz w:val="20"/>
                <w:szCs w:val="24"/>
              </w:rPr>
              <w:t>1</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4"/>
              </w:rPr>
            </w:pPr>
            <w:r>
              <w:rPr>
                <w:rFonts w:ascii="Times New Roman" w:hAnsi="Times New Roman" w:eastAsia="宋体" w:cs="Times New Roman"/>
                <w:kern w:val="0"/>
                <w:sz w:val="20"/>
                <w:szCs w:val="24"/>
              </w:rPr>
              <w:t>2</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4"/>
              </w:rPr>
            </w:pPr>
            <w:r>
              <w:rPr>
                <w:rFonts w:hint="eastAsia" w:ascii="宋体" w:hAnsi="宋体" w:eastAsia="宋体" w:cs="宋体"/>
                <w:kern w:val="0"/>
                <w:sz w:val="20"/>
                <w:szCs w:val="24"/>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4"/>
              </w:rPr>
            </w:pPr>
            <w:r>
              <w:rPr>
                <w:rFonts w:hint="eastAsia" w:ascii="宋体" w:hAnsi="宋体" w:eastAsia="宋体" w:cs="宋体"/>
                <w:kern w:val="0"/>
                <w:sz w:val="20"/>
                <w:szCs w:val="24"/>
              </w:rPr>
              <w:t>7</w:t>
            </w:r>
          </w:p>
        </w:tc>
      </w:tr>
      <w:tr>
        <w:tblPrEx>
          <w:tblLayout w:type="fixed"/>
          <w:tblCellMar>
            <w:top w:w="0" w:type="dxa"/>
            <w:left w:w="108" w:type="dxa"/>
            <w:bottom w:w="0" w:type="dxa"/>
            <w:right w:w="108" w:type="dxa"/>
          </w:tblCellMar>
        </w:tblPrEx>
        <w:trPr>
          <w:trHeight w:val="402" w:hRule="atLeast"/>
          <w:jc w:val="center"/>
        </w:trPr>
        <w:tc>
          <w:tcPr>
            <w:tcW w:w="2240"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4"/>
              </w:rPr>
            </w:pPr>
          </w:p>
        </w:tc>
        <w:tc>
          <w:tcPr>
            <w:tcW w:w="3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合计</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1220.29 </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0.00 </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1220.29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r>
        <w:tblPrEx>
          <w:tblLayout w:type="fixed"/>
          <w:tblCellMar>
            <w:top w:w="0" w:type="dxa"/>
            <w:left w:w="108" w:type="dxa"/>
            <w:bottom w:w="0" w:type="dxa"/>
            <w:right w:w="108" w:type="dxa"/>
          </w:tblCellMar>
        </w:tblPrEx>
        <w:trPr>
          <w:trHeight w:val="402" w:hRule="atLeast"/>
          <w:jc w:val="center"/>
        </w:trPr>
        <w:tc>
          <w:tcPr>
            <w:tcW w:w="22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212</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城乡社区支出</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1220.29 </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0.00 </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1220.29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r>
        <w:tblPrEx>
          <w:tblLayout w:type="fixed"/>
          <w:tblCellMar>
            <w:top w:w="0" w:type="dxa"/>
            <w:left w:w="108" w:type="dxa"/>
            <w:bottom w:w="0" w:type="dxa"/>
            <w:right w:w="108" w:type="dxa"/>
          </w:tblCellMar>
        </w:tblPrEx>
        <w:trPr>
          <w:trHeight w:val="480" w:hRule="atLeast"/>
          <w:jc w:val="center"/>
        </w:trPr>
        <w:tc>
          <w:tcPr>
            <w:tcW w:w="22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  21208</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  国有土地使用权出让收入及对应专项债务收入安排的支出</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1220.29 </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0.00 </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1220.29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r>
        <w:tblPrEx>
          <w:tblLayout w:type="fixed"/>
          <w:tblCellMar>
            <w:top w:w="0" w:type="dxa"/>
            <w:left w:w="108" w:type="dxa"/>
            <w:bottom w:w="0" w:type="dxa"/>
            <w:right w:w="108" w:type="dxa"/>
          </w:tblCellMar>
        </w:tblPrEx>
        <w:trPr>
          <w:trHeight w:val="480" w:hRule="atLeast"/>
          <w:jc w:val="center"/>
        </w:trPr>
        <w:tc>
          <w:tcPr>
            <w:tcW w:w="22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    2120899</w:t>
            </w:r>
          </w:p>
        </w:tc>
        <w:tc>
          <w:tcPr>
            <w:tcW w:w="3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    其他国有土地使用权出让收入安排的支出</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1220.29 </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0.00 </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r>
              <w:rPr>
                <w:rFonts w:hint="eastAsia" w:ascii="宋体" w:hAnsi="宋体" w:eastAsia="宋体" w:cs="宋体"/>
                <w:i w:val="0"/>
                <w:color w:val="000000"/>
                <w:kern w:val="0"/>
                <w:sz w:val="20"/>
                <w:szCs w:val="20"/>
                <w:u w:val="none"/>
                <w:lang w:val="en-US" w:eastAsia="zh-CN" w:bidi="ar"/>
              </w:rPr>
              <w:t xml:space="preserve">1220.29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r>
        <w:tblPrEx>
          <w:tblLayout w:type="fixed"/>
          <w:tblCellMar>
            <w:top w:w="0" w:type="dxa"/>
            <w:left w:w="108" w:type="dxa"/>
            <w:bottom w:w="0" w:type="dxa"/>
            <w:right w:w="108" w:type="dxa"/>
          </w:tblCellMar>
        </w:tblPrEx>
        <w:trPr>
          <w:trHeight w:val="402" w:hRule="atLeast"/>
          <w:jc w:val="center"/>
        </w:trPr>
        <w:tc>
          <w:tcPr>
            <w:tcW w:w="2240"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4"/>
              </w:rPr>
            </w:pPr>
          </w:p>
        </w:tc>
        <w:tc>
          <w:tcPr>
            <w:tcW w:w="3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r>
        <w:tblPrEx>
          <w:tblLayout w:type="fixed"/>
          <w:tblCellMar>
            <w:top w:w="0" w:type="dxa"/>
            <w:left w:w="108" w:type="dxa"/>
            <w:bottom w:w="0" w:type="dxa"/>
            <w:right w:w="108" w:type="dxa"/>
          </w:tblCellMar>
        </w:tblPrEx>
        <w:trPr>
          <w:trHeight w:val="480" w:hRule="atLeast"/>
          <w:jc w:val="center"/>
        </w:trPr>
        <w:tc>
          <w:tcPr>
            <w:tcW w:w="22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p>
        </w:tc>
        <w:tc>
          <w:tcPr>
            <w:tcW w:w="3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4"/>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r>
        <w:tblPrEx>
          <w:tblLayout w:type="fixed"/>
          <w:tblCellMar>
            <w:top w:w="0" w:type="dxa"/>
            <w:left w:w="108" w:type="dxa"/>
            <w:bottom w:w="0" w:type="dxa"/>
            <w:right w:w="108" w:type="dxa"/>
          </w:tblCellMar>
        </w:tblPrEx>
        <w:trPr>
          <w:trHeight w:val="402" w:hRule="atLeast"/>
          <w:jc w:val="center"/>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4"/>
              </w:rPr>
            </w:pP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4"/>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r>
        <w:tblPrEx>
          <w:tblLayout w:type="fixed"/>
          <w:tblCellMar>
            <w:top w:w="0" w:type="dxa"/>
            <w:left w:w="108" w:type="dxa"/>
            <w:bottom w:w="0" w:type="dxa"/>
            <w:right w:w="108" w:type="dxa"/>
          </w:tblCellMar>
        </w:tblPrEx>
        <w:trPr>
          <w:trHeight w:val="480" w:hRule="atLeast"/>
          <w:jc w:val="center"/>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4"/>
              </w:rPr>
            </w:pP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4"/>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4"/>
              </w:rPr>
            </w:pPr>
            <w:r>
              <w:rPr>
                <w:rFonts w:hint="eastAsia" w:ascii="宋体" w:hAnsi="宋体" w:eastAsia="宋体" w:cs="宋体"/>
                <w:kern w:val="0"/>
                <w:sz w:val="20"/>
                <w:szCs w:val="24"/>
              </w:rPr>
              <w:t>　</w:t>
            </w:r>
          </w:p>
        </w:tc>
      </w:tr>
    </w:tbl>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tbl>
      <w:tblPr>
        <w:tblStyle w:val="6"/>
        <w:tblW w:w="9060" w:type="dxa"/>
        <w:jc w:val="center"/>
        <w:tblInd w:w="0" w:type="dxa"/>
        <w:tblLayout w:type="fixed"/>
        <w:tblCellMar>
          <w:top w:w="0" w:type="dxa"/>
          <w:left w:w="108" w:type="dxa"/>
          <w:bottom w:w="0" w:type="dxa"/>
          <w:right w:w="108" w:type="dxa"/>
        </w:tblCellMar>
      </w:tblPr>
      <w:tblGrid>
        <w:gridCol w:w="3044"/>
        <w:gridCol w:w="4231"/>
        <w:gridCol w:w="1785"/>
      </w:tblGrid>
      <w:tr>
        <w:tblPrEx>
          <w:tblLayout w:type="fixed"/>
          <w:tblCellMar>
            <w:top w:w="0" w:type="dxa"/>
            <w:left w:w="108" w:type="dxa"/>
            <w:bottom w:w="0" w:type="dxa"/>
            <w:right w:w="108" w:type="dxa"/>
          </w:tblCellMar>
        </w:tblPrEx>
        <w:trPr>
          <w:trHeight w:val="480" w:hRule="atLeast"/>
          <w:jc w:val="center"/>
        </w:trPr>
        <w:tc>
          <w:tcPr>
            <w:tcW w:w="9060" w:type="dxa"/>
            <w:gridSpan w:val="3"/>
            <w:tcBorders>
              <w:top w:val="nil"/>
              <w:left w:val="nil"/>
              <w:bottom w:val="nil"/>
              <w:right w:val="nil"/>
            </w:tcBorders>
            <w:shd w:val="clear" w:color="auto" w:fill="auto"/>
            <w:noWrap/>
            <w:vAlign w:val="center"/>
          </w:tcPr>
          <w:p>
            <w:pPr>
              <w:widowControl/>
              <w:rPr>
                <w:rFonts w:ascii="方正小标宋简体" w:hAnsi="宋体" w:eastAsia="方正小标宋简体" w:cs="宋体"/>
                <w:kern w:val="0"/>
                <w:sz w:val="40"/>
                <w:szCs w:val="40"/>
              </w:rPr>
            </w:pPr>
            <w:r>
              <w:rPr>
                <w:rFonts w:hint="eastAsia" w:ascii="方正小标宋简体" w:hAnsi="宋体" w:eastAsia="方正小标宋简体" w:cs="宋体"/>
                <w:kern w:val="0"/>
                <w:szCs w:val="21"/>
              </w:rPr>
              <w:t xml:space="preserve">表5     </w:t>
            </w:r>
            <w:r>
              <w:rPr>
                <w:rFonts w:hint="eastAsia" w:ascii="方正小标宋简体" w:hAnsi="宋体" w:eastAsia="方正小标宋简体" w:cs="宋体"/>
                <w:kern w:val="0"/>
                <w:sz w:val="40"/>
                <w:szCs w:val="40"/>
              </w:rPr>
              <w:t>2019年市级部门一般公共预算基本支出表</w:t>
            </w:r>
          </w:p>
        </w:tc>
      </w:tr>
      <w:tr>
        <w:tblPrEx>
          <w:tblLayout w:type="fixed"/>
          <w:tblCellMar>
            <w:top w:w="0" w:type="dxa"/>
            <w:left w:w="108" w:type="dxa"/>
            <w:bottom w:w="0" w:type="dxa"/>
            <w:right w:w="108" w:type="dxa"/>
          </w:tblCellMar>
        </w:tblPrEx>
        <w:trPr>
          <w:trHeight w:val="402" w:hRule="atLeast"/>
          <w:jc w:val="center"/>
        </w:trPr>
        <w:tc>
          <w:tcPr>
            <w:tcW w:w="3044" w:type="dxa"/>
            <w:tcBorders>
              <w:top w:val="nil"/>
              <w:left w:val="nil"/>
              <w:bottom w:val="single" w:color="auto" w:sz="4" w:space="0"/>
              <w:right w:val="nil"/>
            </w:tcBorders>
            <w:shd w:val="clear" w:color="auto" w:fill="auto"/>
            <w:noWrap/>
            <w:vAlign w:val="center"/>
          </w:tcPr>
          <w:p>
            <w:pPr>
              <w:widowControl/>
              <w:jc w:val="left"/>
              <w:rPr>
                <w:rFonts w:hint="eastAsia" w:ascii="方正书宋_GBK" w:hAnsi="宋体" w:eastAsia="方正书宋_GBK" w:cs="宋体"/>
                <w:kern w:val="0"/>
                <w:sz w:val="18"/>
                <w:szCs w:val="18"/>
                <w:lang w:eastAsia="zh-CN"/>
              </w:rPr>
            </w:pPr>
            <w:r>
              <w:rPr>
                <w:rFonts w:hint="eastAsia" w:ascii="方正书宋_GBK" w:hAnsi="宋体" w:eastAsia="方正书宋_GBK" w:cs="宋体"/>
                <w:kern w:val="0"/>
                <w:sz w:val="18"/>
                <w:szCs w:val="18"/>
              </w:rPr>
              <w:t>部门名称：</w:t>
            </w:r>
            <w:r>
              <w:rPr>
                <w:rFonts w:hint="eastAsia" w:ascii="方正书宋_GBK" w:hAnsi="宋体" w:eastAsia="方正书宋_GBK" w:cs="宋体"/>
                <w:kern w:val="0"/>
                <w:sz w:val="18"/>
                <w:szCs w:val="18"/>
                <w:lang w:eastAsia="zh-CN"/>
              </w:rPr>
              <w:t xml:space="preserve"> 浙江安防职业技术学院</w:t>
            </w:r>
          </w:p>
        </w:tc>
        <w:tc>
          <w:tcPr>
            <w:tcW w:w="4231" w:type="dxa"/>
            <w:tcBorders>
              <w:top w:val="nil"/>
              <w:left w:val="nil"/>
              <w:bottom w:val="nil"/>
              <w:right w:val="nil"/>
            </w:tcBorders>
            <w:shd w:val="clear" w:color="auto" w:fill="auto"/>
            <w:vAlign w:val="center"/>
          </w:tcPr>
          <w:p>
            <w:pPr>
              <w:widowControl/>
              <w:jc w:val="left"/>
              <w:rPr>
                <w:rFonts w:ascii="方正书宋_GBK" w:hAnsi="宋体" w:eastAsia="方正书宋_GBK" w:cs="宋体"/>
                <w:kern w:val="0"/>
                <w:sz w:val="20"/>
                <w:szCs w:val="24"/>
              </w:rPr>
            </w:pPr>
          </w:p>
        </w:tc>
        <w:tc>
          <w:tcPr>
            <w:tcW w:w="1785" w:type="dxa"/>
            <w:tcBorders>
              <w:top w:val="nil"/>
              <w:left w:val="nil"/>
              <w:bottom w:val="nil"/>
              <w:right w:val="nil"/>
            </w:tcBorders>
            <w:shd w:val="clear" w:color="auto" w:fill="auto"/>
            <w:noWrap/>
            <w:vAlign w:val="center"/>
          </w:tcPr>
          <w:p>
            <w:pPr>
              <w:widowControl/>
              <w:jc w:val="right"/>
              <w:rPr>
                <w:rFonts w:ascii="方正书宋_GBK" w:hAnsi="宋体" w:eastAsia="方正书宋_GBK" w:cs="宋体"/>
                <w:kern w:val="0"/>
                <w:sz w:val="20"/>
                <w:szCs w:val="24"/>
              </w:rPr>
            </w:pPr>
            <w:r>
              <w:rPr>
                <w:rFonts w:hint="eastAsia" w:ascii="方正书宋_GBK" w:hAnsi="宋体" w:eastAsia="方正书宋_GBK" w:cs="宋体"/>
                <w:kern w:val="0"/>
                <w:sz w:val="20"/>
                <w:szCs w:val="24"/>
              </w:rPr>
              <w:t>单位：万元</w:t>
            </w:r>
          </w:p>
        </w:tc>
      </w:tr>
      <w:tr>
        <w:tblPrEx>
          <w:tblLayout w:type="fixed"/>
          <w:tblCellMar>
            <w:top w:w="0" w:type="dxa"/>
            <w:left w:w="108" w:type="dxa"/>
            <w:bottom w:w="0" w:type="dxa"/>
            <w:right w:w="108" w:type="dxa"/>
          </w:tblCellMar>
        </w:tblPrEx>
        <w:trPr>
          <w:trHeight w:val="402" w:hRule="atLeast"/>
          <w:jc w:val="center"/>
        </w:trPr>
        <w:tc>
          <w:tcPr>
            <w:tcW w:w="72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经济分类科目</w:t>
            </w:r>
          </w:p>
        </w:tc>
        <w:tc>
          <w:tcPr>
            <w:tcW w:w="17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金额</w:t>
            </w:r>
          </w:p>
        </w:tc>
      </w:tr>
      <w:tr>
        <w:tblPrEx>
          <w:tblLayout w:type="fixed"/>
          <w:tblCellMar>
            <w:top w:w="0" w:type="dxa"/>
            <w:left w:w="108" w:type="dxa"/>
            <w:bottom w:w="0" w:type="dxa"/>
            <w:right w:w="108" w:type="dxa"/>
          </w:tblCellMar>
        </w:tblPrEx>
        <w:trPr>
          <w:trHeight w:val="552" w:hRule="atLeast"/>
          <w:jc w:val="center"/>
        </w:trPr>
        <w:tc>
          <w:tcPr>
            <w:tcW w:w="30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科目编码</w:t>
            </w:r>
          </w:p>
        </w:tc>
        <w:tc>
          <w:tcPr>
            <w:tcW w:w="4231" w:type="dxa"/>
            <w:tcBorders>
              <w:top w:val="nil"/>
              <w:left w:val="nil"/>
              <w:bottom w:val="single" w:color="auto" w:sz="4" w:space="0"/>
              <w:right w:val="single" w:color="auto"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科目名称</w:t>
            </w: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kern w:val="0"/>
                <w:sz w:val="20"/>
                <w:szCs w:val="24"/>
              </w:rPr>
            </w:pPr>
          </w:p>
        </w:tc>
      </w:tr>
      <w:tr>
        <w:tblPrEx>
          <w:tblLayout w:type="fixed"/>
          <w:tblCellMar>
            <w:top w:w="0" w:type="dxa"/>
            <w:left w:w="108" w:type="dxa"/>
            <w:bottom w:w="0" w:type="dxa"/>
            <w:right w:w="108" w:type="dxa"/>
          </w:tblCellMar>
        </w:tblPrEx>
        <w:trPr>
          <w:trHeight w:val="585" w:hRule="atLeast"/>
          <w:jc w:val="center"/>
        </w:trPr>
        <w:tc>
          <w:tcPr>
            <w:tcW w:w="304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c>
          <w:tcPr>
            <w:tcW w:w="4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合计</w:t>
            </w:r>
          </w:p>
        </w:tc>
        <w:tc>
          <w:tcPr>
            <w:tcW w:w="17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2,992.98 </w:t>
            </w:r>
          </w:p>
        </w:tc>
      </w:tr>
      <w:tr>
        <w:tblPrEx>
          <w:tblLayout w:type="fixed"/>
          <w:tblCellMar>
            <w:top w:w="0" w:type="dxa"/>
            <w:left w:w="108" w:type="dxa"/>
            <w:bottom w:w="0" w:type="dxa"/>
            <w:right w:w="108" w:type="dxa"/>
          </w:tblCellMar>
        </w:tblPrEx>
        <w:trPr>
          <w:trHeight w:val="585" w:hRule="atLeast"/>
          <w:jc w:val="center"/>
        </w:trPr>
        <w:tc>
          <w:tcPr>
            <w:tcW w:w="304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301</w:t>
            </w:r>
          </w:p>
        </w:tc>
        <w:tc>
          <w:tcPr>
            <w:tcW w:w="4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工资福利支出</w:t>
            </w:r>
          </w:p>
        </w:tc>
        <w:tc>
          <w:tcPr>
            <w:tcW w:w="17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2,785.08 </w:t>
            </w:r>
          </w:p>
        </w:tc>
      </w:tr>
      <w:tr>
        <w:tblPrEx>
          <w:tblLayout w:type="fixed"/>
          <w:tblCellMar>
            <w:top w:w="0" w:type="dxa"/>
            <w:left w:w="108" w:type="dxa"/>
            <w:bottom w:w="0" w:type="dxa"/>
            <w:right w:w="108" w:type="dxa"/>
          </w:tblCellMar>
        </w:tblPrEx>
        <w:trPr>
          <w:trHeight w:val="585" w:hRule="atLeast"/>
          <w:jc w:val="center"/>
        </w:trPr>
        <w:tc>
          <w:tcPr>
            <w:tcW w:w="304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30101</w:t>
            </w:r>
          </w:p>
        </w:tc>
        <w:tc>
          <w:tcPr>
            <w:tcW w:w="4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  基本工资</w:t>
            </w:r>
          </w:p>
        </w:tc>
        <w:tc>
          <w:tcPr>
            <w:tcW w:w="17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540.62 </w:t>
            </w:r>
          </w:p>
        </w:tc>
      </w:tr>
      <w:tr>
        <w:tblPrEx>
          <w:tblLayout w:type="fixed"/>
          <w:tblCellMar>
            <w:top w:w="0" w:type="dxa"/>
            <w:left w:w="108" w:type="dxa"/>
            <w:bottom w:w="0" w:type="dxa"/>
            <w:right w:w="108" w:type="dxa"/>
          </w:tblCellMar>
        </w:tblPrEx>
        <w:trPr>
          <w:trHeight w:val="585" w:hRule="atLeast"/>
          <w:jc w:val="center"/>
        </w:trPr>
        <w:tc>
          <w:tcPr>
            <w:tcW w:w="304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30102</w:t>
            </w:r>
          </w:p>
        </w:tc>
        <w:tc>
          <w:tcPr>
            <w:tcW w:w="4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  津贴补贴</w:t>
            </w:r>
          </w:p>
        </w:tc>
        <w:tc>
          <w:tcPr>
            <w:tcW w:w="17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1,470.53 </w:t>
            </w:r>
          </w:p>
        </w:tc>
      </w:tr>
      <w:tr>
        <w:tblPrEx>
          <w:tblLayout w:type="fixed"/>
          <w:tblCellMar>
            <w:top w:w="0" w:type="dxa"/>
            <w:left w:w="108" w:type="dxa"/>
            <w:bottom w:w="0" w:type="dxa"/>
            <w:right w:w="108" w:type="dxa"/>
          </w:tblCellMar>
        </w:tblPrEx>
        <w:trPr>
          <w:trHeight w:val="585" w:hRule="atLeast"/>
          <w:jc w:val="center"/>
        </w:trPr>
        <w:tc>
          <w:tcPr>
            <w:tcW w:w="304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30108</w:t>
            </w:r>
          </w:p>
        </w:tc>
        <w:tc>
          <w:tcPr>
            <w:tcW w:w="4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  机关事业单位基本养老保险费</w:t>
            </w:r>
          </w:p>
        </w:tc>
        <w:tc>
          <w:tcPr>
            <w:tcW w:w="17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299.04 </w:t>
            </w:r>
          </w:p>
        </w:tc>
      </w:tr>
      <w:tr>
        <w:tblPrEx>
          <w:tblLayout w:type="fixed"/>
          <w:tblCellMar>
            <w:top w:w="0" w:type="dxa"/>
            <w:left w:w="108" w:type="dxa"/>
            <w:bottom w:w="0" w:type="dxa"/>
            <w:right w:w="108" w:type="dxa"/>
          </w:tblCellMar>
        </w:tblPrEx>
        <w:trPr>
          <w:trHeight w:val="585" w:hRule="atLeast"/>
          <w:jc w:val="center"/>
        </w:trPr>
        <w:tc>
          <w:tcPr>
            <w:tcW w:w="304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30109</w:t>
            </w:r>
          </w:p>
        </w:tc>
        <w:tc>
          <w:tcPr>
            <w:tcW w:w="4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  职业年金缴费</w:t>
            </w:r>
          </w:p>
        </w:tc>
        <w:tc>
          <w:tcPr>
            <w:tcW w:w="17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119.62 </w:t>
            </w:r>
          </w:p>
        </w:tc>
      </w:tr>
      <w:tr>
        <w:tblPrEx>
          <w:tblLayout w:type="fixed"/>
          <w:tblCellMar>
            <w:top w:w="0" w:type="dxa"/>
            <w:left w:w="108" w:type="dxa"/>
            <w:bottom w:w="0" w:type="dxa"/>
            <w:right w:w="108" w:type="dxa"/>
          </w:tblCellMar>
        </w:tblPrEx>
        <w:trPr>
          <w:trHeight w:val="585" w:hRule="atLeast"/>
          <w:jc w:val="center"/>
        </w:trPr>
        <w:tc>
          <w:tcPr>
            <w:tcW w:w="304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30111</w:t>
            </w:r>
          </w:p>
        </w:tc>
        <w:tc>
          <w:tcPr>
            <w:tcW w:w="4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  公务员医疗补助缴费</w:t>
            </w:r>
          </w:p>
        </w:tc>
        <w:tc>
          <w:tcPr>
            <w:tcW w:w="17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137.86 </w:t>
            </w:r>
          </w:p>
        </w:tc>
      </w:tr>
      <w:tr>
        <w:tblPrEx>
          <w:tblLayout w:type="fixed"/>
          <w:tblCellMar>
            <w:top w:w="0" w:type="dxa"/>
            <w:left w:w="108" w:type="dxa"/>
            <w:bottom w:w="0" w:type="dxa"/>
            <w:right w:w="108" w:type="dxa"/>
          </w:tblCellMar>
        </w:tblPrEx>
        <w:trPr>
          <w:trHeight w:val="585" w:hRule="atLeast"/>
          <w:jc w:val="center"/>
        </w:trPr>
        <w:tc>
          <w:tcPr>
            <w:tcW w:w="304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30112</w:t>
            </w:r>
          </w:p>
        </w:tc>
        <w:tc>
          <w:tcPr>
            <w:tcW w:w="4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  其他社会保障缴费</w:t>
            </w:r>
          </w:p>
        </w:tc>
        <w:tc>
          <w:tcPr>
            <w:tcW w:w="17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40.05 </w:t>
            </w:r>
          </w:p>
        </w:tc>
      </w:tr>
      <w:tr>
        <w:tblPrEx>
          <w:tblLayout w:type="fixed"/>
          <w:tblCellMar>
            <w:top w:w="0" w:type="dxa"/>
            <w:left w:w="108" w:type="dxa"/>
            <w:bottom w:w="0" w:type="dxa"/>
            <w:right w:w="108" w:type="dxa"/>
          </w:tblCellMar>
        </w:tblPrEx>
        <w:trPr>
          <w:trHeight w:val="585" w:hRule="atLeast"/>
          <w:jc w:val="center"/>
        </w:trPr>
        <w:tc>
          <w:tcPr>
            <w:tcW w:w="304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30113</w:t>
            </w:r>
          </w:p>
        </w:tc>
        <w:tc>
          <w:tcPr>
            <w:tcW w:w="4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  住房公积金</w:t>
            </w:r>
          </w:p>
        </w:tc>
        <w:tc>
          <w:tcPr>
            <w:tcW w:w="17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177.36 </w:t>
            </w:r>
          </w:p>
        </w:tc>
      </w:tr>
      <w:tr>
        <w:tblPrEx>
          <w:tblLayout w:type="fixed"/>
          <w:tblCellMar>
            <w:top w:w="0" w:type="dxa"/>
            <w:left w:w="108" w:type="dxa"/>
            <w:bottom w:w="0" w:type="dxa"/>
            <w:right w:w="108" w:type="dxa"/>
          </w:tblCellMar>
        </w:tblPrEx>
        <w:trPr>
          <w:trHeight w:val="585" w:hRule="atLeast"/>
          <w:jc w:val="center"/>
        </w:trPr>
        <w:tc>
          <w:tcPr>
            <w:tcW w:w="304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302</w:t>
            </w:r>
          </w:p>
        </w:tc>
        <w:tc>
          <w:tcPr>
            <w:tcW w:w="4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商品和服务支出</w:t>
            </w:r>
          </w:p>
        </w:tc>
        <w:tc>
          <w:tcPr>
            <w:tcW w:w="17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207.90 </w:t>
            </w:r>
          </w:p>
        </w:tc>
      </w:tr>
      <w:tr>
        <w:tblPrEx>
          <w:tblLayout w:type="fixed"/>
          <w:tblCellMar>
            <w:top w:w="0" w:type="dxa"/>
            <w:left w:w="108" w:type="dxa"/>
            <w:bottom w:w="0" w:type="dxa"/>
            <w:right w:w="108" w:type="dxa"/>
          </w:tblCellMar>
        </w:tblPrEx>
        <w:trPr>
          <w:trHeight w:val="585" w:hRule="atLeast"/>
          <w:jc w:val="center"/>
        </w:trPr>
        <w:tc>
          <w:tcPr>
            <w:tcW w:w="304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30201</w:t>
            </w:r>
          </w:p>
        </w:tc>
        <w:tc>
          <w:tcPr>
            <w:tcW w:w="4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  办公费</w:t>
            </w:r>
          </w:p>
        </w:tc>
        <w:tc>
          <w:tcPr>
            <w:tcW w:w="17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50.00 </w:t>
            </w:r>
          </w:p>
        </w:tc>
      </w:tr>
      <w:tr>
        <w:tblPrEx>
          <w:tblLayout w:type="fixed"/>
          <w:tblCellMar>
            <w:top w:w="0" w:type="dxa"/>
            <w:left w:w="108" w:type="dxa"/>
            <w:bottom w:w="0" w:type="dxa"/>
            <w:right w:w="108" w:type="dxa"/>
          </w:tblCellMar>
        </w:tblPrEx>
        <w:trPr>
          <w:trHeight w:val="585" w:hRule="atLeast"/>
          <w:jc w:val="center"/>
        </w:trPr>
        <w:tc>
          <w:tcPr>
            <w:tcW w:w="304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30211</w:t>
            </w:r>
          </w:p>
        </w:tc>
        <w:tc>
          <w:tcPr>
            <w:tcW w:w="4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  差旅费</w:t>
            </w:r>
          </w:p>
        </w:tc>
        <w:tc>
          <w:tcPr>
            <w:tcW w:w="17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20.00 </w:t>
            </w:r>
          </w:p>
        </w:tc>
      </w:tr>
      <w:tr>
        <w:tblPrEx>
          <w:tblLayout w:type="fixed"/>
          <w:tblCellMar>
            <w:top w:w="0" w:type="dxa"/>
            <w:left w:w="108" w:type="dxa"/>
            <w:bottom w:w="0" w:type="dxa"/>
            <w:right w:w="108" w:type="dxa"/>
          </w:tblCellMar>
        </w:tblPrEx>
        <w:trPr>
          <w:trHeight w:val="585" w:hRule="atLeast"/>
          <w:jc w:val="center"/>
        </w:trPr>
        <w:tc>
          <w:tcPr>
            <w:tcW w:w="304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30215</w:t>
            </w:r>
          </w:p>
        </w:tc>
        <w:tc>
          <w:tcPr>
            <w:tcW w:w="4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  会议费</w:t>
            </w:r>
          </w:p>
        </w:tc>
        <w:tc>
          <w:tcPr>
            <w:tcW w:w="17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10.00 </w:t>
            </w:r>
          </w:p>
        </w:tc>
      </w:tr>
      <w:tr>
        <w:tblPrEx>
          <w:tblLayout w:type="fixed"/>
          <w:tblCellMar>
            <w:top w:w="0" w:type="dxa"/>
            <w:left w:w="108" w:type="dxa"/>
            <w:bottom w:w="0" w:type="dxa"/>
            <w:right w:w="108" w:type="dxa"/>
          </w:tblCellMar>
        </w:tblPrEx>
        <w:trPr>
          <w:trHeight w:val="585" w:hRule="atLeast"/>
          <w:jc w:val="center"/>
        </w:trPr>
        <w:tc>
          <w:tcPr>
            <w:tcW w:w="304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30217</w:t>
            </w:r>
          </w:p>
        </w:tc>
        <w:tc>
          <w:tcPr>
            <w:tcW w:w="4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  公务接待费</w:t>
            </w:r>
          </w:p>
        </w:tc>
        <w:tc>
          <w:tcPr>
            <w:tcW w:w="17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10.00 </w:t>
            </w:r>
          </w:p>
        </w:tc>
      </w:tr>
      <w:tr>
        <w:tblPrEx>
          <w:tblLayout w:type="fixed"/>
          <w:tblCellMar>
            <w:top w:w="0" w:type="dxa"/>
            <w:left w:w="108" w:type="dxa"/>
            <w:bottom w:w="0" w:type="dxa"/>
            <w:right w:w="108" w:type="dxa"/>
          </w:tblCellMar>
        </w:tblPrEx>
        <w:trPr>
          <w:trHeight w:val="585" w:hRule="atLeast"/>
          <w:jc w:val="center"/>
        </w:trPr>
        <w:tc>
          <w:tcPr>
            <w:tcW w:w="304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30227</w:t>
            </w:r>
          </w:p>
        </w:tc>
        <w:tc>
          <w:tcPr>
            <w:tcW w:w="4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  委托业务费</w:t>
            </w:r>
          </w:p>
        </w:tc>
        <w:tc>
          <w:tcPr>
            <w:tcW w:w="17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20.00 </w:t>
            </w:r>
          </w:p>
        </w:tc>
      </w:tr>
      <w:tr>
        <w:tblPrEx>
          <w:tblLayout w:type="fixed"/>
          <w:tblCellMar>
            <w:top w:w="0" w:type="dxa"/>
            <w:left w:w="108" w:type="dxa"/>
            <w:bottom w:w="0" w:type="dxa"/>
            <w:right w:w="108" w:type="dxa"/>
          </w:tblCellMar>
        </w:tblPrEx>
        <w:trPr>
          <w:trHeight w:val="585" w:hRule="atLeast"/>
          <w:jc w:val="center"/>
        </w:trPr>
        <w:tc>
          <w:tcPr>
            <w:tcW w:w="304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30228</w:t>
            </w:r>
          </w:p>
        </w:tc>
        <w:tc>
          <w:tcPr>
            <w:tcW w:w="4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  工会经费</w:t>
            </w:r>
          </w:p>
        </w:tc>
        <w:tc>
          <w:tcPr>
            <w:tcW w:w="17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16.00 </w:t>
            </w:r>
          </w:p>
        </w:tc>
      </w:tr>
      <w:tr>
        <w:tblPrEx>
          <w:tblLayout w:type="fixed"/>
          <w:tblCellMar>
            <w:top w:w="0" w:type="dxa"/>
            <w:left w:w="108" w:type="dxa"/>
            <w:bottom w:w="0" w:type="dxa"/>
            <w:right w:w="108" w:type="dxa"/>
          </w:tblCellMar>
        </w:tblPrEx>
        <w:trPr>
          <w:trHeight w:val="585" w:hRule="atLeast"/>
          <w:jc w:val="center"/>
        </w:trPr>
        <w:tc>
          <w:tcPr>
            <w:tcW w:w="304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30231</w:t>
            </w:r>
          </w:p>
        </w:tc>
        <w:tc>
          <w:tcPr>
            <w:tcW w:w="4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  公务用车运行维护费</w:t>
            </w:r>
          </w:p>
        </w:tc>
        <w:tc>
          <w:tcPr>
            <w:tcW w:w="17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20.00 </w:t>
            </w:r>
          </w:p>
        </w:tc>
      </w:tr>
      <w:tr>
        <w:tblPrEx>
          <w:tblLayout w:type="fixed"/>
          <w:tblCellMar>
            <w:top w:w="0" w:type="dxa"/>
            <w:left w:w="108" w:type="dxa"/>
            <w:bottom w:w="0" w:type="dxa"/>
            <w:right w:w="108" w:type="dxa"/>
          </w:tblCellMar>
        </w:tblPrEx>
        <w:trPr>
          <w:trHeight w:val="585" w:hRule="atLeast"/>
          <w:jc w:val="center"/>
        </w:trPr>
        <w:tc>
          <w:tcPr>
            <w:tcW w:w="304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30239</w:t>
            </w:r>
          </w:p>
        </w:tc>
        <w:tc>
          <w:tcPr>
            <w:tcW w:w="4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  其他交通费用</w:t>
            </w:r>
          </w:p>
        </w:tc>
        <w:tc>
          <w:tcPr>
            <w:tcW w:w="17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12.90 </w:t>
            </w:r>
          </w:p>
        </w:tc>
      </w:tr>
      <w:tr>
        <w:tblPrEx>
          <w:tblLayout w:type="fixed"/>
          <w:tblCellMar>
            <w:top w:w="0" w:type="dxa"/>
            <w:left w:w="108" w:type="dxa"/>
            <w:bottom w:w="0" w:type="dxa"/>
            <w:right w:w="108" w:type="dxa"/>
          </w:tblCellMar>
        </w:tblPrEx>
        <w:trPr>
          <w:trHeight w:val="585" w:hRule="atLeast"/>
          <w:jc w:val="center"/>
        </w:trPr>
        <w:tc>
          <w:tcPr>
            <w:tcW w:w="304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30299</w:t>
            </w:r>
          </w:p>
        </w:tc>
        <w:tc>
          <w:tcPr>
            <w:tcW w:w="4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  其他商品和服务支出</w:t>
            </w:r>
          </w:p>
        </w:tc>
        <w:tc>
          <w:tcPr>
            <w:tcW w:w="17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49.00 </w:t>
            </w:r>
          </w:p>
        </w:tc>
      </w:tr>
    </w:tbl>
    <w:p>
      <w:pPr>
        <w:spacing w:line="580" w:lineRule="exact"/>
        <w:rPr>
          <w:rFonts w:ascii="黑体" w:hAnsi="黑体" w:eastAsia="黑体" w:cs="黑体"/>
          <w:spacing w:val="15"/>
          <w:sz w:val="32"/>
          <w:szCs w:val="32"/>
        </w:rPr>
        <w:sectPr>
          <w:headerReference r:id="rId3" w:type="first"/>
          <w:footerReference r:id="rId4" w:type="default"/>
          <w:pgSz w:w="11906" w:h="16838"/>
          <w:pgMar w:top="1701" w:right="1474" w:bottom="1701" w:left="1474" w:header="1474" w:footer="1021" w:gutter="0"/>
          <w:pgNumType w:fmt="numberInDash"/>
          <w:cols w:space="720" w:num="1"/>
          <w:titlePg/>
          <w:docGrid w:linePitch="602" w:charSpace="0"/>
        </w:sectPr>
      </w:pPr>
    </w:p>
    <w:tbl>
      <w:tblPr>
        <w:tblStyle w:val="6"/>
        <w:tblpPr w:leftFromText="180" w:rightFromText="180" w:horzAnchor="margin" w:tblpXSpec="center" w:tblpY="622"/>
        <w:tblW w:w="9880" w:type="dxa"/>
        <w:jc w:val="center"/>
        <w:tblInd w:w="0" w:type="dxa"/>
        <w:tblLayout w:type="fixed"/>
        <w:tblCellMar>
          <w:top w:w="0" w:type="dxa"/>
          <w:left w:w="108" w:type="dxa"/>
          <w:bottom w:w="0" w:type="dxa"/>
          <w:right w:w="108" w:type="dxa"/>
        </w:tblCellMar>
      </w:tblPr>
      <w:tblGrid>
        <w:gridCol w:w="3365"/>
        <w:gridCol w:w="963"/>
        <w:gridCol w:w="1000"/>
        <w:gridCol w:w="481"/>
        <w:gridCol w:w="599"/>
        <w:gridCol w:w="221"/>
        <w:gridCol w:w="774"/>
        <w:gridCol w:w="1208"/>
        <w:gridCol w:w="1269"/>
      </w:tblGrid>
      <w:tr>
        <w:tblPrEx>
          <w:tblLayout w:type="fixed"/>
          <w:tblCellMar>
            <w:top w:w="0" w:type="dxa"/>
            <w:left w:w="108" w:type="dxa"/>
            <w:bottom w:w="0" w:type="dxa"/>
            <w:right w:w="108" w:type="dxa"/>
          </w:tblCellMar>
        </w:tblPrEx>
        <w:trPr>
          <w:trHeight w:val="480" w:hRule="atLeast"/>
          <w:jc w:val="center"/>
        </w:trPr>
        <w:tc>
          <w:tcPr>
            <w:tcW w:w="9880" w:type="dxa"/>
            <w:gridSpan w:val="9"/>
            <w:tcBorders>
              <w:top w:val="nil"/>
              <w:left w:val="nil"/>
              <w:bottom w:val="nil"/>
              <w:right w:val="nil"/>
            </w:tcBorders>
            <w:shd w:val="clear" w:color="auto" w:fill="auto"/>
            <w:noWrap/>
            <w:vAlign w:val="center"/>
          </w:tcPr>
          <w:p>
            <w:pPr>
              <w:widowControl/>
              <w:rPr>
                <w:rFonts w:ascii="方正小标宋简体" w:hAnsi="宋体" w:eastAsia="方正小标宋简体" w:cs="宋体"/>
                <w:kern w:val="0"/>
                <w:sz w:val="44"/>
                <w:szCs w:val="44"/>
              </w:rPr>
            </w:pPr>
            <w:r>
              <w:rPr>
                <w:rFonts w:hint="eastAsia" w:ascii="方正小标宋简体" w:hAnsi="宋体" w:eastAsia="方正小标宋简体" w:cs="宋体"/>
                <w:kern w:val="0"/>
                <w:szCs w:val="21"/>
              </w:rPr>
              <w:t xml:space="preserve">表6            </w:t>
            </w:r>
            <w:r>
              <w:rPr>
                <w:rFonts w:hint="eastAsia" w:ascii="方正小标宋简体" w:hAnsi="宋体" w:eastAsia="方正小标宋简体" w:cs="宋体"/>
                <w:kern w:val="0"/>
                <w:sz w:val="44"/>
                <w:szCs w:val="44"/>
              </w:rPr>
              <w:t>2019年市级部门收入预算总表</w:t>
            </w:r>
          </w:p>
        </w:tc>
      </w:tr>
      <w:tr>
        <w:tblPrEx>
          <w:tblLayout w:type="fixed"/>
          <w:tblCellMar>
            <w:top w:w="0" w:type="dxa"/>
            <w:left w:w="108" w:type="dxa"/>
            <w:bottom w:w="0" w:type="dxa"/>
            <w:right w:w="108" w:type="dxa"/>
          </w:tblCellMar>
        </w:tblPrEx>
        <w:trPr>
          <w:trHeight w:val="402" w:hRule="atLeast"/>
          <w:jc w:val="center"/>
        </w:trPr>
        <w:tc>
          <w:tcPr>
            <w:tcW w:w="3365" w:type="dxa"/>
            <w:tcBorders>
              <w:top w:val="nil"/>
              <w:left w:val="nil"/>
              <w:bottom w:val="single" w:color="auto" w:sz="4" w:space="0"/>
              <w:right w:val="nil"/>
            </w:tcBorders>
            <w:shd w:val="clear" w:color="auto" w:fill="auto"/>
            <w:noWrap/>
            <w:vAlign w:val="center"/>
          </w:tcPr>
          <w:p>
            <w:pPr>
              <w:widowControl/>
              <w:jc w:val="left"/>
              <w:rPr>
                <w:rFonts w:hint="eastAsia" w:ascii="方正书宋_GBK" w:hAnsi="宋体" w:eastAsia="方正书宋_GBK" w:cs="宋体"/>
                <w:kern w:val="0"/>
                <w:sz w:val="20"/>
                <w:szCs w:val="24"/>
                <w:lang w:eastAsia="zh-CN"/>
              </w:rPr>
            </w:pPr>
            <w:r>
              <w:rPr>
                <w:rFonts w:hint="eastAsia" w:ascii="方正书宋_GBK" w:hAnsi="宋体" w:eastAsia="方正书宋_GBK" w:cs="宋体"/>
                <w:kern w:val="0"/>
                <w:sz w:val="20"/>
                <w:szCs w:val="24"/>
              </w:rPr>
              <w:t>部门名称：</w:t>
            </w:r>
            <w:r>
              <w:rPr>
                <w:rFonts w:hint="eastAsia" w:ascii="方正书宋_GBK" w:hAnsi="宋体" w:eastAsia="方正书宋_GBK" w:cs="宋体"/>
                <w:kern w:val="0"/>
                <w:sz w:val="20"/>
                <w:szCs w:val="24"/>
                <w:lang w:eastAsia="zh-CN"/>
              </w:rPr>
              <w:t xml:space="preserve"> 浙江安防职业技术学院</w:t>
            </w:r>
          </w:p>
        </w:tc>
        <w:tc>
          <w:tcPr>
            <w:tcW w:w="963" w:type="dxa"/>
            <w:tcBorders>
              <w:top w:val="nil"/>
              <w:left w:val="nil"/>
              <w:bottom w:val="nil"/>
              <w:right w:val="nil"/>
            </w:tcBorders>
            <w:shd w:val="clear" w:color="auto" w:fill="auto"/>
            <w:vAlign w:val="center"/>
          </w:tcPr>
          <w:p>
            <w:pPr>
              <w:widowControl/>
              <w:jc w:val="left"/>
              <w:rPr>
                <w:rFonts w:ascii="方正书宋_GBK" w:hAnsi="宋体" w:eastAsia="方正书宋_GBK" w:cs="宋体"/>
                <w:kern w:val="0"/>
                <w:sz w:val="20"/>
                <w:szCs w:val="24"/>
              </w:rPr>
            </w:pPr>
          </w:p>
        </w:tc>
        <w:tc>
          <w:tcPr>
            <w:tcW w:w="1481" w:type="dxa"/>
            <w:gridSpan w:val="2"/>
            <w:tcBorders>
              <w:top w:val="nil"/>
              <w:left w:val="nil"/>
              <w:bottom w:val="nil"/>
              <w:right w:val="nil"/>
            </w:tcBorders>
            <w:shd w:val="clear" w:color="auto" w:fill="auto"/>
            <w:vAlign w:val="center"/>
          </w:tcPr>
          <w:p>
            <w:pPr>
              <w:widowControl/>
              <w:jc w:val="left"/>
              <w:rPr>
                <w:rFonts w:ascii="方正书宋_GBK" w:hAnsi="宋体" w:eastAsia="方正书宋_GBK" w:cs="宋体"/>
                <w:kern w:val="0"/>
                <w:sz w:val="20"/>
                <w:szCs w:val="24"/>
              </w:rPr>
            </w:pPr>
          </w:p>
        </w:tc>
        <w:tc>
          <w:tcPr>
            <w:tcW w:w="820" w:type="dxa"/>
            <w:gridSpan w:val="2"/>
            <w:tcBorders>
              <w:top w:val="nil"/>
              <w:left w:val="nil"/>
              <w:bottom w:val="nil"/>
              <w:right w:val="nil"/>
            </w:tcBorders>
            <w:shd w:val="clear" w:color="auto" w:fill="auto"/>
            <w:vAlign w:val="center"/>
          </w:tcPr>
          <w:p>
            <w:pPr>
              <w:widowControl/>
              <w:jc w:val="left"/>
              <w:rPr>
                <w:rFonts w:ascii="方正书宋_GBK" w:hAnsi="宋体" w:eastAsia="方正书宋_GBK" w:cs="宋体"/>
                <w:kern w:val="0"/>
                <w:sz w:val="20"/>
                <w:szCs w:val="24"/>
              </w:rPr>
            </w:pPr>
          </w:p>
        </w:tc>
        <w:tc>
          <w:tcPr>
            <w:tcW w:w="774" w:type="dxa"/>
            <w:tcBorders>
              <w:top w:val="nil"/>
              <w:left w:val="nil"/>
              <w:bottom w:val="nil"/>
              <w:right w:val="nil"/>
            </w:tcBorders>
            <w:shd w:val="clear" w:color="auto" w:fill="auto"/>
            <w:vAlign w:val="center"/>
          </w:tcPr>
          <w:p>
            <w:pPr>
              <w:widowControl/>
              <w:jc w:val="left"/>
              <w:rPr>
                <w:rFonts w:ascii="方正书宋_GBK" w:hAnsi="宋体" w:eastAsia="方正书宋_GBK" w:cs="宋体"/>
                <w:kern w:val="0"/>
                <w:sz w:val="20"/>
                <w:szCs w:val="24"/>
              </w:rPr>
            </w:pPr>
          </w:p>
        </w:tc>
        <w:tc>
          <w:tcPr>
            <w:tcW w:w="1208"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1269" w:type="dxa"/>
            <w:tcBorders>
              <w:top w:val="nil"/>
              <w:left w:val="nil"/>
              <w:bottom w:val="nil"/>
              <w:right w:val="nil"/>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单位：万元</w:t>
            </w:r>
          </w:p>
        </w:tc>
      </w:tr>
      <w:tr>
        <w:tblPrEx>
          <w:tblLayout w:type="fixed"/>
          <w:tblCellMar>
            <w:top w:w="0" w:type="dxa"/>
            <w:left w:w="108" w:type="dxa"/>
            <w:bottom w:w="0" w:type="dxa"/>
            <w:right w:w="108" w:type="dxa"/>
          </w:tblCellMar>
        </w:tblPrEx>
        <w:trPr>
          <w:trHeight w:val="402" w:hRule="atLeast"/>
          <w:jc w:val="center"/>
        </w:trPr>
        <w:tc>
          <w:tcPr>
            <w:tcW w:w="33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单位名称</w:t>
            </w:r>
          </w:p>
        </w:tc>
        <w:tc>
          <w:tcPr>
            <w:tcW w:w="9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总   计</w:t>
            </w:r>
          </w:p>
        </w:tc>
        <w:tc>
          <w:tcPr>
            <w:tcW w:w="307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财政拨款</w:t>
            </w:r>
          </w:p>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2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专户资金</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单位结余</w:t>
            </w:r>
          </w:p>
        </w:tc>
      </w:tr>
      <w:tr>
        <w:tblPrEx>
          <w:tblLayout w:type="fixed"/>
          <w:tblCellMar>
            <w:top w:w="0" w:type="dxa"/>
            <w:left w:w="108" w:type="dxa"/>
            <w:bottom w:w="0" w:type="dxa"/>
            <w:right w:w="108" w:type="dxa"/>
          </w:tblCellMar>
        </w:tblPrEx>
        <w:trPr>
          <w:trHeight w:val="1062" w:hRule="atLeast"/>
          <w:jc w:val="center"/>
        </w:trPr>
        <w:tc>
          <w:tcPr>
            <w:tcW w:w="3365" w:type="dxa"/>
            <w:vMerge w:val="continue"/>
            <w:tcBorders>
              <w:top w:val="nil"/>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kern w:val="0"/>
                <w:sz w:val="20"/>
                <w:szCs w:val="24"/>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kern w:val="0"/>
                <w:sz w:val="20"/>
                <w:szCs w:val="24"/>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合计</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一般公共预算</w:t>
            </w:r>
          </w:p>
        </w:tc>
        <w:tc>
          <w:tcPr>
            <w:tcW w:w="99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政府性基金预算</w:t>
            </w: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kern w:val="0"/>
                <w:sz w:val="20"/>
                <w:szCs w:val="24"/>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kern w:val="0"/>
                <w:sz w:val="20"/>
                <w:szCs w:val="24"/>
              </w:rPr>
            </w:pPr>
          </w:p>
        </w:tc>
      </w:tr>
      <w:tr>
        <w:tblPrEx>
          <w:tblLayout w:type="fixed"/>
          <w:tblCellMar>
            <w:top w:w="0" w:type="dxa"/>
            <w:left w:w="108" w:type="dxa"/>
            <w:bottom w:w="0" w:type="dxa"/>
            <w:right w:w="108" w:type="dxa"/>
          </w:tblCellMar>
        </w:tblPrEx>
        <w:trPr>
          <w:trHeight w:val="360" w:hRule="atLeast"/>
          <w:jc w:val="center"/>
        </w:trPr>
        <w:tc>
          <w:tcPr>
            <w:tcW w:w="336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合计</w:t>
            </w:r>
          </w:p>
        </w:tc>
        <w:tc>
          <w:tcPr>
            <w:tcW w:w="9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7106.69 </w:t>
            </w:r>
          </w:p>
        </w:tc>
        <w:tc>
          <w:tcPr>
            <w:tcW w:w="1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5115.49 </w:t>
            </w:r>
          </w:p>
        </w:tc>
        <w:tc>
          <w:tcPr>
            <w:tcW w:w="108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3895.20 </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1220.29 </w:t>
            </w:r>
          </w:p>
        </w:tc>
        <w:tc>
          <w:tcPr>
            <w:tcW w:w="12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1991.20 </w:t>
            </w:r>
          </w:p>
        </w:tc>
        <w:tc>
          <w:tcPr>
            <w:tcW w:w="12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0.00 </w:t>
            </w:r>
          </w:p>
        </w:tc>
      </w:tr>
      <w:tr>
        <w:tblPrEx>
          <w:tblLayout w:type="fixed"/>
          <w:tblCellMar>
            <w:top w:w="0" w:type="dxa"/>
            <w:left w:w="108" w:type="dxa"/>
            <w:bottom w:w="0" w:type="dxa"/>
            <w:right w:w="108" w:type="dxa"/>
          </w:tblCellMar>
        </w:tblPrEx>
        <w:trPr>
          <w:trHeight w:val="360" w:hRule="atLeast"/>
          <w:jc w:val="center"/>
        </w:trPr>
        <w:tc>
          <w:tcPr>
            <w:tcW w:w="3365"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方正书宋_GBK" w:hAnsi="宋体" w:eastAsia="方正书宋_GBK" w:cs="宋体"/>
                <w:kern w:val="0"/>
                <w:sz w:val="20"/>
                <w:szCs w:val="24"/>
                <w:lang w:eastAsia="zh-CN"/>
              </w:rPr>
            </w:pPr>
            <w:r>
              <w:rPr>
                <w:rFonts w:hint="default" w:ascii="方正书宋_GBK" w:hAnsi="方正书宋_GBK" w:eastAsia="方正书宋_GBK" w:cs="方正书宋_GBK"/>
                <w:i w:val="0"/>
                <w:color w:val="000000"/>
                <w:kern w:val="0"/>
                <w:sz w:val="20"/>
                <w:szCs w:val="20"/>
                <w:u w:val="none"/>
                <w:lang w:val="en-US" w:eastAsia="zh-CN" w:bidi="ar"/>
              </w:rPr>
              <w:t>浙江安防职业技术学院</w:t>
            </w:r>
          </w:p>
        </w:tc>
        <w:tc>
          <w:tcPr>
            <w:tcW w:w="9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7106.69 </w:t>
            </w:r>
          </w:p>
        </w:tc>
        <w:tc>
          <w:tcPr>
            <w:tcW w:w="1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5115.49 </w:t>
            </w:r>
          </w:p>
        </w:tc>
        <w:tc>
          <w:tcPr>
            <w:tcW w:w="108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3895.20 </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1220.29 </w:t>
            </w:r>
          </w:p>
        </w:tc>
        <w:tc>
          <w:tcPr>
            <w:tcW w:w="12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1991.20 </w:t>
            </w:r>
          </w:p>
        </w:tc>
        <w:tc>
          <w:tcPr>
            <w:tcW w:w="12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 xml:space="preserve">0.00 </w:t>
            </w:r>
          </w:p>
        </w:tc>
      </w:tr>
      <w:tr>
        <w:tblPrEx>
          <w:tblLayout w:type="fixed"/>
          <w:tblCellMar>
            <w:top w:w="0" w:type="dxa"/>
            <w:left w:w="108" w:type="dxa"/>
            <w:bottom w:w="0" w:type="dxa"/>
            <w:right w:w="108" w:type="dxa"/>
          </w:tblCellMar>
        </w:tblPrEx>
        <w:trPr>
          <w:trHeight w:val="402" w:hRule="atLeast"/>
          <w:jc w:val="center"/>
        </w:trPr>
        <w:tc>
          <w:tcPr>
            <w:tcW w:w="33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书宋_GBK" w:hAnsi="宋体" w:eastAsia="方正书宋_GBK" w:cs="宋体"/>
                <w:kern w:val="0"/>
                <w:sz w:val="20"/>
                <w:szCs w:val="24"/>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c>
          <w:tcPr>
            <w:tcW w:w="9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c>
          <w:tcPr>
            <w:tcW w:w="1208" w:type="dxa"/>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c>
          <w:tcPr>
            <w:tcW w:w="1269" w:type="dxa"/>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r>
      <w:tr>
        <w:tblPrEx>
          <w:tblLayout w:type="fixed"/>
          <w:tblCellMar>
            <w:top w:w="0" w:type="dxa"/>
            <w:left w:w="108" w:type="dxa"/>
            <w:bottom w:w="0" w:type="dxa"/>
            <w:right w:w="108" w:type="dxa"/>
          </w:tblCellMar>
        </w:tblPrEx>
        <w:trPr>
          <w:trHeight w:val="402" w:hRule="atLeast"/>
          <w:jc w:val="center"/>
        </w:trPr>
        <w:tc>
          <w:tcPr>
            <w:tcW w:w="33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书宋_GBK" w:hAnsi="宋体" w:eastAsia="方正书宋_GBK" w:cs="宋体"/>
                <w:kern w:val="0"/>
                <w:sz w:val="20"/>
                <w:szCs w:val="24"/>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c>
          <w:tcPr>
            <w:tcW w:w="9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c>
          <w:tcPr>
            <w:tcW w:w="1208" w:type="dxa"/>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c>
          <w:tcPr>
            <w:tcW w:w="1269" w:type="dxa"/>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r>
      <w:tr>
        <w:tblPrEx>
          <w:tblLayout w:type="fixed"/>
          <w:tblCellMar>
            <w:top w:w="0" w:type="dxa"/>
            <w:left w:w="108" w:type="dxa"/>
            <w:bottom w:w="0" w:type="dxa"/>
            <w:right w:w="108" w:type="dxa"/>
          </w:tblCellMar>
        </w:tblPrEx>
        <w:trPr>
          <w:trHeight w:val="402" w:hRule="atLeast"/>
          <w:jc w:val="center"/>
        </w:trPr>
        <w:tc>
          <w:tcPr>
            <w:tcW w:w="33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书宋_GBK" w:hAnsi="宋体" w:eastAsia="方正书宋_GBK" w:cs="宋体"/>
                <w:kern w:val="0"/>
                <w:sz w:val="20"/>
                <w:szCs w:val="24"/>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c>
          <w:tcPr>
            <w:tcW w:w="9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c>
          <w:tcPr>
            <w:tcW w:w="1208" w:type="dxa"/>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c>
          <w:tcPr>
            <w:tcW w:w="1269" w:type="dxa"/>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r>
      <w:tr>
        <w:tblPrEx>
          <w:tblLayout w:type="fixed"/>
          <w:tblCellMar>
            <w:top w:w="0" w:type="dxa"/>
            <w:left w:w="108" w:type="dxa"/>
            <w:bottom w:w="0" w:type="dxa"/>
            <w:right w:w="108" w:type="dxa"/>
          </w:tblCellMar>
        </w:tblPrEx>
        <w:trPr>
          <w:trHeight w:val="402" w:hRule="atLeast"/>
          <w:jc w:val="center"/>
        </w:trPr>
        <w:tc>
          <w:tcPr>
            <w:tcW w:w="33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书宋_GBK" w:hAnsi="宋体" w:eastAsia="方正书宋_GBK" w:cs="宋体"/>
                <w:kern w:val="0"/>
                <w:sz w:val="20"/>
                <w:szCs w:val="24"/>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c>
          <w:tcPr>
            <w:tcW w:w="9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c>
          <w:tcPr>
            <w:tcW w:w="1208" w:type="dxa"/>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c>
          <w:tcPr>
            <w:tcW w:w="1269" w:type="dxa"/>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p>
        </w:tc>
      </w:tr>
    </w:tbl>
    <w:p>
      <w:pPr>
        <w:spacing w:line="580" w:lineRule="exact"/>
        <w:rPr>
          <w:rFonts w:ascii="黑体" w:hAnsi="黑体" w:eastAsia="黑体" w:cs="黑体"/>
          <w:spacing w:val="15"/>
          <w:sz w:val="32"/>
          <w:szCs w:val="32"/>
        </w:rPr>
      </w:pPr>
      <w:r>
        <w:rPr>
          <w:rFonts w:ascii="黑体" w:hAnsi="黑体" w:eastAsia="黑体" w:cs="黑体"/>
          <w:spacing w:val="15"/>
          <w:sz w:val="32"/>
          <w:szCs w:val="32"/>
        </w:rPr>
        <w:br w:type="page"/>
      </w:r>
    </w:p>
    <w:tbl>
      <w:tblPr>
        <w:tblStyle w:val="6"/>
        <w:tblW w:w="9242" w:type="dxa"/>
        <w:jc w:val="center"/>
        <w:tblInd w:w="0" w:type="dxa"/>
        <w:tblLayout w:type="fixed"/>
        <w:tblCellMar>
          <w:top w:w="0" w:type="dxa"/>
          <w:left w:w="108" w:type="dxa"/>
          <w:bottom w:w="0" w:type="dxa"/>
          <w:right w:w="108" w:type="dxa"/>
        </w:tblCellMar>
      </w:tblPr>
      <w:tblGrid>
        <w:gridCol w:w="2782"/>
        <w:gridCol w:w="1420"/>
        <w:gridCol w:w="848"/>
        <w:gridCol w:w="752"/>
        <w:gridCol w:w="1720"/>
        <w:gridCol w:w="1608"/>
        <w:gridCol w:w="112"/>
      </w:tblGrid>
      <w:tr>
        <w:tblPrEx>
          <w:tblLayout w:type="fixed"/>
          <w:tblCellMar>
            <w:top w:w="0" w:type="dxa"/>
            <w:left w:w="108" w:type="dxa"/>
            <w:bottom w:w="0" w:type="dxa"/>
            <w:right w:w="108" w:type="dxa"/>
          </w:tblCellMar>
        </w:tblPrEx>
        <w:trPr>
          <w:gridAfter w:val="1"/>
          <w:wAfter w:w="112" w:type="dxa"/>
          <w:trHeight w:val="615" w:hRule="atLeast"/>
          <w:jc w:val="center"/>
        </w:trPr>
        <w:tc>
          <w:tcPr>
            <w:tcW w:w="9130" w:type="dxa"/>
            <w:gridSpan w:val="6"/>
            <w:tcBorders>
              <w:top w:val="nil"/>
              <w:left w:val="nil"/>
              <w:bottom w:val="nil"/>
              <w:right w:val="nil"/>
            </w:tcBorders>
            <w:shd w:val="clear" w:color="auto" w:fill="auto"/>
            <w:noWrap/>
            <w:vAlign w:val="bottom"/>
          </w:tcPr>
          <w:p>
            <w:pPr>
              <w:widowControl/>
              <w:rPr>
                <w:rFonts w:ascii="方正小标宋简体" w:hAnsi="宋体" w:eastAsia="方正小标宋简体" w:cs="宋体"/>
                <w:kern w:val="0"/>
                <w:sz w:val="44"/>
                <w:szCs w:val="44"/>
              </w:rPr>
            </w:pPr>
            <w:r>
              <w:rPr>
                <w:rFonts w:hint="eastAsia" w:ascii="方正小标宋简体" w:hAnsi="宋体" w:eastAsia="方正小标宋简体" w:cs="宋体"/>
                <w:kern w:val="0"/>
                <w:szCs w:val="21"/>
              </w:rPr>
              <w:t xml:space="preserve">表7            </w:t>
            </w:r>
            <w:r>
              <w:rPr>
                <w:rFonts w:hint="eastAsia" w:ascii="方正小标宋简体" w:hAnsi="宋体" w:eastAsia="方正小标宋简体" w:cs="宋体"/>
                <w:kern w:val="0"/>
                <w:sz w:val="44"/>
                <w:szCs w:val="44"/>
              </w:rPr>
              <w:t>2019年市级部门支出预算总表</w:t>
            </w:r>
          </w:p>
        </w:tc>
      </w:tr>
      <w:tr>
        <w:tblPrEx>
          <w:tblLayout w:type="fixed"/>
          <w:tblCellMar>
            <w:top w:w="0" w:type="dxa"/>
            <w:left w:w="108" w:type="dxa"/>
            <w:bottom w:w="0" w:type="dxa"/>
            <w:right w:w="108" w:type="dxa"/>
          </w:tblCellMar>
        </w:tblPrEx>
        <w:trPr>
          <w:trHeight w:val="402" w:hRule="atLeast"/>
          <w:jc w:val="center"/>
        </w:trPr>
        <w:tc>
          <w:tcPr>
            <w:tcW w:w="2782" w:type="dxa"/>
            <w:tcBorders>
              <w:top w:val="nil"/>
              <w:left w:val="nil"/>
              <w:bottom w:val="nil"/>
              <w:right w:val="nil"/>
            </w:tcBorders>
            <w:shd w:val="clear" w:color="auto" w:fill="auto"/>
            <w:vAlign w:val="center"/>
          </w:tcPr>
          <w:p>
            <w:pPr>
              <w:widowControl/>
              <w:jc w:val="left"/>
              <w:rPr>
                <w:rFonts w:hint="eastAsia" w:ascii="方正书宋_GBK" w:hAnsi="宋体" w:eastAsia="方正书宋_GBK" w:cs="宋体"/>
                <w:kern w:val="0"/>
                <w:sz w:val="20"/>
                <w:szCs w:val="24"/>
                <w:lang w:eastAsia="zh-CN"/>
              </w:rPr>
            </w:pPr>
            <w:r>
              <w:rPr>
                <w:rFonts w:hint="eastAsia" w:ascii="方正书宋_GBK" w:hAnsi="宋体" w:eastAsia="方正书宋_GBK" w:cs="宋体"/>
                <w:kern w:val="0"/>
                <w:sz w:val="20"/>
                <w:szCs w:val="24"/>
              </w:rPr>
              <w:t>部门名称：</w:t>
            </w:r>
            <w:r>
              <w:rPr>
                <w:rFonts w:hint="eastAsia" w:ascii="方正书宋_GBK" w:hAnsi="宋体" w:eastAsia="方正书宋_GBK" w:cs="宋体"/>
                <w:kern w:val="0"/>
                <w:sz w:val="20"/>
                <w:szCs w:val="24"/>
                <w:lang w:eastAsia="zh-CN"/>
              </w:rPr>
              <w:t xml:space="preserve"> 浙江安防职业技术学院</w:t>
            </w:r>
          </w:p>
        </w:tc>
        <w:tc>
          <w:tcPr>
            <w:tcW w:w="1420" w:type="dxa"/>
            <w:tcBorders>
              <w:top w:val="nil"/>
              <w:left w:val="nil"/>
              <w:bottom w:val="nil"/>
              <w:right w:val="nil"/>
            </w:tcBorders>
            <w:shd w:val="clear" w:color="auto" w:fill="auto"/>
            <w:vAlign w:val="center"/>
          </w:tcPr>
          <w:p>
            <w:pPr>
              <w:widowControl/>
              <w:jc w:val="left"/>
              <w:rPr>
                <w:rFonts w:ascii="方正书宋_GBK" w:hAnsi="宋体" w:eastAsia="方正书宋_GBK" w:cs="宋体"/>
                <w:kern w:val="0"/>
                <w:sz w:val="20"/>
                <w:szCs w:val="24"/>
              </w:rPr>
            </w:pPr>
          </w:p>
        </w:tc>
        <w:tc>
          <w:tcPr>
            <w:tcW w:w="1600" w:type="dxa"/>
            <w:gridSpan w:val="2"/>
            <w:tcBorders>
              <w:top w:val="nil"/>
              <w:left w:val="nil"/>
              <w:bottom w:val="nil"/>
              <w:right w:val="nil"/>
            </w:tcBorders>
            <w:shd w:val="clear" w:color="auto" w:fill="auto"/>
            <w:vAlign w:val="center"/>
          </w:tcPr>
          <w:p>
            <w:pPr>
              <w:widowControl/>
              <w:jc w:val="left"/>
              <w:rPr>
                <w:rFonts w:ascii="方正书宋_GBK" w:hAnsi="宋体" w:eastAsia="方正书宋_GBK" w:cs="宋体"/>
                <w:kern w:val="0"/>
                <w:sz w:val="20"/>
                <w:szCs w:val="24"/>
              </w:rPr>
            </w:pPr>
          </w:p>
        </w:tc>
        <w:tc>
          <w:tcPr>
            <w:tcW w:w="1720" w:type="dxa"/>
            <w:tcBorders>
              <w:top w:val="nil"/>
              <w:left w:val="nil"/>
              <w:bottom w:val="nil"/>
              <w:right w:val="nil"/>
            </w:tcBorders>
            <w:shd w:val="clear" w:color="auto" w:fill="auto"/>
            <w:vAlign w:val="center"/>
          </w:tcPr>
          <w:p>
            <w:pPr>
              <w:widowControl/>
              <w:jc w:val="left"/>
              <w:rPr>
                <w:rFonts w:ascii="方正书宋_GBK" w:hAnsi="宋体" w:eastAsia="方正书宋_GBK" w:cs="宋体"/>
                <w:kern w:val="0"/>
                <w:sz w:val="20"/>
                <w:szCs w:val="24"/>
              </w:rPr>
            </w:pPr>
          </w:p>
        </w:tc>
        <w:tc>
          <w:tcPr>
            <w:tcW w:w="1720" w:type="dxa"/>
            <w:gridSpan w:val="2"/>
            <w:tcBorders>
              <w:top w:val="nil"/>
              <w:left w:val="nil"/>
              <w:bottom w:val="nil"/>
              <w:right w:val="nil"/>
            </w:tcBorders>
            <w:shd w:val="clear" w:color="auto" w:fill="auto"/>
            <w:vAlign w:val="center"/>
          </w:tcPr>
          <w:p>
            <w:pPr>
              <w:widowControl/>
              <w:jc w:val="left"/>
              <w:rPr>
                <w:rFonts w:ascii="方正书宋_GBK" w:hAnsi="宋体" w:eastAsia="方正书宋_GBK" w:cs="宋体"/>
                <w:kern w:val="0"/>
                <w:sz w:val="20"/>
                <w:szCs w:val="24"/>
              </w:rPr>
            </w:pPr>
            <w:r>
              <w:rPr>
                <w:rFonts w:hint="eastAsia" w:ascii="方正书宋_GBK" w:hAnsi="宋体" w:eastAsia="方正书宋_GBK" w:cs="宋体"/>
                <w:kern w:val="0"/>
                <w:sz w:val="20"/>
                <w:szCs w:val="24"/>
              </w:rPr>
              <w:t>单位：万元</w:t>
            </w:r>
          </w:p>
        </w:tc>
      </w:tr>
      <w:tr>
        <w:tblPrEx>
          <w:tblLayout w:type="fixed"/>
          <w:tblCellMar>
            <w:top w:w="0" w:type="dxa"/>
            <w:left w:w="108" w:type="dxa"/>
            <w:bottom w:w="0" w:type="dxa"/>
            <w:right w:w="108" w:type="dxa"/>
          </w:tblCellMar>
        </w:tblPrEx>
        <w:trPr>
          <w:trHeight w:val="402" w:hRule="atLeast"/>
          <w:jc w:val="center"/>
        </w:trPr>
        <w:tc>
          <w:tcPr>
            <w:tcW w:w="27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单位名称</w:t>
            </w:r>
          </w:p>
        </w:tc>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总   计</w:t>
            </w:r>
          </w:p>
        </w:tc>
        <w:tc>
          <w:tcPr>
            <w:tcW w:w="33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基本支出</w:t>
            </w:r>
          </w:p>
        </w:tc>
        <w:tc>
          <w:tcPr>
            <w:tcW w:w="17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项目支出</w:t>
            </w:r>
          </w:p>
        </w:tc>
      </w:tr>
      <w:tr>
        <w:tblPrEx>
          <w:tblLayout w:type="fixed"/>
          <w:tblCellMar>
            <w:top w:w="0" w:type="dxa"/>
            <w:left w:w="108" w:type="dxa"/>
            <w:bottom w:w="0" w:type="dxa"/>
            <w:right w:w="108" w:type="dxa"/>
          </w:tblCellMar>
        </w:tblPrEx>
        <w:trPr>
          <w:trHeight w:val="402" w:hRule="atLeast"/>
          <w:jc w:val="center"/>
        </w:trPr>
        <w:tc>
          <w:tcPr>
            <w:tcW w:w="2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kern w:val="0"/>
                <w:sz w:val="20"/>
                <w:szCs w:val="24"/>
              </w:rPr>
            </w:pP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kern w:val="0"/>
                <w:sz w:val="20"/>
                <w:szCs w:val="24"/>
              </w:rPr>
            </w:pPr>
          </w:p>
        </w:tc>
        <w:tc>
          <w:tcPr>
            <w:tcW w:w="160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人员支出</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方正书宋_GBK" w:hAnsi="宋体" w:eastAsia="方正书宋_GBK" w:cs="宋体"/>
                <w:kern w:val="0"/>
                <w:sz w:val="20"/>
                <w:szCs w:val="24"/>
              </w:rPr>
            </w:pPr>
            <w:r>
              <w:rPr>
                <w:rFonts w:hint="eastAsia" w:ascii="方正书宋_GBK" w:hAnsi="宋体" w:eastAsia="方正书宋_GBK" w:cs="宋体"/>
                <w:kern w:val="0"/>
                <w:sz w:val="20"/>
                <w:szCs w:val="24"/>
              </w:rPr>
              <w:t>日常公用支出</w:t>
            </w:r>
          </w:p>
        </w:tc>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kern w:val="0"/>
                <w:sz w:val="20"/>
                <w:szCs w:val="24"/>
              </w:rPr>
            </w:pPr>
          </w:p>
        </w:tc>
      </w:tr>
      <w:tr>
        <w:tblPrEx>
          <w:tblLayout w:type="fixed"/>
          <w:tblCellMar>
            <w:top w:w="0" w:type="dxa"/>
            <w:left w:w="108" w:type="dxa"/>
            <w:bottom w:w="0" w:type="dxa"/>
            <w:right w:w="108" w:type="dxa"/>
          </w:tblCellMar>
        </w:tblPrEx>
        <w:trPr>
          <w:trHeight w:val="645" w:hRule="atLeast"/>
          <w:jc w:val="center"/>
        </w:trPr>
        <w:tc>
          <w:tcPr>
            <w:tcW w:w="278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合计</w:t>
            </w:r>
          </w:p>
        </w:tc>
        <w:tc>
          <w:tcPr>
            <w:tcW w:w="14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7106.69</w:t>
            </w:r>
          </w:p>
        </w:tc>
        <w:tc>
          <w:tcPr>
            <w:tcW w:w="16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3232.65</w:t>
            </w:r>
          </w:p>
        </w:tc>
        <w:tc>
          <w:tcPr>
            <w:tcW w:w="17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384.2</w:t>
            </w:r>
          </w:p>
        </w:tc>
        <w:tc>
          <w:tcPr>
            <w:tcW w:w="17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3489.84</w:t>
            </w:r>
          </w:p>
        </w:tc>
      </w:tr>
      <w:tr>
        <w:tblPrEx>
          <w:tblLayout w:type="fixed"/>
          <w:tblCellMar>
            <w:top w:w="0" w:type="dxa"/>
            <w:left w:w="108" w:type="dxa"/>
            <w:bottom w:w="0" w:type="dxa"/>
            <w:right w:w="108" w:type="dxa"/>
          </w:tblCellMar>
        </w:tblPrEx>
        <w:trPr>
          <w:trHeight w:val="645" w:hRule="atLeast"/>
          <w:jc w:val="center"/>
        </w:trPr>
        <w:tc>
          <w:tcPr>
            <w:tcW w:w="278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方正书宋_GBK" w:hAnsi="宋体" w:eastAsia="方正书宋_GBK" w:cs="宋体"/>
                <w:kern w:val="0"/>
                <w:sz w:val="20"/>
                <w:szCs w:val="24"/>
                <w:lang w:eastAsia="zh-CN"/>
              </w:rPr>
            </w:pPr>
            <w:r>
              <w:rPr>
                <w:rFonts w:hint="default" w:ascii="方正书宋_GBK" w:hAnsi="方正书宋_GBK" w:eastAsia="方正书宋_GBK" w:cs="方正书宋_GBK"/>
                <w:i w:val="0"/>
                <w:color w:val="000000"/>
                <w:kern w:val="0"/>
                <w:sz w:val="20"/>
                <w:szCs w:val="20"/>
                <w:u w:val="none"/>
                <w:lang w:val="en-US" w:eastAsia="zh-CN" w:bidi="ar"/>
              </w:rPr>
              <w:t>浙江安防职业技术学院</w:t>
            </w:r>
          </w:p>
        </w:tc>
        <w:tc>
          <w:tcPr>
            <w:tcW w:w="14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7106.69</w:t>
            </w:r>
          </w:p>
        </w:tc>
        <w:tc>
          <w:tcPr>
            <w:tcW w:w="16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3232.65</w:t>
            </w:r>
          </w:p>
        </w:tc>
        <w:tc>
          <w:tcPr>
            <w:tcW w:w="17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384.2</w:t>
            </w:r>
          </w:p>
        </w:tc>
        <w:tc>
          <w:tcPr>
            <w:tcW w:w="17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方正书宋_GBK" w:hAnsi="宋体" w:eastAsia="方正书宋_GBK"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3489.84</w:t>
            </w:r>
          </w:p>
        </w:tc>
      </w:tr>
      <w:tr>
        <w:tblPrEx>
          <w:tblLayout w:type="fixed"/>
          <w:tblCellMar>
            <w:top w:w="0" w:type="dxa"/>
            <w:left w:w="108" w:type="dxa"/>
            <w:bottom w:w="0" w:type="dxa"/>
            <w:right w:w="108" w:type="dxa"/>
          </w:tblCellMar>
        </w:tblPrEx>
        <w:trPr>
          <w:trHeight w:val="645" w:hRule="atLeast"/>
          <w:jc w:val="center"/>
        </w:trPr>
        <w:tc>
          <w:tcPr>
            <w:tcW w:w="27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书宋_GBK" w:hAnsi="宋体" w:eastAsia="方正书宋_GBK" w:cs="宋体"/>
                <w:kern w:val="0"/>
                <w:sz w:val="20"/>
                <w:szCs w:val="24"/>
              </w:rPr>
            </w:pP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6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7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r>
      <w:tr>
        <w:tblPrEx>
          <w:tblLayout w:type="fixed"/>
          <w:tblCellMar>
            <w:top w:w="0" w:type="dxa"/>
            <w:left w:w="108" w:type="dxa"/>
            <w:bottom w:w="0" w:type="dxa"/>
            <w:right w:w="108" w:type="dxa"/>
          </w:tblCellMar>
        </w:tblPrEx>
        <w:trPr>
          <w:trHeight w:val="645" w:hRule="atLeast"/>
          <w:jc w:val="center"/>
        </w:trPr>
        <w:tc>
          <w:tcPr>
            <w:tcW w:w="27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书宋_GBK" w:hAnsi="宋体" w:eastAsia="方正书宋_GBK" w:cs="宋体"/>
                <w:kern w:val="0"/>
                <w:sz w:val="20"/>
                <w:szCs w:val="24"/>
              </w:rPr>
            </w:pP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6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7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r>
      <w:tr>
        <w:tblPrEx>
          <w:tblLayout w:type="fixed"/>
          <w:tblCellMar>
            <w:top w:w="0" w:type="dxa"/>
            <w:left w:w="108" w:type="dxa"/>
            <w:bottom w:w="0" w:type="dxa"/>
            <w:right w:w="108" w:type="dxa"/>
          </w:tblCellMar>
        </w:tblPrEx>
        <w:trPr>
          <w:trHeight w:val="645" w:hRule="atLeast"/>
          <w:jc w:val="center"/>
        </w:trPr>
        <w:tc>
          <w:tcPr>
            <w:tcW w:w="27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书宋_GBK" w:hAnsi="宋体" w:eastAsia="方正书宋_GBK" w:cs="宋体"/>
                <w:kern w:val="0"/>
                <w:sz w:val="20"/>
                <w:szCs w:val="24"/>
              </w:rPr>
            </w:pP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6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c>
          <w:tcPr>
            <w:tcW w:w="17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方正书宋_GBK" w:hAnsi="宋体" w:eastAsia="方正书宋_GBK" w:cs="宋体"/>
                <w:kern w:val="0"/>
                <w:sz w:val="20"/>
                <w:szCs w:val="24"/>
              </w:rPr>
            </w:pPr>
            <w:r>
              <w:rPr>
                <w:rFonts w:hint="eastAsia" w:ascii="方正书宋_GBK" w:hAnsi="宋体" w:eastAsia="方正书宋_GBK" w:cs="宋体"/>
                <w:kern w:val="0"/>
                <w:sz w:val="20"/>
                <w:szCs w:val="24"/>
              </w:rPr>
              <w:t>　</w:t>
            </w:r>
          </w:p>
        </w:tc>
      </w:tr>
      <w:tr>
        <w:tblPrEx>
          <w:tblLayout w:type="fixed"/>
          <w:tblCellMar>
            <w:top w:w="0" w:type="dxa"/>
            <w:left w:w="108" w:type="dxa"/>
            <w:bottom w:w="0" w:type="dxa"/>
            <w:right w:w="108" w:type="dxa"/>
          </w:tblCellMar>
        </w:tblPrEx>
        <w:trPr>
          <w:gridAfter w:val="1"/>
          <w:wAfter w:w="112" w:type="dxa"/>
          <w:trHeight w:val="615" w:hRule="atLeast"/>
          <w:jc w:val="center"/>
        </w:trPr>
        <w:tc>
          <w:tcPr>
            <w:tcW w:w="9130" w:type="dxa"/>
            <w:gridSpan w:val="6"/>
            <w:tcBorders>
              <w:top w:val="nil"/>
              <w:left w:val="nil"/>
              <w:bottom w:val="nil"/>
              <w:right w:val="nil"/>
            </w:tcBorders>
            <w:shd w:val="clear" w:color="auto" w:fill="auto"/>
            <w:noWrap/>
            <w:vAlign w:val="bottom"/>
          </w:tcPr>
          <w:p>
            <w:pPr>
              <w:widowControl/>
              <w:jc w:val="center"/>
              <w:rPr>
                <w:rFonts w:hint="eastAsia" w:ascii="宋体" w:hAnsi="宋体" w:eastAsia="宋体" w:cs="宋体"/>
                <w:kern w:val="0"/>
                <w:sz w:val="40"/>
                <w:szCs w:val="40"/>
              </w:rPr>
            </w:pPr>
          </w:p>
          <w:p>
            <w:pPr>
              <w:widowControl/>
              <w:jc w:val="center"/>
              <w:rPr>
                <w:rFonts w:hint="eastAsia" w:ascii="宋体" w:hAnsi="宋体" w:eastAsia="宋体" w:cs="宋体"/>
                <w:kern w:val="0"/>
                <w:sz w:val="40"/>
                <w:szCs w:val="40"/>
              </w:rPr>
            </w:pPr>
          </w:p>
          <w:p>
            <w:pPr>
              <w:widowControl/>
              <w:jc w:val="center"/>
              <w:rPr>
                <w:rFonts w:hint="eastAsia" w:ascii="宋体" w:hAnsi="宋体" w:eastAsia="宋体" w:cs="宋体"/>
                <w:kern w:val="0"/>
                <w:sz w:val="40"/>
                <w:szCs w:val="40"/>
              </w:rPr>
            </w:pPr>
          </w:p>
          <w:p>
            <w:pPr>
              <w:widowControl/>
              <w:jc w:val="center"/>
              <w:rPr>
                <w:rFonts w:hint="eastAsia" w:ascii="宋体" w:hAnsi="宋体" w:eastAsia="宋体" w:cs="宋体"/>
                <w:kern w:val="0"/>
                <w:sz w:val="40"/>
                <w:szCs w:val="40"/>
              </w:rPr>
            </w:pPr>
          </w:p>
          <w:p>
            <w:pPr>
              <w:widowControl/>
              <w:jc w:val="center"/>
              <w:rPr>
                <w:rFonts w:hint="eastAsia" w:ascii="宋体" w:hAnsi="宋体" w:eastAsia="宋体" w:cs="宋体"/>
                <w:kern w:val="0"/>
                <w:sz w:val="40"/>
                <w:szCs w:val="40"/>
              </w:rPr>
            </w:pPr>
          </w:p>
          <w:p>
            <w:pPr>
              <w:widowControl/>
              <w:jc w:val="center"/>
              <w:rPr>
                <w:rFonts w:hint="eastAsia" w:ascii="宋体" w:hAnsi="宋体" w:eastAsia="宋体" w:cs="宋体"/>
                <w:kern w:val="0"/>
                <w:sz w:val="40"/>
                <w:szCs w:val="40"/>
              </w:rPr>
            </w:pPr>
          </w:p>
          <w:p>
            <w:pPr>
              <w:widowControl/>
              <w:jc w:val="center"/>
              <w:rPr>
                <w:rFonts w:hint="eastAsia" w:ascii="宋体" w:hAnsi="宋体" w:eastAsia="宋体" w:cs="宋体"/>
                <w:kern w:val="0"/>
                <w:sz w:val="40"/>
                <w:szCs w:val="40"/>
              </w:rPr>
            </w:pPr>
          </w:p>
          <w:p>
            <w:pPr>
              <w:widowControl/>
              <w:jc w:val="center"/>
              <w:rPr>
                <w:rFonts w:hint="eastAsia" w:ascii="宋体" w:hAnsi="宋体" w:eastAsia="宋体" w:cs="宋体"/>
                <w:kern w:val="0"/>
                <w:sz w:val="40"/>
                <w:szCs w:val="40"/>
              </w:rPr>
            </w:pPr>
          </w:p>
          <w:p>
            <w:pPr>
              <w:widowControl/>
              <w:jc w:val="center"/>
              <w:rPr>
                <w:rFonts w:hint="eastAsia" w:ascii="宋体" w:hAnsi="宋体" w:eastAsia="宋体" w:cs="宋体"/>
                <w:kern w:val="0"/>
                <w:sz w:val="40"/>
                <w:szCs w:val="40"/>
              </w:rPr>
            </w:pPr>
          </w:p>
          <w:p>
            <w:pPr>
              <w:widowControl/>
              <w:jc w:val="center"/>
              <w:rPr>
                <w:rFonts w:hint="eastAsia" w:ascii="宋体" w:hAnsi="宋体" w:eastAsia="宋体" w:cs="宋体"/>
                <w:kern w:val="0"/>
                <w:sz w:val="40"/>
                <w:szCs w:val="40"/>
              </w:rPr>
            </w:pPr>
          </w:p>
          <w:p>
            <w:pPr>
              <w:widowControl/>
              <w:jc w:val="center"/>
              <w:rPr>
                <w:rFonts w:hint="eastAsia" w:ascii="宋体" w:hAnsi="宋体" w:eastAsia="宋体" w:cs="宋体"/>
                <w:kern w:val="0"/>
                <w:sz w:val="40"/>
                <w:szCs w:val="40"/>
              </w:rPr>
            </w:pPr>
          </w:p>
          <w:p>
            <w:pPr>
              <w:widowControl/>
              <w:jc w:val="center"/>
              <w:rPr>
                <w:rFonts w:hint="eastAsia" w:ascii="宋体" w:hAnsi="宋体" w:eastAsia="宋体" w:cs="宋体"/>
                <w:kern w:val="0"/>
                <w:sz w:val="40"/>
                <w:szCs w:val="40"/>
              </w:rPr>
            </w:pPr>
          </w:p>
          <w:p>
            <w:pPr>
              <w:widowControl/>
              <w:jc w:val="center"/>
              <w:rPr>
                <w:rFonts w:hint="eastAsia" w:ascii="宋体" w:hAnsi="宋体" w:eastAsia="宋体" w:cs="宋体"/>
                <w:kern w:val="0"/>
                <w:sz w:val="40"/>
                <w:szCs w:val="40"/>
              </w:rPr>
            </w:pPr>
          </w:p>
          <w:p>
            <w:pPr>
              <w:widowControl/>
              <w:rPr>
                <w:rFonts w:ascii="宋体" w:hAnsi="宋体" w:eastAsia="宋体" w:cs="宋体"/>
                <w:b/>
                <w:kern w:val="0"/>
                <w:sz w:val="40"/>
                <w:szCs w:val="40"/>
              </w:rPr>
            </w:pPr>
            <w:r>
              <w:rPr>
                <w:rFonts w:hint="eastAsia" w:ascii="宋体" w:hAnsi="宋体" w:eastAsia="宋体" w:cs="宋体"/>
                <w:b/>
                <w:kern w:val="0"/>
                <w:szCs w:val="21"/>
              </w:rPr>
              <w:t xml:space="preserve">表8       </w:t>
            </w:r>
            <w:r>
              <w:rPr>
                <w:rFonts w:hint="eastAsia" w:ascii="宋体" w:hAnsi="宋体" w:eastAsia="宋体" w:cs="宋体"/>
                <w:b/>
                <w:kern w:val="0"/>
                <w:sz w:val="40"/>
                <w:szCs w:val="40"/>
              </w:rPr>
              <w:t xml:space="preserve">2019年一般公共预算“三公”经费表 </w:t>
            </w:r>
          </w:p>
        </w:tc>
      </w:tr>
      <w:tr>
        <w:tblPrEx>
          <w:tblLayout w:type="fixed"/>
          <w:tblCellMar>
            <w:top w:w="0" w:type="dxa"/>
            <w:left w:w="108" w:type="dxa"/>
            <w:bottom w:w="0" w:type="dxa"/>
            <w:right w:w="108" w:type="dxa"/>
          </w:tblCellMar>
        </w:tblPrEx>
        <w:trPr>
          <w:gridAfter w:val="1"/>
          <w:wAfter w:w="112" w:type="dxa"/>
          <w:trHeight w:val="360" w:hRule="atLeast"/>
          <w:jc w:val="center"/>
        </w:trPr>
        <w:tc>
          <w:tcPr>
            <w:tcW w:w="5050" w:type="dxa"/>
            <w:gridSpan w:val="3"/>
            <w:tcBorders>
              <w:top w:val="nil"/>
              <w:left w:val="nil"/>
              <w:bottom w:val="nil"/>
              <w:right w:val="nil"/>
            </w:tcBorders>
            <w:shd w:val="clear" w:color="auto" w:fill="auto"/>
            <w:noWrap/>
            <w:vAlign w:val="bottom"/>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部门名称：</w:t>
            </w:r>
            <w:r>
              <w:rPr>
                <w:rFonts w:hint="eastAsia" w:ascii="宋体" w:hAnsi="宋体" w:eastAsia="宋体" w:cs="宋体"/>
                <w:kern w:val="0"/>
                <w:sz w:val="18"/>
                <w:szCs w:val="18"/>
                <w:lang w:eastAsia="zh-CN"/>
              </w:rPr>
              <w:t xml:space="preserve"> 浙江安防职业技术学院</w:t>
            </w:r>
          </w:p>
        </w:tc>
        <w:tc>
          <w:tcPr>
            <w:tcW w:w="4080" w:type="dxa"/>
            <w:gridSpan w:val="3"/>
            <w:tcBorders>
              <w:top w:val="nil"/>
              <w:left w:val="nil"/>
              <w:bottom w:val="nil"/>
              <w:right w:val="nil"/>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单位：万元</w:t>
            </w:r>
          </w:p>
        </w:tc>
      </w:tr>
      <w:tr>
        <w:tblPrEx>
          <w:tblLayout w:type="fixed"/>
          <w:tblCellMar>
            <w:top w:w="0" w:type="dxa"/>
            <w:left w:w="108" w:type="dxa"/>
            <w:bottom w:w="0" w:type="dxa"/>
            <w:right w:w="108" w:type="dxa"/>
          </w:tblCellMar>
        </w:tblPrEx>
        <w:trPr>
          <w:gridAfter w:val="1"/>
          <w:wAfter w:w="112" w:type="dxa"/>
          <w:trHeight w:val="855" w:hRule="atLeast"/>
          <w:jc w:val="center"/>
        </w:trPr>
        <w:tc>
          <w:tcPr>
            <w:tcW w:w="50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w:t>
            </w:r>
          </w:p>
        </w:tc>
        <w:tc>
          <w:tcPr>
            <w:tcW w:w="4080" w:type="dxa"/>
            <w:gridSpan w:val="3"/>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2019年预算数</w:t>
            </w:r>
          </w:p>
        </w:tc>
      </w:tr>
      <w:tr>
        <w:tblPrEx>
          <w:tblLayout w:type="fixed"/>
          <w:tblCellMar>
            <w:top w:w="0" w:type="dxa"/>
            <w:left w:w="108" w:type="dxa"/>
            <w:bottom w:w="0" w:type="dxa"/>
            <w:right w:w="108" w:type="dxa"/>
          </w:tblCellMar>
        </w:tblPrEx>
        <w:trPr>
          <w:gridAfter w:val="1"/>
          <w:wAfter w:w="112" w:type="dxa"/>
          <w:trHeight w:val="855" w:hRule="atLeast"/>
          <w:jc w:val="center"/>
        </w:trPr>
        <w:tc>
          <w:tcPr>
            <w:tcW w:w="5050" w:type="dxa"/>
            <w:gridSpan w:val="3"/>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4080" w:type="dxa"/>
            <w:gridSpan w:val="3"/>
            <w:tcBorders>
              <w:top w:val="single" w:color="auto" w:sz="4" w:space="0"/>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30</w:t>
            </w: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gridAfter w:val="1"/>
          <w:wAfter w:w="112" w:type="dxa"/>
          <w:trHeight w:val="1395" w:hRule="atLeast"/>
          <w:jc w:val="center"/>
        </w:trPr>
        <w:tc>
          <w:tcPr>
            <w:tcW w:w="5050" w:type="dxa"/>
            <w:gridSpan w:val="3"/>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1.因公出国(境)费用</w:t>
            </w:r>
          </w:p>
        </w:tc>
        <w:tc>
          <w:tcPr>
            <w:tcW w:w="4080" w:type="dxa"/>
            <w:gridSpan w:val="3"/>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r>
              <w:rPr>
                <w:rFonts w:hint="eastAsia" w:ascii="仿宋_GB2312" w:hAnsi="仿宋_GB2312" w:eastAsia="仿宋_GB2312" w:cs="仿宋_GB2312"/>
                <w:kern w:val="0"/>
                <w:szCs w:val="21"/>
              </w:rPr>
              <w:t>根据《温州市财政局关于明确因公出国（境）经费审批意见的通知》（温财外[2018]</w:t>
            </w:r>
            <w:r>
              <w:rPr>
                <w:rFonts w:hint="eastAsia" w:ascii="仿宋_GB2312" w:hAnsi="仿宋_GB2312" w:eastAsia="仿宋_GB2312" w:cs="仿宋_GB2312"/>
                <w:kern w:val="0"/>
                <w:szCs w:val="21"/>
                <w:lang w:val="en-US" w:eastAsia="zh-CN"/>
              </w:rPr>
              <w:t>41</w:t>
            </w:r>
            <w:r>
              <w:rPr>
                <w:rFonts w:hint="eastAsia" w:ascii="仿宋_GB2312" w:hAnsi="仿宋_GB2312" w:eastAsia="仿宋_GB2312" w:cs="仿宋_GB2312"/>
                <w:kern w:val="0"/>
                <w:szCs w:val="21"/>
              </w:rPr>
              <w:t>号）文件精神，</w:t>
            </w:r>
            <w:r>
              <w:rPr>
                <w:rFonts w:hint="eastAsia" w:ascii="Times New Roman" w:hAnsi="Times New Roman" w:eastAsia="仿宋_GB2312" w:cs="Times New Roman"/>
                <w:color w:val="000000"/>
                <w:szCs w:val="21"/>
              </w:rPr>
              <w:t>2019</w:t>
            </w:r>
            <w:r>
              <w:rPr>
                <w:rFonts w:ascii="Times New Roman" w:hAnsi="Times New Roman" w:eastAsia="仿宋_GB2312" w:cs="Times New Roman"/>
                <w:color w:val="000000"/>
                <w:szCs w:val="21"/>
              </w:rPr>
              <w:t>年因公出国（境）经费实行归口管理，由市财政统筹安排，不再单独安排预算进行公开</w:t>
            </w:r>
            <w:r>
              <w:rPr>
                <w:rFonts w:hint="eastAsia" w:ascii="Times New Roman" w:hAnsi="Times New Roman" w:eastAsia="仿宋_GB2312" w:cs="Times New Roman"/>
                <w:color w:val="000000"/>
                <w:szCs w:val="21"/>
              </w:rPr>
              <w:t>。2018年出国经费预算</w:t>
            </w:r>
            <w:r>
              <w:rPr>
                <w:rFonts w:hint="eastAsia" w:ascii="Times New Roman" w:hAnsi="Times New Roman" w:eastAsia="仿宋_GB2312" w:cs="Times New Roman"/>
                <w:color w:val="000000"/>
                <w:szCs w:val="21"/>
                <w:lang w:val="en-US" w:eastAsia="zh-CN"/>
              </w:rPr>
              <w:t>6.8</w:t>
            </w:r>
            <w:r>
              <w:rPr>
                <w:rFonts w:hint="eastAsia" w:ascii="Times New Roman" w:hAnsi="Times New Roman" w:eastAsia="仿宋_GB2312" w:cs="Times New Roman"/>
                <w:color w:val="000000"/>
                <w:szCs w:val="21"/>
              </w:rPr>
              <w:t>万元</w:t>
            </w:r>
          </w:p>
        </w:tc>
      </w:tr>
      <w:tr>
        <w:tblPrEx>
          <w:tblLayout w:type="fixed"/>
          <w:tblCellMar>
            <w:top w:w="0" w:type="dxa"/>
            <w:left w:w="108" w:type="dxa"/>
            <w:bottom w:w="0" w:type="dxa"/>
            <w:right w:w="108" w:type="dxa"/>
          </w:tblCellMar>
        </w:tblPrEx>
        <w:trPr>
          <w:gridAfter w:val="1"/>
          <w:wAfter w:w="112" w:type="dxa"/>
          <w:trHeight w:val="855" w:hRule="atLeast"/>
          <w:jc w:val="center"/>
        </w:trPr>
        <w:tc>
          <w:tcPr>
            <w:tcW w:w="5050" w:type="dxa"/>
            <w:gridSpan w:val="3"/>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2.公务接待费</w:t>
            </w:r>
          </w:p>
        </w:tc>
        <w:tc>
          <w:tcPr>
            <w:tcW w:w="40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 xml:space="preserve">10.00 </w:t>
            </w:r>
          </w:p>
        </w:tc>
      </w:tr>
      <w:tr>
        <w:tblPrEx>
          <w:tblLayout w:type="fixed"/>
          <w:tblCellMar>
            <w:top w:w="0" w:type="dxa"/>
            <w:left w:w="108" w:type="dxa"/>
            <w:bottom w:w="0" w:type="dxa"/>
            <w:right w:w="108" w:type="dxa"/>
          </w:tblCellMar>
        </w:tblPrEx>
        <w:trPr>
          <w:gridAfter w:val="1"/>
          <w:wAfter w:w="112" w:type="dxa"/>
          <w:trHeight w:val="855" w:hRule="atLeast"/>
          <w:jc w:val="center"/>
        </w:trPr>
        <w:tc>
          <w:tcPr>
            <w:tcW w:w="5050" w:type="dxa"/>
            <w:gridSpan w:val="3"/>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3.公务用车购置及运行维护费</w:t>
            </w:r>
          </w:p>
        </w:tc>
        <w:tc>
          <w:tcPr>
            <w:tcW w:w="408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 xml:space="preserve">20.00 </w:t>
            </w:r>
          </w:p>
        </w:tc>
      </w:tr>
      <w:tr>
        <w:tblPrEx>
          <w:tblLayout w:type="fixed"/>
          <w:tblCellMar>
            <w:top w:w="0" w:type="dxa"/>
            <w:left w:w="108" w:type="dxa"/>
            <w:bottom w:w="0" w:type="dxa"/>
            <w:right w:w="108" w:type="dxa"/>
          </w:tblCellMar>
        </w:tblPrEx>
        <w:trPr>
          <w:gridAfter w:val="1"/>
          <w:wAfter w:w="112" w:type="dxa"/>
          <w:trHeight w:val="855" w:hRule="atLeast"/>
          <w:jc w:val="center"/>
        </w:trPr>
        <w:tc>
          <w:tcPr>
            <w:tcW w:w="5050" w:type="dxa"/>
            <w:gridSpan w:val="3"/>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其中：公务用车购置费</w:t>
            </w:r>
          </w:p>
        </w:tc>
        <w:tc>
          <w:tcPr>
            <w:tcW w:w="4080" w:type="dxa"/>
            <w:gridSpan w:val="3"/>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108" w:type="dxa"/>
            <w:bottom w:w="0" w:type="dxa"/>
            <w:right w:w="108" w:type="dxa"/>
          </w:tblCellMar>
        </w:tblPrEx>
        <w:trPr>
          <w:gridAfter w:val="1"/>
          <w:wAfter w:w="112" w:type="dxa"/>
          <w:trHeight w:val="855" w:hRule="atLeast"/>
          <w:jc w:val="center"/>
        </w:trPr>
        <w:tc>
          <w:tcPr>
            <w:tcW w:w="5050" w:type="dxa"/>
            <w:gridSpan w:val="3"/>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公务用车运行维护费</w:t>
            </w:r>
          </w:p>
        </w:tc>
        <w:tc>
          <w:tcPr>
            <w:tcW w:w="40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 xml:space="preserve">20.00 </w:t>
            </w:r>
          </w:p>
        </w:tc>
      </w:tr>
    </w:tbl>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tbl>
      <w:tblPr>
        <w:tblStyle w:val="6"/>
        <w:tblW w:w="9360" w:type="dxa"/>
        <w:jc w:val="center"/>
        <w:tblInd w:w="0" w:type="dxa"/>
        <w:tblLayout w:type="fixed"/>
        <w:tblCellMar>
          <w:top w:w="0" w:type="dxa"/>
          <w:left w:w="108" w:type="dxa"/>
          <w:bottom w:w="0" w:type="dxa"/>
          <w:right w:w="108" w:type="dxa"/>
        </w:tblCellMar>
      </w:tblPr>
      <w:tblGrid>
        <w:gridCol w:w="1291"/>
        <w:gridCol w:w="1291"/>
        <w:gridCol w:w="1291"/>
        <w:gridCol w:w="606"/>
        <w:gridCol w:w="774"/>
        <w:gridCol w:w="663"/>
        <w:gridCol w:w="996"/>
        <w:gridCol w:w="1181"/>
        <w:gridCol w:w="1267"/>
      </w:tblGrid>
      <w:tr>
        <w:tblPrEx>
          <w:tblLayout w:type="fixed"/>
          <w:tblCellMar>
            <w:top w:w="0" w:type="dxa"/>
            <w:left w:w="108" w:type="dxa"/>
            <w:bottom w:w="0" w:type="dxa"/>
            <w:right w:w="108" w:type="dxa"/>
          </w:tblCellMar>
        </w:tblPrEx>
        <w:trPr>
          <w:trHeight w:val="540" w:hRule="atLeast"/>
          <w:jc w:val="center"/>
        </w:trPr>
        <w:tc>
          <w:tcPr>
            <w:tcW w:w="9360" w:type="dxa"/>
            <w:gridSpan w:val="9"/>
            <w:tcBorders>
              <w:top w:val="nil"/>
              <w:left w:val="nil"/>
              <w:bottom w:val="nil"/>
              <w:right w:val="nil"/>
            </w:tcBorders>
            <w:shd w:val="clear" w:color="auto" w:fill="auto"/>
            <w:noWrap/>
            <w:vAlign w:val="center"/>
          </w:tcPr>
          <w:p>
            <w:pPr>
              <w:widowControl/>
              <w:jc w:val="left"/>
              <w:rPr>
                <w:rFonts w:ascii="宋体" w:hAnsi="宋体" w:eastAsia="宋体" w:cs="宋体"/>
                <w:b/>
                <w:bCs/>
                <w:kern w:val="0"/>
                <w:sz w:val="20"/>
                <w:szCs w:val="24"/>
              </w:rPr>
            </w:pPr>
            <w:r>
              <w:rPr>
                <w:rFonts w:hint="eastAsia" w:ascii="宋体" w:hAnsi="宋体" w:eastAsia="宋体" w:cs="宋体"/>
                <w:b/>
                <w:bCs/>
                <w:kern w:val="0"/>
                <w:sz w:val="20"/>
                <w:szCs w:val="24"/>
              </w:rPr>
              <w:t>表9</w:t>
            </w:r>
            <w:r>
              <w:rPr>
                <w:rFonts w:hint="eastAsia" w:ascii="宋体" w:hAnsi="宋体" w:eastAsia="宋体" w:cs="宋体"/>
                <w:kern w:val="0"/>
                <w:sz w:val="20"/>
                <w:szCs w:val="24"/>
              </w:rPr>
              <w:t xml:space="preserve"> </w:t>
            </w:r>
            <w:r>
              <w:rPr>
                <w:rFonts w:hint="eastAsia" w:ascii="宋体" w:hAnsi="宋体" w:eastAsia="宋体" w:cs="宋体"/>
                <w:b/>
                <w:bCs/>
                <w:kern w:val="0"/>
                <w:sz w:val="20"/>
                <w:szCs w:val="24"/>
              </w:rPr>
              <w:t xml:space="preserve">  </w:t>
            </w:r>
            <w:r>
              <w:rPr>
                <w:rFonts w:hint="eastAsia" w:ascii="宋体" w:hAnsi="宋体" w:eastAsia="宋体" w:cs="宋体"/>
                <w:b/>
                <w:bCs/>
                <w:kern w:val="0"/>
                <w:sz w:val="36"/>
                <w:szCs w:val="36"/>
              </w:rPr>
              <w:t>2019年市级部门预算财政拨款项目支出预算表</w:t>
            </w:r>
          </w:p>
        </w:tc>
      </w:tr>
      <w:tr>
        <w:tblPrEx>
          <w:tblLayout w:type="fixed"/>
          <w:tblCellMar>
            <w:top w:w="0" w:type="dxa"/>
            <w:left w:w="108" w:type="dxa"/>
            <w:bottom w:w="0" w:type="dxa"/>
            <w:right w:w="108" w:type="dxa"/>
          </w:tblCellMar>
        </w:tblPrEx>
        <w:trPr>
          <w:trHeight w:val="225" w:hRule="atLeast"/>
          <w:jc w:val="center"/>
        </w:trPr>
        <w:tc>
          <w:tcPr>
            <w:tcW w:w="1291"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1291"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1291"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60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774"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663"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99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1181"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1267"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40" w:hRule="atLeast"/>
          <w:jc w:val="center"/>
        </w:trPr>
        <w:tc>
          <w:tcPr>
            <w:tcW w:w="3873" w:type="dxa"/>
            <w:gridSpan w:val="3"/>
            <w:tcBorders>
              <w:top w:val="nil"/>
              <w:left w:val="nil"/>
              <w:bottom w:val="nil"/>
              <w:right w:val="nil"/>
            </w:tcBorders>
            <w:shd w:val="clear" w:color="auto" w:fill="auto"/>
            <w:noWrap/>
            <w:vAlign w:val="bottom"/>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部门名称：</w:t>
            </w:r>
            <w:r>
              <w:rPr>
                <w:rFonts w:hint="eastAsia" w:ascii="宋体" w:hAnsi="宋体" w:eastAsia="宋体" w:cs="宋体"/>
                <w:kern w:val="0"/>
                <w:sz w:val="18"/>
                <w:szCs w:val="18"/>
                <w:lang w:eastAsia="zh-CN"/>
              </w:rPr>
              <w:t>浙江安防职业技术学院</w:t>
            </w:r>
          </w:p>
        </w:tc>
        <w:tc>
          <w:tcPr>
            <w:tcW w:w="60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774"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663" w:type="dxa"/>
            <w:tcBorders>
              <w:top w:val="nil"/>
              <w:left w:val="nil"/>
              <w:bottom w:val="nil"/>
              <w:right w:val="nil"/>
            </w:tcBorders>
            <w:shd w:val="clear" w:color="auto" w:fill="auto"/>
            <w:noWrap/>
            <w:vAlign w:val="bottom"/>
          </w:tcPr>
          <w:p>
            <w:pPr>
              <w:widowControl/>
              <w:jc w:val="right"/>
              <w:rPr>
                <w:rFonts w:ascii="宋体" w:hAnsi="宋体" w:eastAsia="宋体" w:cs="宋体"/>
                <w:kern w:val="0"/>
                <w:sz w:val="20"/>
                <w:szCs w:val="24"/>
              </w:rPr>
            </w:pPr>
          </w:p>
        </w:tc>
        <w:tc>
          <w:tcPr>
            <w:tcW w:w="99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1181"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1267" w:type="dxa"/>
            <w:tcBorders>
              <w:top w:val="nil"/>
              <w:left w:val="nil"/>
              <w:bottom w:val="nil"/>
              <w:right w:val="nil"/>
            </w:tcBorders>
            <w:shd w:val="clear" w:color="auto" w:fill="auto"/>
            <w:noWrap/>
            <w:vAlign w:val="bottom"/>
          </w:tcPr>
          <w:p>
            <w:pPr>
              <w:widowControl/>
              <w:jc w:val="right"/>
              <w:rPr>
                <w:rFonts w:hint="eastAsia" w:ascii="宋体" w:hAnsi="宋体" w:eastAsia="宋体" w:cs="宋体"/>
                <w:kern w:val="0"/>
                <w:sz w:val="20"/>
                <w:szCs w:val="24"/>
                <w:lang w:eastAsia="zh-CN"/>
              </w:rPr>
            </w:pPr>
            <w:r>
              <w:rPr>
                <w:rFonts w:hint="eastAsia" w:ascii="宋体" w:hAnsi="宋体" w:eastAsia="宋体" w:cs="宋体"/>
                <w:kern w:val="0"/>
                <w:sz w:val="20"/>
                <w:szCs w:val="24"/>
              </w:rPr>
              <w:t>单位:</w:t>
            </w:r>
            <w:r>
              <w:rPr>
                <w:rFonts w:hint="eastAsia" w:ascii="宋体" w:hAnsi="宋体" w:eastAsia="宋体" w:cs="宋体"/>
                <w:kern w:val="0"/>
                <w:sz w:val="20"/>
                <w:szCs w:val="24"/>
                <w:lang w:eastAsia="zh-CN"/>
              </w:rPr>
              <w:t>万元</w:t>
            </w:r>
          </w:p>
        </w:tc>
      </w:tr>
      <w:tr>
        <w:tblPrEx>
          <w:tblLayout w:type="fixed"/>
          <w:tblCellMar>
            <w:top w:w="0" w:type="dxa"/>
            <w:left w:w="108" w:type="dxa"/>
            <w:bottom w:w="0" w:type="dxa"/>
            <w:right w:w="108" w:type="dxa"/>
          </w:tblCellMar>
        </w:tblPrEx>
        <w:trPr>
          <w:trHeight w:val="240" w:hRule="atLeast"/>
          <w:jc w:val="center"/>
        </w:trPr>
        <w:tc>
          <w:tcPr>
            <w:tcW w:w="3873" w:type="dxa"/>
            <w:gridSpan w:val="3"/>
            <w:tcBorders>
              <w:top w:val="nil"/>
              <w:left w:val="nil"/>
              <w:bottom w:val="nil"/>
              <w:right w:val="nil"/>
            </w:tcBorders>
            <w:shd w:val="clear" w:color="auto" w:fill="auto"/>
            <w:noWrap/>
            <w:vAlign w:val="bottom"/>
          </w:tcPr>
          <w:p>
            <w:pPr>
              <w:widowControl/>
              <w:jc w:val="left"/>
              <w:rPr>
                <w:rFonts w:hint="eastAsia" w:ascii="宋体" w:hAnsi="宋体" w:eastAsia="宋体" w:cs="宋体"/>
                <w:kern w:val="0"/>
                <w:sz w:val="18"/>
                <w:szCs w:val="18"/>
              </w:rPr>
            </w:pPr>
          </w:p>
        </w:tc>
        <w:tc>
          <w:tcPr>
            <w:tcW w:w="60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774"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663" w:type="dxa"/>
            <w:tcBorders>
              <w:top w:val="nil"/>
              <w:left w:val="nil"/>
              <w:bottom w:val="nil"/>
              <w:right w:val="nil"/>
            </w:tcBorders>
            <w:shd w:val="clear" w:color="auto" w:fill="auto"/>
            <w:noWrap/>
            <w:vAlign w:val="bottom"/>
          </w:tcPr>
          <w:p>
            <w:pPr>
              <w:widowControl/>
              <w:jc w:val="right"/>
              <w:rPr>
                <w:rFonts w:ascii="宋体" w:hAnsi="宋体" w:eastAsia="宋体" w:cs="宋体"/>
                <w:kern w:val="0"/>
                <w:sz w:val="20"/>
                <w:szCs w:val="24"/>
              </w:rPr>
            </w:pPr>
          </w:p>
        </w:tc>
        <w:tc>
          <w:tcPr>
            <w:tcW w:w="99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1181"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1267" w:type="dxa"/>
            <w:tcBorders>
              <w:top w:val="nil"/>
              <w:left w:val="nil"/>
              <w:bottom w:val="nil"/>
              <w:right w:val="nil"/>
            </w:tcBorders>
            <w:shd w:val="clear" w:color="auto" w:fill="auto"/>
            <w:noWrap/>
            <w:vAlign w:val="bottom"/>
          </w:tcPr>
          <w:p>
            <w:pPr>
              <w:widowControl/>
              <w:jc w:val="right"/>
              <w:rPr>
                <w:rFonts w:hint="eastAsia" w:ascii="宋体" w:hAnsi="宋体" w:eastAsia="宋体" w:cs="宋体"/>
                <w:kern w:val="0"/>
                <w:sz w:val="20"/>
                <w:szCs w:val="24"/>
              </w:rPr>
            </w:pPr>
          </w:p>
        </w:tc>
      </w:tr>
      <w:tr>
        <w:tblPrEx>
          <w:tblLayout w:type="fixed"/>
          <w:tblCellMar>
            <w:top w:w="0" w:type="dxa"/>
            <w:left w:w="108" w:type="dxa"/>
            <w:bottom w:w="0" w:type="dxa"/>
            <w:right w:w="108" w:type="dxa"/>
          </w:tblCellMar>
        </w:tblPrEx>
        <w:trPr>
          <w:trHeight w:val="705" w:hRule="atLeast"/>
          <w:jc w:val="center"/>
        </w:trPr>
        <w:tc>
          <w:tcPr>
            <w:tcW w:w="1291"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宋体" w:hAnsi="宋体" w:eastAsia="宋体" w:cs="宋体"/>
                <w:kern w:val="0"/>
                <w:sz w:val="20"/>
                <w:szCs w:val="24"/>
              </w:rPr>
            </w:pPr>
            <w:r>
              <w:rPr>
                <w:rFonts w:hint="eastAsia" w:ascii="宋体" w:hAnsi="宋体" w:eastAsia="宋体" w:cs="宋体"/>
                <w:kern w:val="0"/>
                <w:sz w:val="20"/>
                <w:szCs w:val="24"/>
              </w:rPr>
              <w:t>单位名称</w:t>
            </w:r>
          </w:p>
        </w:tc>
        <w:tc>
          <w:tcPr>
            <w:tcW w:w="1291"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宋体" w:hAnsi="宋体" w:eastAsia="宋体" w:cs="宋体"/>
                <w:kern w:val="0"/>
                <w:sz w:val="20"/>
                <w:szCs w:val="24"/>
              </w:rPr>
            </w:pPr>
            <w:r>
              <w:rPr>
                <w:rFonts w:hint="eastAsia" w:ascii="宋体" w:hAnsi="宋体" w:eastAsia="宋体" w:cs="宋体"/>
                <w:kern w:val="0"/>
                <w:sz w:val="20"/>
                <w:szCs w:val="24"/>
              </w:rPr>
              <w:t>项目名称</w:t>
            </w:r>
          </w:p>
        </w:tc>
        <w:tc>
          <w:tcPr>
            <w:tcW w:w="1291"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宋体" w:hAnsi="宋体" w:eastAsia="宋体" w:cs="宋体"/>
                <w:kern w:val="0"/>
                <w:sz w:val="20"/>
                <w:szCs w:val="24"/>
              </w:rPr>
            </w:pPr>
            <w:r>
              <w:rPr>
                <w:rFonts w:hint="eastAsia" w:ascii="宋体" w:hAnsi="宋体" w:eastAsia="宋体" w:cs="宋体"/>
                <w:kern w:val="0"/>
                <w:sz w:val="20"/>
                <w:szCs w:val="24"/>
              </w:rPr>
              <w:t>项目内容</w:t>
            </w:r>
          </w:p>
        </w:tc>
        <w:tc>
          <w:tcPr>
            <w:tcW w:w="2043"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kern w:val="0"/>
                <w:sz w:val="20"/>
                <w:szCs w:val="24"/>
              </w:rPr>
            </w:pPr>
            <w:r>
              <w:rPr>
                <w:rFonts w:hint="eastAsia" w:ascii="宋体" w:hAnsi="宋体" w:eastAsia="宋体" w:cs="宋体"/>
                <w:kern w:val="0"/>
                <w:sz w:val="20"/>
                <w:szCs w:val="24"/>
              </w:rPr>
              <w:t>财政拨款</w:t>
            </w:r>
          </w:p>
        </w:tc>
        <w:tc>
          <w:tcPr>
            <w:tcW w:w="996"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eastAsia="宋体" w:cs="宋体"/>
                <w:kern w:val="0"/>
                <w:sz w:val="20"/>
                <w:szCs w:val="24"/>
              </w:rPr>
            </w:pPr>
            <w:r>
              <w:rPr>
                <w:rFonts w:hint="eastAsia" w:ascii="宋体" w:hAnsi="宋体" w:eastAsia="宋体" w:cs="宋体"/>
                <w:kern w:val="0"/>
                <w:sz w:val="20"/>
                <w:szCs w:val="24"/>
              </w:rPr>
              <w:t>（项目绩效）投入指标</w:t>
            </w:r>
          </w:p>
        </w:tc>
        <w:tc>
          <w:tcPr>
            <w:tcW w:w="1181"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eastAsia="宋体" w:cs="宋体"/>
                <w:kern w:val="0"/>
                <w:sz w:val="20"/>
                <w:szCs w:val="24"/>
              </w:rPr>
            </w:pPr>
            <w:r>
              <w:rPr>
                <w:rFonts w:hint="eastAsia" w:ascii="宋体" w:hAnsi="宋体" w:eastAsia="宋体" w:cs="宋体"/>
                <w:kern w:val="0"/>
                <w:sz w:val="20"/>
                <w:szCs w:val="24"/>
              </w:rPr>
              <w:t>（项目绩效）产出指标</w:t>
            </w:r>
          </w:p>
        </w:tc>
        <w:tc>
          <w:tcPr>
            <w:tcW w:w="12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4"/>
              </w:rPr>
            </w:pPr>
            <w:r>
              <w:rPr>
                <w:rFonts w:hint="eastAsia" w:ascii="宋体" w:hAnsi="宋体" w:eastAsia="宋体" w:cs="宋体"/>
                <w:kern w:val="0"/>
                <w:sz w:val="20"/>
                <w:szCs w:val="24"/>
              </w:rPr>
              <w:t>（项目绩效）效果指标</w:t>
            </w:r>
          </w:p>
        </w:tc>
      </w:tr>
      <w:tr>
        <w:tblPrEx>
          <w:tblLayout w:type="fixed"/>
          <w:tblCellMar>
            <w:top w:w="0" w:type="dxa"/>
            <w:left w:w="108" w:type="dxa"/>
            <w:bottom w:w="0" w:type="dxa"/>
            <w:right w:w="108" w:type="dxa"/>
          </w:tblCellMar>
        </w:tblPrEx>
        <w:trPr>
          <w:trHeight w:val="750" w:hRule="atLeast"/>
          <w:jc w:val="cent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4"/>
              </w:rPr>
            </w:pPr>
          </w:p>
        </w:tc>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4"/>
              </w:rPr>
            </w:pPr>
          </w:p>
        </w:tc>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4"/>
              </w:rPr>
            </w:pPr>
          </w:p>
        </w:tc>
        <w:tc>
          <w:tcPr>
            <w:tcW w:w="606"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总计</w:t>
            </w:r>
          </w:p>
        </w:tc>
        <w:tc>
          <w:tcPr>
            <w:tcW w:w="774"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eastAsia="宋体" w:cs="宋体"/>
                <w:kern w:val="0"/>
                <w:sz w:val="20"/>
                <w:szCs w:val="24"/>
              </w:rPr>
            </w:pPr>
            <w:r>
              <w:rPr>
                <w:rFonts w:hint="eastAsia" w:ascii="宋体" w:hAnsi="宋体" w:eastAsia="宋体" w:cs="宋体"/>
                <w:kern w:val="0"/>
                <w:sz w:val="20"/>
                <w:szCs w:val="24"/>
              </w:rPr>
              <w:t>一般公共预算</w:t>
            </w:r>
          </w:p>
        </w:tc>
        <w:tc>
          <w:tcPr>
            <w:tcW w:w="663"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eastAsia="宋体" w:cs="宋体"/>
                <w:kern w:val="0"/>
                <w:sz w:val="20"/>
                <w:szCs w:val="24"/>
              </w:rPr>
            </w:pPr>
            <w:r>
              <w:rPr>
                <w:rFonts w:hint="eastAsia" w:ascii="宋体" w:hAnsi="宋体" w:eastAsia="宋体" w:cs="宋体"/>
                <w:kern w:val="0"/>
                <w:sz w:val="20"/>
                <w:szCs w:val="24"/>
              </w:rPr>
              <w:t>政府性基金</w:t>
            </w: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4"/>
              </w:rPr>
            </w:pPr>
          </w:p>
        </w:tc>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4"/>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4"/>
              </w:rPr>
            </w:pPr>
          </w:p>
        </w:tc>
      </w:tr>
      <w:tr>
        <w:tblPrEx>
          <w:tblLayout w:type="fixed"/>
          <w:tblCellMar>
            <w:top w:w="0" w:type="dxa"/>
            <w:left w:w="108" w:type="dxa"/>
            <w:bottom w:w="0" w:type="dxa"/>
            <w:right w:w="108" w:type="dxa"/>
          </w:tblCellMar>
        </w:tblPrEx>
        <w:trPr>
          <w:trHeight w:val="510"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default" w:ascii="方正书宋_GBK" w:hAnsi="方正书宋_GBK" w:eastAsia="方正书宋_GBK" w:cs="方正书宋_GBK"/>
                <w:i w:val="0"/>
                <w:color w:val="000000"/>
                <w:kern w:val="0"/>
                <w:sz w:val="20"/>
                <w:szCs w:val="20"/>
                <w:u w:val="none"/>
                <w:lang w:val="en-US" w:eastAsia="zh-CN" w:bidi="ar"/>
              </w:rPr>
              <w:t>合计</w:t>
            </w:r>
          </w:p>
        </w:tc>
        <w:tc>
          <w:tcPr>
            <w:tcW w:w="1291"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18"/>
                <w:szCs w:val="18"/>
              </w:rPr>
            </w:pPr>
          </w:p>
        </w:tc>
        <w:tc>
          <w:tcPr>
            <w:tcW w:w="1291"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18"/>
                <w:szCs w:val="18"/>
              </w:rPr>
            </w:pPr>
          </w:p>
        </w:tc>
        <w:tc>
          <w:tcPr>
            <w:tcW w:w="6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18"/>
                <w:szCs w:val="18"/>
              </w:rPr>
            </w:pPr>
            <w:r>
              <w:rPr>
                <w:rFonts w:hint="default" w:ascii="方正书宋_GBK" w:hAnsi="方正书宋_GBK" w:eastAsia="方正书宋_GBK" w:cs="方正书宋_GBK"/>
                <w:i w:val="0"/>
                <w:color w:val="000000"/>
                <w:kern w:val="0"/>
                <w:sz w:val="20"/>
                <w:szCs w:val="20"/>
                <w:u w:val="none"/>
                <w:lang w:val="en-US" w:eastAsia="zh-CN" w:bidi="ar"/>
              </w:rPr>
              <w:t>2122.51</w:t>
            </w:r>
          </w:p>
        </w:tc>
        <w:tc>
          <w:tcPr>
            <w:tcW w:w="7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902.22</w:t>
            </w:r>
          </w:p>
        </w:tc>
        <w:tc>
          <w:tcPr>
            <w:tcW w:w="6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4"/>
              </w:rPr>
            </w:pPr>
            <w:r>
              <w:rPr>
                <w:rFonts w:hint="default" w:ascii="方正书宋_GBK" w:hAnsi="方正书宋_GBK" w:eastAsia="方正书宋_GBK" w:cs="方正书宋_GBK"/>
                <w:i w:val="0"/>
                <w:color w:val="000000"/>
                <w:kern w:val="0"/>
                <w:sz w:val="20"/>
                <w:szCs w:val="20"/>
                <w:u w:val="none"/>
                <w:lang w:val="en-US" w:eastAsia="zh-CN" w:bidi="ar"/>
              </w:rPr>
              <w:t>1220.29</w:t>
            </w:r>
          </w:p>
        </w:tc>
        <w:tc>
          <w:tcPr>
            <w:tcW w:w="996"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81"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20" w:hRule="atLeast"/>
          <w:jc w:val="center"/>
        </w:trPr>
        <w:tc>
          <w:tcPr>
            <w:tcW w:w="12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浙江安防职业技术学院</w:t>
            </w:r>
          </w:p>
        </w:tc>
        <w:tc>
          <w:tcPr>
            <w:tcW w:w="12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结转项目</w:t>
            </w:r>
          </w:p>
        </w:tc>
        <w:tc>
          <w:tcPr>
            <w:tcW w:w="12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办公设备购置</w:t>
            </w:r>
          </w:p>
        </w:tc>
        <w:tc>
          <w:tcPr>
            <w:tcW w:w="6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12.29</w:t>
            </w:r>
          </w:p>
        </w:tc>
        <w:tc>
          <w:tcPr>
            <w:tcW w:w="7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12.29</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学院教学楼办公设备购置</w:t>
            </w:r>
          </w:p>
        </w:tc>
        <w:tc>
          <w:tcPr>
            <w:tcW w:w="11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根据采购计划完成采购任务。</w:t>
            </w:r>
          </w:p>
        </w:tc>
        <w:tc>
          <w:tcPr>
            <w:tcW w:w="12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采购程序合规且采购商品质量达标。</w:t>
            </w:r>
          </w:p>
        </w:tc>
      </w:tr>
      <w:tr>
        <w:tblPrEx>
          <w:tblLayout w:type="fixed"/>
          <w:tblCellMar>
            <w:top w:w="0" w:type="dxa"/>
            <w:left w:w="108" w:type="dxa"/>
            <w:bottom w:w="0" w:type="dxa"/>
            <w:right w:w="108" w:type="dxa"/>
          </w:tblCellMar>
        </w:tblPrEx>
        <w:trPr>
          <w:trHeight w:val="420" w:hRule="atLeast"/>
          <w:jc w:val="center"/>
        </w:trPr>
        <w:tc>
          <w:tcPr>
            <w:tcW w:w="12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浙江安防职业技术学院</w:t>
            </w:r>
          </w:p>
        </w:tc>
        <w:tc>
          <w:tcPr>
            <w:tcW w:w="12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校园建设专项</w:t>
            </w:r>
          </w:p>
        </w:tc>
        <w:tc>
          <w:tcPr>
            <w:tcW w:w="12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特警训练基地建设</w:t>
            </w:r>
          </w:p>
        </w:tc>
        <w:tc>
          <w:tcPr>
            <w:tcW w:w="6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1208</w:t>
            </w:r>
          </w:p>
        </w:tc>
        <w:tc>
          <w:tcPr>
            <w:tcW w:w="7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1208</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工程建设、工程结算、工程管理、监理、电力、预备费用等</w:t>
            </w:r>
          </w:p>
        </w:tc>
        <w:tc>
          <w:tcPr>
            <w:tcW w:w="11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完成特警训练基地建筑面积7327.24平方米。</w:t>
            </w:r>
          </w:p>
        </w:tc>
        <w:tc>
          <w:tcPr>
            <w:tcW w:w="12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完成校园建设计划，推进校园建设进度，提升校园的环境和整体形象。</w:t>
            </w:r>
          </w:p>
        </w:tc>
      </w:tr>
      <w:tr>
        <w:tblPrEx>
          <w:tblLayout w:type="fixed"/>
          <w:tblCellMar>
            <w:top w:w="0" w:type="dxa"/>
            <w:left w:w="108" w:type="dxa"/>
            <w:bottom w:w="0" w:type="dxa"/>
            <w:right w:w="108" w:type="dxa"/>
          </w:tblCellMar>
        </w:tblPrEx>
        <w:trPr>
          <w:trHeight w:val="420" w:hRule="atLeast"/>
          <w:jc w:val="center"/>
        </w:trPr>
        <w:tc>
          <w:tcPr>
            <w:tcW w:w="12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浙江安防职业技术学院</w:t>
            </w:r>
          </w:p>
        </w:tc>
        <w:tc>
          <w:tcPr>
            <w:tcW w:w="12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高等职业教育支出</w:t>
            </w:r>
          </w:p>
        </w:tc>
        <w:tc>
          <w:tcPr>
            <w:tcW w:w="12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教学教研经费、实训室建设支出</w:t>
            </w:r>
          </w:p>
        </w:tc>
        <w:tc>
          <w:tcPr>
            <w:tcW w:w="6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603.06</w:t>
            </w:r>
          </w:p>
        </w:tc>
        <w:tc>
          <w:tcPr>
            <w:tcW w:w="7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603.06</w:t>
            </w:r>
          </w:p>
        </w:tc>
        <w:tc>
          <w:tcPr>
            <w:tcW w:w="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实践教学管理、专业建设、教学建设、教务管理、教学发展；新建或升级大数据实训室、基础教学一体化实训室、BIM综合实训室、“高清度人脸比对”等实训室。</w:t>
            </w:r>
          </w:p>
        </w:tc>
        <w:tc>
          <w:tcPr>
            <w:tcW w:w="11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新建校外实习基地10个；引进网络课程200门、引进信息化教学平台，出版教材5种左右；完成5门优质核心课程标准、教案、电子课件建设；新建设校内实训室7家，升级改造2个校内实训室。</w:t>
            </w:r>
          </w:p>
        </w:tc>
        <w:tc>
          <w:tcPr>
            <w:tcW w:w="12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深化学院教学建设与改革，加强教学内涵建设，为后续学生校外实习奠定基础；有利于提高教学质量和学校对外知名度；提升广大学生实践动手能力和理论联系实际的能力，教师和学生的满意度达90%。完成实训室建设规划，加强实践技能教育</w:t>
            </w:r>
            <w:r>
              <w:rPr>
                <w:rFonts w:hint="eastAsia" w:asciiTheme="minorEastAsia" w:hAnsiTheme="minorEastAsia" w:cstheme="minorEastAsia"/>
                <w:i w:val="0"/>
                <w:color w:val="000000"/>
                <w:kern w:val="0"/>
                <w:sz w:val="18"/>
                <w:szCs w:val="18"/>
                <w:u w:val="none"/>
                <w:lang w:val="en-US" w:eastAsia="zh-CN" w:bidi="ar"/>
              </w:rPr>
              <w:t>。</w:t>
            </w:r>
          </w:p>
        </w:tc>
      </w:tr>
      <w:tr>
        <w:tblPrEx>
          <w:tblLayout w:type="fixed"/>
          <w:tblCellMar>
            <w:top w:w="0" w:type="dxa"/>
            <w:left w:w="108" w:type="dxa"/>
            <w:bottom w:w="0" w:type="dxa"/>
            <w:right w:w="108" w:type="dxa"/>
          </w:tblCellMar>
        </w:tblPrEx>
        <w:trPr>
          <w:trHeight w:val="420" w:hRule="atLeast"/>
          <w:jc w:val="center"/>
        </w:trPr>
        <w:tc>
          <w:tcPr>
            <w:tcW w:w="12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浙江安防职业技术学院</w:t>
            </w:r>
          </w:p>
        </w:tc>
        <w:tc>
          <w:tcPr>
            <w:tcW w:w="12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运行保障支出</w:t>
            </w:r>
          </w:p>
        </w:tc>
        <w:tc>
          <w:tcPr>
            <w:tcW w:w="12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水电支出、物业管理支出</w:t>
            </w:r>
          </w:p>
        </w:tc>
        <w:tc>
          <w:tcPr>
            <w:tcW w:w="6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299.16</w:t>
            </w:r>
          </w:p>
        </w:tc>
        <w:tc>
          <w:tcPr>
            <w:tcW w:w="7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299.16</w:t>
            </w:r>
          </w:p>
        </w:tc>
        <w:tc>
          <w:tcPr>
            <w:tcW w:w="6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日常用水用电、学院安保</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物业管理投入</w:t>
            </w:r>
            <w:r>
              <w:rPr>
                <w:rFonts w:hint="eastAsia" w:asciiTheme="minorEastAsia" w:hAnsiTheme="minorEastAsia" w:cstheme="minorEastAsia"/>
                <w:i w:val="0"/>
                <w:color w:val="000000"/>
                <w:kern w:val="0"/>
                <w:sz w:val="18"/>
                <w:szCs w:val="18"/>
                <w:u w:val="none"/>
                <w:lang w:val="en-US" w:eastAsia="zh-CN" w:bidi="ar"/>
              </w:rPr>
              <w:t>。</w:t>
            </w:r>
          </w:p>
        </w:tc>
        <w:tc>
          <w:tcPr>
            <w:tcW w:w="11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保障全院师生教学及生活的正常用水用电，做好学院物业保障工作，为学生、教职工的良好生活及教学环境提供保障。</w:t>
            </w:r>
          </w:p>
        </w:tc>
        <w:tc>
          <w:tcPr>
            <w:tcW w:w="12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保障学院正常运营的供水供电需求，为教学任务完成提供基本保障，学院师生对物业满管理工作意度达90%以上。</w:t>
            </w:r>
          </w:p>
        </w:tc>
      </w:tr>
    </w:tbl>
    <w:p>
      <w:pPr>
        <w:spacing w:line="580" w:lineRule="exact"/>
        <w:rPr>
          <w:rFonts w:hint="eastAsia" w:ascii="黑体" w:hAnsi="黑体" w:eastAsia="黑体" w:cs="黑体"/>
          <w:spacing w:val="15"/>
          <w:sz w:val="32"/>
          <w:szCs w:val="32"/>
        </w:rPr>
      </w:pPr>
    </w:p>
    <w:p>
      <w:pPr>
        <w:spacing w:line="580" w:lineRule="exact"/>
        <w:rPr>
          <w:rFonts w:hint="eastAsia" w:ascii="黑体" w:hAnsi="黑体" w:eastAsia="黑体" w:cs="黑体"/>
          <w:spacing w:val="15"/>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宋体"/>
    <w:panose1 w:val="00000000000000000000"/>
    <w:charset w:val="86"/>
    <w:family w:val="roma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420" w:rightChars="200"/>
      <w:rPr>
        <w:rStyle w:val="5"/>
        <w:rFonts w:hint="eastAsia"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- 18 -</w:t>
    </w:r>
    <w:r>
      <w:rPr>
        <w:rFonts w:ascii="宋体" w:hAnsi="宋体"/>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74C85"/>
    <w:rsid w:val="021D3158"/>
    <w:rsid w:val="0FDF0F99"/>
    <w:rsid w:val="15874C85"/>
    <w:rsid w:val="17B80FF2"/>
    <w:rsid w:val="1A8D3BB2"/>
    <w:rsid w:val="1B0B466C"/>
    <w:rsid w:val="1B2B0CE8"/>
    <w:rsid w:val="1ED34B77"/>
    <w:rsid w:val="1FEE1CB3"/>
    <w:rsid w:val="2BA823AD"/>
    <w:rsid w:val="4D863701"/>
    <w:rsid w:val="55E36D89"/>
    <w:rsid w:val="611F4460"/>
    <w:rsid w:val="63BA5299"/>
    <w:rsid w:val="651A024B"/>
    <w:rsid w:val="6CD433FF"/>
    <w:rsid w:val="75206714"/>
    <w:rsid w:val="787D0877"/>
    <w:rsid w:val="7A207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5">
    <w:name w:val="page number"/>
    <w:basedOn w:val="4"/>
    <w:qFormat/>
    <w:uiPriority w:val="0"/>
  </w:style>
  <w:style w:type="paragraph" w:customStyle="1" w:styleId="7">
    <w:name w:val="p0"/>
    <w:basedOn w:val="1"/>
    <w:qFormat/>
    <w:uiPriority w:val="0"/>
    <w:pPr>
      <w:widowControl/>
    </w:pPr>
    <w:rPr>
      <w:kern w:val="0"/>
      <w:szCs w:val="21"/>
    </w:rPr>
  </w:style>
  <w:style w:type="character" w:customStyle="1" w:styleId="8">
    <w:name w:val="font11"/>
    <w:basedOn w:val="4"/>
    <w:qFormat/>
    <w:uiPriority w:val="0"/>
    <w:rPr>
      <w:rFonts w:hint="eastAsia" w:ascii="宋体" w:hAnsi="宋体" w:eastAsia="宋体" w:cs="宋体"/>
      <w:color w:val="000000"/>
      <w:sz w:val="18"/>
      <w:szCs w:val="18"/>
      <w:u w:val="none"/>
    </w:rPr>
  </w:style>
  <w:style w:type="character" w:customStyle="1" w:styleId="9">
    <w:name w:val="font21"/>
    <w:basedOn w:val="4"/>
    <w:qFormat/>
    <w:uiPriority w:val="0"/>
    <w:rPr>
      <w:rFonts w:hint="default"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2019-03-21T06:43:00Z</dcterms:created>
  <dc:creator>Administrator</dc:creator>
  <cp:lastModifiedBy>不说</cp:lastModifiedBy>
  <dcterms:modified xsi:type="dcterms:W3CDTF">2021-05-28T06:13:22Z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