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4"/>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重要信息系统信息安全等级保护测评</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200000.00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kern w:val="0"/>
                <w:sz w:val="22"/>
                <w:szCs w:val="22"/>
                <w:highlight w:val="none"/>
              </w:rPr>
              <w:t xml:space="preserve"> </w:t>
            </w:r>
          </w:p>
        </w:tc>
      </w:tr>
    </w:tbl>
    <w:p>
      <w:pPr>
        <w:numPr>
          <w:ilvl w:val="0"/>
          <w:numId w:val="1"/>
        </w:numPr>
        <w:snapToGrid w:val="0"/>
        <w:spacing w:line="360" w:lineRule="exact"/>
        <w:outlineLvl w:val="0"/>
        <w:rPr>
          <w:rFonts w:hint="eastAsia"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商务要求（技术要求里另有注明的以技术要求为准）</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u w:val="single"/>
              </w:rPr>
            </w:pPr>
            <w:r>
              <w:rPr>
                <w:rFonts w:hint="eastAsia" w:ascii="宋体" w:hAnsi="宋体" w:cs="宋体"/>
                <w:b/>
                <w:color w:val="auto"/>
                <w:spacing w:val="-6"/>
                <w:sz w:val="22"/>
                <w:szCs w:val="22"/>
                <w:highlight w:val="none"/>
                <w:u w:val="single"/>
              </w:rPr>
              <w:t>▲</w:t>
            </w:r>
            <w:r>
              <w:rPr>
                <w:rFonts w:hint="eastAsia" w:ascii="宋体" w:hAnsi="宋体" w:cs="宋体"/>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31" w:firstLineChars="19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1、在合同签订后5个工作日内，供应商须向采购人支付合同总金额</w:t>
            </w:r>
            <w:r>
              <w:rPr>
                <w:rFonts w:ascii="宋体" w:hAnsi="宋体" w:cs="宋体"/>
                <w:color w:val="auto"/>
                <w:sz w:val="22"/>
                <w:szCs w:val="22"/>
                <w:highlight w:val="none"/>
                <w:u w:val="single"/>
              </w:rPr>
              <w:t>5</w:t>
            </w:r>
            <w:r>
              <w:rPr>
                <w:rFonts w:hint="eastAsia" w:ascii="宋体" w:hAnsi="宋体" w:cs="宋体"/>
                <w:color w:val="auto"/>
                <w:sz w:val="22"/>
                <w:szCs w:val="22"/>
                <w:highlight w:val="none"/>
                <w:u w:val="single"/>
              </w:rPr>
              <w:t>%的履约保证金，如不提供，采购人有权拒签合同。签订合同生效后，20个工作日内，采购人向供应商支付50%合同款。</w:t>
            </w:r>
          </w:p>
          <w:p>
            <w:pPr>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2、完成等级保护测评工作后通过市公安部门定级备案工作，并通过项目最终验收后20个工作日内，采购人待财政资金下达后支付50%合同款，验收一年后无质量和服务问题，一次性无息退还履约保证金。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交货时间及地点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2021年</w:t>
            </w:r>
            <w:r>
              <w:rPr>
                <w:rFonts w:ascii="宋体" w:hAnsi="宋体" w:cs="宋体"/>
                <w:color w:val="auto"/>
                <w:sz w:val="22"/>
                <w:szCs w:val="22"/>
                <w:highlight w:val="none"/>
              </w:rPr>
              <w:t>12</w:t>
            </w:r>
            <w:r>
              <w:rPr>
                <w:rFonts w:hint="eastAsia" w:ascii="宋体" w:hAnsi="宋体" w:cs="宋体"/>
                <w:color w:val="auto"/>
                <w:sz w:val="22"/>
                <w:szCs w:val="22"/>
                <w:highlight w:val="none"/>
              </w:rPr>
              <w:t>月</w:t>
            </w:r>
            <w:r>
              <w:rPr>
                <w:rFonts w:ascii="宋体" w:hAnsi="宋体" w:cs="宋体"/>
                <w:color w:val="auto"/>
                <w:sz w:val="22"/>
                <w:szCs w:val="22"/>
                <w:highlight w:val="none"/>
              </w:rPr>
              <w:t>31</w:t>
            </w:r>
            <w:r>
              <w:rPr>
                <w:rFonts w:hint="eastAsia" w:ascii="宋体" w:hAnsi="宋体" w:cs="宋体"/>
                <w:color w:val="auto"/>
                <w:sz w:val="22"/>
                <w:szCs w:val="22"/>
                <w:highlight w:val="none"/>
              </w:rPr>
              <w:t>日前完成测评工作并将相关报告按校方指定地点进行移交。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验收应按照采购人确认的验收测试大纲进行，全过程必须由采购人在场见证。</w:t>
            </w:r>
          </w:p>
          <w:p>
            <w:pPr>
              <w:numPr>
                <w:ilvl w:val="0"/>
                <w:numId w:val="2"/>
              </w:numPr>
              <w:spacing w:line="36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信息系统等级保护测评项目目标是输出符合当地公安部门的等级保护测评报告，该项目将产生一定数量的文档。</w:t>
            </w:r>
          </w:p>
          <w:p>
            <w:pPr>
              <w:numPr>
                <w:ilvl w:val="0"/>
                <w:numId w:val="2"/>
              </w:numPr>
              <w:spacing w:line="36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响应供应商应对所有正式交付件的综合质量审查负责，指定各交付件的相关责任人，明确相关职责。</w:t>
            </w:r>
          </w:p>
          <w:p>
            <w:pPr>
              <w:numPr>
                <w:ilvl w:val="0"/>
                <w:numId w:val="2"/>
              </w:numPr>
              <w:spacing w:line="36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响应供应商应提交验收流程、验收方法和验收依据。</w:t>
            </w:r>
          </w:p>
          <w:p>
            <w:pPr>
              <w:numPr>
                <w:ilvl w:val="0"/>
                <w:numId w:val="2"/>
              </w:numPr>
              <w:spacing w:line="36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响应供应商应提供交付件归档办法和方式。</w:t>
            </w:r>
          </w:p>
          <w:p>
            <w:pPr>
              <w:numPr>
                <w:ilvl w:val="0"/>
                <w:numId w:val="2"/>
              </w:numPr>
              <w:spacing w:line="36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响应供应商应提供详细的验收测试大纲或计划，大纲中应明确规定验收项目和必须满足的要求。大纲必须经采购人确认后方可生效。</w:t>
            </w:r>
          </w:p>
          <w:p>
            <w:pPr>
              <w:numPr>
                <w:ilvl w:val="0"/>
                <w:numId w:val="2"/>
              </w:numPr>
              <w:spacing w:line="360" w:lineRule="exact"/>
              <w:ind w:left="0"/>
              <w:rPr>
                <w:rFonts w:hint="eastAsia" w:ascii="宋体" w:hAnsi="宋体" w:cs="宋体"/>
                <w:color w:val="auto"/>
                <w:sz w:val="22"/>
                <w:szCs w:val="22"/>
                <w:highlight w:val="none"/>
              </w:rPr>
            </w:pPr>
            <w:r>
              <w:rPr>
                <w:rFonts w:hint="eastAsia" w:ascii="宋体" w:hAnsi="宋体" w:cs="宋体"/>
                <w:color w:val="auto"/>
                <w:sz w:val="22"/>
                <w:szCs w:val="22"/>
                <w:highlight w:val="none"/>
              </w:rPr>
              <w:t>验收报告需双方代表签字认可。</w:t>
            </w:r>
          </w:p>
          <w:p>
            <w:pPr>
              <w:spacing w:line="360" w:lineRule="exact"/>
              <w:rPr>
                <w:rFonts w:hint="eastAsia" w:ascii="宋体" w:hAnsi="宋体" w:cs="宋体"/>
                <w:color w:val="auto"/>
                <w:sz w:val="22"/>
                <w:szCs w:val="22"/>
                <w:highlight w:val="none"/>
              </w:rPr>
            </w:pPr>
          </w:p>
        </w:tc>
      </w:tr>
    </w:tbl>
    <w:p>
      <w:pPr>
        <w:numPr>
          <w:ilvl w:val="0"/>
          <w:numId w:val="3"/>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54" w:type="dxa"/>
            <w:noWrap w:val="0"/>
            <w:vAlign w:val="top"/>
          </w:tcPr>
          <w:p>
            <w:pPr>
              <w:pStyle w:val="2"/>
              <w:numPr>
                <w:ilvl w:val="0"/>
                <w:numId w:val="4"/>
              </w:numPr>
              <w:spacing w:before="0" w:after="0" w:line="360" w:lineRule="exact"/>
              <w:ind w:left="0"/>
              <w:rPr>
                <w:rFonts w:hint="eastAsia" w:ascii="宋体" w:hAnsi="宋体" w:eastAsia="宋体" w:cs="宋体"/>
                <w:sz w:val="22"/>
                <w:szCs w:val="22"/>
                <w:highlight w:val="none"/>
              </w:rPr>
            </w:pPr>
            <w:bookmarkStart w:id="0" w:name="_Toc18561"/>
            <w:r>
              <w:rPr>
                <w:rFonts w:hint="eastAsia" w:ascii="宋体" w:hAnsi="宋体" w:eastAsia="宋体" w:cs="宋体"/>
                <w:sz w:val="22"/>
                <w:szCs w:val="22"/>
                <w:highlight w:val="none"/>
              </w:rPr>
              <w:t>总则</w:t>
            </w:r>
            <w:bookmarkEnd w:id="0"/>
          </w:p>
          <w:p>
            <w:pPr>
              <w:pStyle w:val="3"/>
              <w:numPr>
                <w:ilvl w:val="1"/>
                <w:numId w:val="5"/>
              </w:numPr>
              <w:spacing w:before="0" w:after="0" w:line="360" w:lineRule="exact"/>
              <w:ind w:left="0"/>
              <w:rPr>
                <w:rFonts w:hint="eastAsia" w:ascii="宋体" w:hAnsi="宋体" w:eastAsia="宋体" w:cs="宋体"/>
                <w:sz w:val="22"/>
                <w:szCs w:val="22"/>
                <w:highlight w:val="none"/>
              </w:rPr>
            </w:pPr>
            <w:bookmarkStart w:id="1" w:name="_Toc25972"/>
            <w:r>
              <w:rPr>
                <w:rFonts w:hint="eastAsia" w:ascii="宋体" w:hAnsi="宋体" w:eastAsia="宋体" w:cs="宋体"/>
                <w:sz w:val="22"/>
                <w:szCs w:val="22"/>
                <w:highlight w:val="none"/>
              </w:rPr>
              <w:t>引言</w:t>
            </w:r>
            <w:bookmarkEnd w:id="1"/>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为了落实公安部信息安全等级保护要求，进一步增强信息系统安全防护能力，确保系统安全稳定运行，依据《信息系统安全等级保护基本要求》（GB/T 22239-2019）、《信息系统安全等级保护管理办法》等国家相关文件和标准的要求，制定本技术规范书。</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仔细阅读本技术规范书所列的各项规范，所提供的测评服务应满足本技术规范书提出的要求。响应供应商也可以推荐满足本技术规范的其他方案，但必须对其在技术规范方面与本技术规范书之间所存在的差异加以详细说明。若无说明，则按对响应供应商不利的方面理解。</w:t>
            </w:r>
          </w:p>
          <w:p>
            <w:pPr>
              <w:overflowPunct w:val="0"/>
              <w:topLinePunct/>
              <w:snapToGrid w:val="0"/>
              <w:spacing w:line="360" w:lineRule="exact"/>
              <w:rPr>
                <w:rFonts w:hint="eastAsia" w:ascii="宋体" w:hAnsi="宋体" w:cs="宋体"/>
                <w:sz w:val="22"/>
                <w:szCs w:val="22"/>
                <w:highlight w:val="none"/>
              </w:rPr>
            </w:pPr>
            <w:r>
              <w:rPr>
                <w:rFonts w:hint="eastAsia" w:ascii="宋体" w:hAnsi="宋体" w:cs="宋体"/>
                <w:sz w:val="22"/>
                <w:szCs w:val="22"/>
                <w:highlight w:val="none"/>
              </w:rPr>
              <w:t>本项目实施单位应具备如下资质：</w:t>
            </w:r>
          </w:p>
          <w:p>
            <w:pPr>
              <w:numPr>
                <w:ilvl w:val="0"/>
                <w:numId w:val="6"/>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实施单位应具有公安部门颁发的测评认证资质；</w:t>
            </w:r>
          </w:p>
          <w:p>
            <w:pPr>
              <w:numPr>
                <w:ilvl w:val="0"/>
                <w:numId w:val="6"/>
              </w:numPr>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实施单位应提供专业技术人员的信息安全专业认证证书，机构内部具有等级保护测评资质人员不少于15人；</w:t>
            </w:r>
          </w:p>
          <w:p>
            <w:pPr>
              <w:numPr>
                <w:ilvl w:val="0"/>
                <w:numId w:val="6"/>
              </w:numPr>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实施单位应具有近两年内等级保护安全测评业绩，并提供相关资质和业绩证明。</w:t>
            </w:r>
          </w:p>
          <w:p>
            <w:pPr>
              <w:numPr>
                <w:ilvl w:val="0"/>
                <w:numId w:val="6"/>
              </w:numPr>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不接受联合体单位；</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响应供应商应在规定时间内，向采购人提供符合本技术规范书要求的详细的项目实施建议书和报价清单。</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响应供应商应提供测评成员的技术背景资历资料、从事测评的经验、人力资源的组织方式、项目实施的管理方式、项目成员的角色和责任。</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在项目建议书中，对本技术规范书中提出的技术及项目要求应逐项予以说明和答复。对涉及到的主要需求、技术及服务应做详细的说明。响应供应商对本技术规范书各条目的应答应为“满足”、“不满足”、“部分满足”，不得使用“明白”、“理解”等词语，在答复中，应明确满足的程度，并做出具体、详细的说明，凡采用“详见”、“参见”方式说明的，应指明参见文档中的具体的章节或页码，否则将视技术建议书不符合要求且该应答无效。</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如果响应供应商提供的系统与本规范书的要求有差异，应在技术建议书中以“技术偏差”为标题的专门章节中加以详细描述。</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承诺在等级保护安全测评过程中所使用的工具软件本身不能有任何安全隐患，对此应承担责任。同时提供的安全服务必须在技术上先进和成熟，使用工具软件版本是最新的并且成熟稳定，响应供应商应在等级保护测评过程中保证系统的稳定性。</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响应供应商现场工作结束后，如果采购人对提出的安全问题有疑义，响应供应商应予解答。</w:t>
            </w:r>
          </w:p>
          <w:p>
            <w:pPr>
              <w:pStyle w:val="3"/>
              <w:numPr>
                <w:ilvl w:val="1"/>
                <w:numId w:val="5"/>
              </w:numPr>
              <w:spacing w:before="0" w:after="0" w:line="360" w:lineRule="exact"/>
              <w:ind w:left="0"/>
              <w:rPr>
                <w:rFonts w:hint="eastAsia" w:ascii="宋体" w:hAnsi="宋体" w:eastAsia="宋体" w:cs="宋体"/>
                <w:sz w:val="22"/>
                <w:szCs w:val="22"/>
                <w:highlight w:val="none"/>
              </w:rPr>
            </w:pPr>
            <w:bookmarkStart w:id="2" w:name="_Toc9097"/>
            <w:r>
              <w:rPr>
                <w:rFonts w:hint="eastAsia" w:ascii="宋体" w:hAnsi="宋体" w:eastAsia="宋体" w:cs="宋体"/>
                <w:sz w:val="22"/>
                <w:szCs w:val="22"/>
                <w:highlight w:val="none"/>
              </w:rPr>
              <w:t>适用范围</w:t>
            </w:r>
            <w:bookmarkEnd w:id="2"/>
          </w:p>
          <w:p>
            <w:pPr>
              <w:pStyle w:val="6"/>
              <w:overflowPunct w:val="0"/>
              <w:topLinePunct/>
              <w:adjustRightInd/>
              <w:snapToGrid/>
              <w:spacing w:line="360" w:lineRule="exact"/>
              <w:ind w:firstLine="440"/>
              <w:textAlignment w:val="auto"/>
              <w:rPr>
                <w:rFonts w:hint="eastAsia" w:cs="宋体"/>
                <w:color w:val="000000"/>
                <w:sz w:val="22"/>
                <w:szCs w:val="22"/>
                <w:highlight w:val="none"/>
              </w:rPr>
            </w:pPr>
            <w:r>
              <w:rPr>
                <w:rFonts w:hint="eastAsia" w:cs="宋体"/>
                <w:color w:val="000000"/>
                <w:sz w:val="22"/>
                <w:szCs w:val="22"/>
                <w:highlight w:val="none"/>
              </w:rPr>
              <w:t>本技术规范适用于信息系统等级保护测评的招标采购，包括技术服务要求和验收要求。</w:t>
            </w:r>
          </w:p>
          <w:p>
            <w:pPr>
              <w:numPr>
                <w:ilvl w:val="2"/>
                <w:numId w:val="7"/>
              </w:numPr>
              <w:overflowPunct w:val="0"/>
              <w:topLinePunct/>
              <w:snapToGrid w:val="0"/>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本技术规范提出的是最低限度的技术要求。凡本技术规范中未规定，但在相关国家标准、能源行业标准或IEC标准中有规定的规范条文，响应供应商应按相应标准的条文进行服务供应说明。</w:t>
            </w:r>
          </w:p>
          <w:p>
            <w:pPr>
              <w:numPr>
                <w:ilvl w:val="2"/>
                <w:numId w:val="7"/>
              </w:numPr>
              <w:overflowPunct w:val="0"/>
              <w:topLinePunct/>
              <w:snapToGrid w:val="0"/>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如果响应供应商没有以书面形式对本技术规范的条文提出异议，则采购人认为响应供应商提供的服务完全符合本技术规范。如有异议，应在投标书中以“投标偏差表”为标题的专门章节中加以详细描述。</w:t>
            </w:r>
          </w:p>
          <w:p>
            <w:pPr>
              <w:numPr>
                <w:ilvl w:val="2"/>
                <w:numId w:val="7"/>
              </w:numPr>
              <w:overflowPunct w:val="0"/>
              <w:topLinePunct/>
              <w:snapToGrid w:val="0"/>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本技术规范所建议使用的标准如与响应供应商所执行的标准不一致，响应供应商应按更严格标准的条文执行或按双方商定的标准执行。</w:t>
            </w:r>
          </w:p>
          <w:p>
            <w:pPr>
              <w:numPr>
                <w:ilvl w:val="2"/>
                <w:numId w:val="7"/>
              </w:numPr>
              <w:overflowPunct w:val="0"/>
              <w:topLinePunct/>
              <w:snapToGrid w:val="0"/>
              <w:spacing w:line="360" w:lineRule="exact"/>
              <w:ind w:left="0" w:firstLine="0"/>
              <w:rPr>
                <w:rFonts w:hint="eastAsia" w:ascii="宋体" w:hAnsi="宋体" w:cs="宋体"/>
                <w:color w:val="000000"/>
                <w:sz w:val="22"/>
                <w:szCs w:val="22"/>
                <w:highlight w:val="none"/>
              </w:rPr>
            </w:pPr>
            <w:r>
              <w:rPr>
                <w:rFonts w:hint="eastAsia" w:ascii="宋体" w:hAnsi="宋体" w:cs="宋体"/>
                <w:color w:val="000000"/>
                <w:sz w:val="22"/>
                <w:szCs w:val="22"/>
                <w:highlight w:val="none"/>
              </w:rPr>
              <w:t>本技术规范经招标、投标双方确认后作为订货合同的技术附件，与合同正文具有同等的法律效力。</w:t>
            </w:r>
          </w:p>
          <w:p>
            <w:pPr>
              <w:pStyle w:val="3"/>
              <w:numPr>
                <w:ilvl w:val="1"/>
                <w:numId w:val="5"/>
              </w:numPr>
              <w:spacing w:before="0" w:after="0" w:line="360" w:lineRule="exact"/>
              <w:ind w:left="0"/>
              <w:rPr>
                <w:rFonts w:hint="eastAsia" w:ascii="宋体" w:hAnsi="宋体" w:eastAsia="宋体" w:cs="宋体"/>
                <w:sz w:val="22"/>
                <w:szCs w:val="22"/>
                <w:highlight w:val="none"/>
              </w:rPr>
            </w:pPr>
            <w:bookmarkStart w:id="3" w:name="_Toc19886"/>
            <w:r>
              <w:rPr>
                <w:rFonts w:hint="eastAsia" w:ascii="宋体" w:hAnsi="宋体" w:eastAsia="宋体" w:cs="宋体"/>
                <w:sz w:val="22"/>
                <w:szCs w:val="22"/>
                <w:highlight w:val="none"/>
              </w:rPr>
              <w:t>规范性引用文件</w:t>
            </w:r>
            <w:bookmarkEnd w:id="3"/>
          </w:p>
          <w:p>
            <w:pPr>
              <w:autoSpaceDE w:val="0"/>
              <w:autoSpaceDN w:val="0"/>
              <w:adjustRightInd w:val="0"/>
              <w:spacing w:line="360" w:lineRule="exact"/>
              <w:ind w:firstLine="42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下列文件中的条款通过本规范的引用而成为本规范的条款。凡是注日期的引用文件，其随后所有的修改单(不包括勘误的内容)或修订版均不适用于本规范，然而，鼓励根据本规范达成协议的各方研究是否可使用这些文件的最新版本。凡是不注日期的引用文件，其最新版本适用于本规范。</w:t>
            </w:r>
          </w:p>
          <w:p>
            <w:pPr>
              <w:numPr>
                <w:ilvl w:val="0"/>
                <w:numId w:val="8"/>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 xml:space="preserve">《GB/T 22239-2019 信息安全技术 网络安全等级保护基本要求》 </w:t>
            </w:r>
          </w:p>
          <w:p>
            <w:pPr>
              <w:numPr>
                <w:ilvl w:val="0"/>
                <w:numId w:val="8"/>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《GB/T 22240-2020 信息安全技术 网络安全等级保护定级指南》</w:t>
            </w:r>
          </w:p>
          <w:p>
            <w:pPr>
              <w:numPr>
                <w:ilvl w:val="0"/>
                <w:numId w:val="8"/>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《GB/T 25058-2019 信息安全技术 网络安全等级保护实施指南》</w:t>
            </w:r>
          </w:p>
          <w:p>
            <w:pPr>
              <w:numPr>
                <w:ilvl w:val="0"/>
                <w:numId w:val="8"/>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《GB/T 20984-2015 信息安全技术 信息安全风险评估规范》</w:t>
            </w:r>
          </w:p>
          <w:p>
            <w:pPr>
              <w:numPr>
                <w:ilvl w:val="0"/>
                <w:numId w:val="8"/>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《信息系统安全等级保护测评要求》</w:t>
            </w:r>
          </w:p>
          <w:p>
            <w:pPr>
              <w:numPr>
                <w:ilvl w:val="0"/>
                <w:numId w:val="8"/>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《信息系统安全等级保护测评过程指南》</w:t>
            </w:r>
          </w:p>
          <w:p>
            <w:pPr>
              <w:pStyle w:val="3"/>
              <w:numPr>
                <w:ilvl w:val="1"/>
                <w:numId w:val="5"/>
              </w:numPr>
              <w:spacing w:before="0" w:after="0" w:line="360" w:lineRule="exact"/>
              <w:ind w:left="0"/>
              <w:rPr>
                <w:rFonts w:hint="eastAsia" w:ascii="宋体" w:hAnsi="宋体" w:eastAsia="宋体" w:cs="宋体"/>
                <w:sz w:val="22"/>
                <w:szCs w:val="22"/>
                <w:highlight w:val="none"/>
              </w:rPr>
            </w:pPr>
            <w:bookmarkStart w:id="4" w:name="_Toc30854"/>
            <w:r>
              <w:rPr>
                <w:rFonts w:hint="eastAsia" w:ascii="宋体" w:hAnsi="宋体" w:eastAsia="宋体" w:cs="宋体"/>
                <w:sz w:val="22"/>
                <w:szCs w:val="22"/>
                <w:highlight w:val="none"/>
              </w:rPr>
              <w:t>权利和职责</w:t>
            </w:r>
            <w:bookmarkEnd w:id="4"/>
          </w:p>
          <w:p>
            <w:pPr>
              <w:spacing w:line="360" w:lineRule="exact"/>
              <w:ind w:firstLine="330" w:firstLineChars="150"/>
              <w:rPr>
                <w:rFonts w:hint="eastAsia" w:ascii="宋体" w:hAnsi="宋体" w:cs="宋体"/>
                <w:color w:val="000000"/>
                <w:sz w:val="22"/>
                <w:szCs w:val="22"/>
                <w:highlight w:val="none"/>
              </w:rPr>
            </w:pPr>
            <w:r>
              <w:rPr>
                <w:rFonts w:hint="eastAsia" w:ascii="宋体" w:hAnsi="宋体" w:cs="宋体"/>
                <w:color w:val="000000"/>
                <w:sz w:val="22"/>
                <w:szCs w:val="22"/>
                <w:highlight w:val="none"/>
              </w:rPr>
              <w:t>为切实保障本项目的工作质量，确保测评工作达到预期目标，对响应供应商及采购人双方技术工作责任约定如下：</w:t>
            </w:r>
          </w:p>
          <w:p>
            <w:pPr>
              <w:overflowPunct w:val="0"/>
              <w:topLinePunct/>
              <w:snapToGrid w:val="0"/>
              <w:spacing w:line="36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rPr>
              <w:t>采购人责任：</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负责测评实施过程中同相关单位和部门的协调</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为响应供应商提供良好的工作场地和环境</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按工作要求提供相关的资料和信息</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准备应急措施，负责实施过程中的紧急情况的处理响应供应商责任</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按照采购人工作章程开展工作</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项目内容的变更即时与采购人代表沟通</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按照协议要求提供技术服务和成果</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确保测评工作质量</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配合采购人准备应急预案和实施过程中的紧急情况处理</w:t>
            </w:r>
          </w:p>
          <w:p>
            <w:pPr>
              <w:numPr>
                <w:ilvl w:val="0"/>
                <w:numId w:val="9"/>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负责按时完成所有工作</w:t>
            </w:r>
          </w:p>
          <w:p>
            <w:pPr>
              <w:spacing w:line="360" w:lineRule="exact"/>
              <w:rPr>
                <w:rFonts w:hint="eastAsia" w:ascii="宋体" w:hAnsi="宋体" w:cs="宋体"/>
                <w:color w:val="000000"/>
                <w:sz w:val="22"/>
                <w:szCs w:val="22"/>
                <w:highlight w:val="none"/>
              </w:rPr>
            </w:pPr>
            <w:r>
              <w:rPr>
                <w:rFonts w:hint="eastAsia" w:ascii="宋体" w:hAnsi="宋体" w:cs="宋体"/>
                <w:color w:val="000000"/>
                <w:sz w:val="22"/>
                <w:szCs w:val="22"/>
                <w:highlight w:val="none"/>
              </w:rPr>
              <w:t>同时，双方都必须遵循保密要求。</w:t>
            </w:r>
          </w:p>
          <w:p>
            <w:pPr>
              <w:spacing w:line="360" w:lineRule="exact"/>
              <w:rPr>
                <w:rFonts w:hint="eastAsia" w:ascii="宋体" w:hAnsi="宋体" w:cs="宋体"/>
                <w:sz w:val="22"/>
                <w:szCs w:val="22"/>
                <w:highlight w:val="none"/>
              </w:rPr>
            </w:pPr>
          </w:p>
          <w:p>
            <w:pPr>
              <w:pStyle w:val="2"/>
              <w:numPr>
                <w:ilvl w:val="0"/>
                <w:numId w:val="4"/>
              </w:numPr>
              <w:spacing w:before="0" w:after="0" w:line="360" w:lineRule="exact"/>
              <w:ind w:left="0"/>
              <w:rPr>
                <w:rFonts w:hint="eastAsia" w:ascii="宋体" w:hAnsi="宋体" w:eastAsia="宋体" w:cs="宋体"/>
                <w:sz w:val="22"/>
                <w:szCs w:val="22"/>
                <w:highlight w:val="none"/>
              </w:rPr>
            </w:pPr>
            <w:bookmarkStart w:id="5" w:name="_Toc14550"/>
            <w:r>
              <w:rPr>
                <w:rFonts w:hint="eastAsia" w:ascii="宋体" w:hAnsi="宋体" w:eastAsia="宋体" w:cs="宋体"/>
                <w:sz w:val="22"/>
                <w:szCs w:val="22"/>
                <w:highlight w:val="none"/>
              </w:rPr>
              <w:t>测评范围和需求</w:t>
            </w:r>
            <w:bookmarkEnd w:id="5"/>
          </w:p>
          <w:p>
            <w:pPr>
              <w:pStyle w:val="3"/>
              <w:spacing w:before="0" w:after="0" w:line="360" w:lineRule="exact"/>
              <w:rPr>
                <w:rFonts w:hint="eastAsia" w:ascii="宋体" w:hAnsi="宋体" w:eastAsia="宋体" w:cs="宋体"/>
                <w:sz w:val="22"/>
                <w:szCs w:val="22"/>
                <w:highlight w:val="none"/>
              </w:rPr>
            </w:pPr>
            <w:bookmarkStart w:id="6" w:name="OLE_LINK1"/>
            <w:r>
              <w:rPr>
                <w:rFonts w:hint="eastAsia" w:ascii="宋体" w:hAnsi="宋体" w:eastAsia="宋体" w:cs="宋体"/>
                <w:sz w:val="22"/>
                <w:szCs w:val="22"/>
                <w:highlight w:val="none"/>
              </w:rPr>
              <w:t>2.1本次测评系统清单</w:t>
            </w:r>
            <w:bookmarkEnd w:id="6"/>
            <w:r>
              <w:rPr>
                <w:rFonts w:hint="eastAsia" w:ascii="宋体" w:hAnsi="宋体" w:eastAsia="宋体" w:cs="宋体"/>
                <w:sz w:val="22"/>
                <w:szCs w:val="22"/>
                <w:highlight w:val="none"/>
              </w:rPr>
              <w:t>：</w:t>
            </w:r>
          </w:p>
          <w:tbl>
            <w:tblPr>
              <w:tblStyle w:val="4"/>
              <w:tblW w:w="883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5556"/>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58" w:type="dxa"/>
                  <w:noWrap w:val="0"/>
                  <w:vAlign w:val="center"/>
                </w:tcPr>
                <w:p>
                  <w:pPr>
                    <w:tabs>
                      <w:tab w:val="left" w:pos="9135"/>
                    </w:tabs>
                    <w:spacing w:line="36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系统名称</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1</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办事服务大厅（含流程引擎、契约锁）</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2</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教学综合信息服务平台</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3</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高校科研创新服务平台</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4</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人脸门禁管理系统</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5</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网站群类：双年展官方主站、6个二级学院网站、电子图书</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6</w:t>
                  </w:r>
                </w:p>
              </w:tc>
              <w:tc>
                <w:tcPr>
                  <w:tcW w:w="5556"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一卡通类：智能报表系统、资产采购管理系统、座位预约系统、自助借阅系统、自助打印系统</w:t>
                  </w:r>
                </w:p>
              </w:tc>
              <w:tc>
                <w:tcPr>
                  <w:tcW w:w="2019" w:type="dxa"/>
                  <w:noWrap w:val="0"/>
                  <w:vAlign w:val="center"/>
                </w:tcPr>
                <w:p>
                  <w:pPr>
                    <w:tabs>
                      <w:tab w:val="left" w:pos="9135"/>
                    </w:tabs>
                    <w:spacing w:line="360" w:lineRule="exact"/>
                    <w:rPr>
                      <w:rFonts w:hint="eastAsia" w:ascii="宋体" w:hAnsi="宋体" w:cs="宋体"/>
                      <w:sz w:val="22"/>
                      <w:szCs w:val="22"/>
                      <w:highlight w:val="none"/>
                    </w:rPr>
                  </w:pPr>
                  <w:r>
                    <w:rPr>
                      <w:rFonts w:hint="eastAsia" w:ascii="宋体" w:hAnsi="宋体" w:cs="宋体"/>
                      <w:sz w:val="22"/>
                      <w:szCs w:val="22"/>
                      <w:highlight w:val="none"/>
                    </w:rPr>
                    <w:t>二级</w:t>
                  </w:r>
                </w:p>
              </w:tc>
            </w:tr>
          </w:tbl>
          <w:p>
            <w:pPr>
              <w:overflowPunct w:val="0"/>
              <w:topLinePunct/>
              <w:snapToGrid w:val="0"/>
              <w:spacing w:line="360" w:lineRule="exact"/>
              <w:ind w:firstLine="440" w:firstLineChars="200"/>
              <w:rPr>
                <w:rFonts w:hint="eastAsia" w:ascii="宋体" w:hAnsi="宋体" w:cs="宋体"/>
                <w:color w:val="000000"/>
                <w:sz w:val="22"/>
                <w:szCs w:val="22"/>
                <w:highlight w:val="none"/>
              </w:rPr>
            </w:pP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信息安全等级保护测评系统类型应完整，涵盖原等级保护定级备案涉及的二级信息系统。测评结束后，应由测评机构出具符合当地公安部门的测评报告。同时，响应供应商应协助采购人办理信息系统安全等级保护备案手续等相关工作。</w:t>
            </w:r>
          </w:p>
          <w:p>
            <w:pPr>
              <w:pStyle w:val="3"/>
              <w:spacing w:before="0" w:after="0"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2.2、等保安全整改方案设计服务</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(1)协作完成等保整改服务</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中标人在出具整改意见以后，安排人员上门驻场协助采购人完成整改。</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坚持管理和技术并重的原则，落实信息安全责任制，修订并落实各类安全管理制度，开展人员安全管理、系统建设管理和系统运维管理等工作，协助采购人完成等保安全管理制度的修订。</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(2)技术咨询</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中标方能够提供信息安全方面的技术咨询服务，安全专家咨询服务、安全策略与规范拟定服务。</w:t>
            </w:r>
          </w:p>
          <w:p>
            <w:pPr>
              <w:spacing w:line="360" w:lineRule="exact"/>
              <w:ind w:firstLine="330" w:firstLineChars="150"/>
              <w:rPr>
                <w:rFonts w:hint="eastAsia" w:ascii="宋体" w:hAnsi="宋体" w:cs="宋体"/>
                <w:color w:val="000000"/>
                <w:sz w:val="22"/>
                <w:szCs w:val="22"/>
                <w:highlight w:val="none"/>
              </w:rPr>
            </w:pPr>
          </w:p>
          <w:p>
            <w:pPr>
              <w:pStyle w:val="2"/>
              <w:numPr>
                <w:ilvl w:val="0"/>
                <w:numId w:val="4"/>
              </w:numPr>
              <w:spacing w:before="0" w:after="0" w:line="360" w:lineRule="exact"/>
              <w:ind w:left="0"/>
              <w:rPr>
                <w:rFonts w:hint="eastAsia" w:ascii="宋体" w:hAnsi="宋体" w:eastAsia="宋体" w:cs="宋体"/>
                <w:sz w:val="22"/>
                <w:szCs w:val="22"/>
                <w:highlight w:val="none"/>
              </w:rPr>
            </w:pPr>
            <w:bookmarkStart w:id="7" w:name="_Toc311015401"/>
            <w:bookmarkStart w:id="8" w:name="_Toc16201"/>
            <w:r>
              <w:rPr>
                <w:rFonts w:hint="eastAsia" w:ascii="宋体" w:hAnsi="宋体" w:eastAsia="宋体" w:cs="宋体"/>
                <w:sz w:val="22"/>
                <w:szCs w:val="22"/>
                <w:highlight w:val="none"/>
              </w:rPr>
              <w:t>技术规范</w:t>
            </w:r>
            <w:bookmarkEnd w:id="7"/>
            <w:bookmarkEnd w:id="8"/>
          </w:p>
          <w:p>
            <w:pPr>
              <w:pStyle w:val="3"/>
              <w:numPr>
                <w:ilvl w:val="1"/>
                <w:numId w:val="4"/>
              </w:numPr>
              <w:spacing w:before="0" w:after="0" w:line="360" w:lineRule="exact"/>
              <w:ind w:left="0"/>
              <w:rPr>
                <w:rFonts w:hint="eastAsia" w:ascii="宋体" w:hAnsi="宋体" w:eastAsia="宋体" w:cs="宋体"/>
                <w:sz w:val="22"/>
                <w:szCs w:val="22"/>
                <w:highlight w:val="none"/>
              </w:rPr>
            </w:pPr>
            <w:bookmarkStart w:id="9" w:name="_Toc311015402"/>
            <w:bookmarkStart w:id="10" w:name="_Toc30712"/>
            <w:r>
              <w:rPr>
                <w:rFonts w:hint="eastAsia" w:ascii="宋体" w:hAnsi="宋体" w:eastAsia="宋体" w:cs="宋体"/>
                <w:sz w:val="22"/>
                <w:szCs w:val="22"/>
                <w:highlight w:val="none"/>
              </w:rPr>
              <w:t>测评原则</w:t>
            </w:r>
            <w:bookmarkEnd w:id="9"/>
            <w:bookmarkEnd w:id="10"/>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等级保护测评实施方案设计与具体实施应满足以下原则：</w:t>
            </w:r>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b/>
                <w:color w:val="000000"/>
                <w:sz w:val="22"/>
                <w:szCs w:val="22"/>
                <w:highlight w:val="none"/>
              </w:rPr>
              <w:t>保密性原则</w:t>
            </w:r>
            <w:r>
              <w:rPr>
                <w:rFonts w:hint="eastAsia" w:ascii="宋体" w:hAnsi="宋体" w:cs="宋体"/>
                <w:color w:val="000000"/>
                <w:sz w:val="22"/>
                <w:szCs w:val="22"/>
                <w:highlight w:val="none"/>
              </w:rPr>
              <w:t>：响应供应商应与采购人签订等级保护测评保密协议，对测评的过程数据和结果数据严格保密，未经授权不得泄露给任何单位和个人，不得利用此数据侵害采购人的权益，否则采购人有权追究响应供应商的责任。</w:t>
            </w:r>
          </w:p>
          <w:p>
            <w:pPr>
              <w:overflowPunct w:val="0"/>
              <w:topLinePunct/>
              <w:snapToGrid w:val="0"/>
              <w:spacing w:line="360" w:lineRule="exact"/>
              <w:ind w:firstLine="442" w:firstLineChars="200"/>
              <w:rPr>
                <w:rFonts w:hint="eastAsia" w:ascii="宋体" w:hAnsi="宋体" w:cs="宋体"/>
                <w:color w:val="000000"/>
                <w:sz w:val="22"/>
                <w:szCs w:val="22"/>
                <w:highlight w:val="none"/>
              </w:rPr>
            </w:pPr>
            <w:r>
              <w:rPr>
                <w:rFonts w:hint="eastAsia" w:ascii="宋体" w:hAnsi="宋体" w:cs="宋体"/>
                <w:b/>
                <w:color w:val="000000"/>
                <w:sz w:val="22"/>
                <w:szCs w:val="22"/>
                <w:highlight w:val="none"/>
              </w:rPr>
              <w:t>标准性原则</w:t>
            </w:r>
            <w:r>
              <w:rPr>
                <w:rFonts w:hint="eastAsia" w:ascii="宋体" w:hAnsi="宋体" w:cs="宋体"/>
                <w:color w:val="000000"/>
                <w:sz w:val="22"/>
                <w:szCs w:val="22"/>
                <w:highlight w:val="none"/>
              </w:rPr>
              <w:t>：测评方案的设计与实施应依据国家等级保护的相关标准进行。</w:t>
            </w:r>
          </w:p>
          <w:p>
            <w:pPr>
              <w:overflowPunct w:val="0"/>
              <w:topLinePunct/>
              <w:snapToGrid w:val="0"/>
              <w:spacing w:line="360" w:lineRule="exact"/>
              <w:ind w:firstLine="442" w:firstLineChars="200"/>
              <w:rPr>
                <w:rFonts w:hint="eastAsia" w:ascii="宋体" w:hAnsi="宋体" w:cs="宋体"/>
                <w:color w:val="000000"/>
                <w:sz w:val="22"/>
                <w:szCs w:val="22"/>
                <w:highlight w:val="none"/>
              </w:rPr>
            </w:pPr>
            <w:r>
              <w:rPr>
                <w:rFonts w:hint="eastAsia" w:ascii="宋体" w:hAnsi="宋体" w:cs="宋体"/>
                <w:b/>
                <w:color w:val="000000"/>
                <w:sz w:val="22"/>
                <w:szCs w:val="22"/>
                <w:highlight w:val="none"/>
              </w:rPr>
              <w:t>规范性原则</w:t>
            </w:r>
            <w:r>
              <w:rPr>
                <w:rFonts w:hint="eastAsia" w:ascii="宋体" w:hAnsi="宋体" w:cs="宋体"/>
                <w:color w:val="000000"/>
                <w:sz w:val="22"/>
                <w:szCs w:val="22"/>
                <w:highlight w:val="none"/>
              </w:rPr>
              <w:t>：响应供应商工作中的过程和文档，应具有规范性，便于项目跟踪和控制。</w:t>
            </w:r>
          </w:p>
          <w:p>
            <w:pPr>
              <w:overflowPunct w:val="0"/>
              <w:topLinePunct/>
              <w:snapToGrid w:val="0"/>
              <w:spacing w:line="360" w:lineRule="exact"/>
              <w:ind w:firstLine="442" w:firstLineChars="200"/>
              <w:rPr>
                <w:rFonts w:hint="eastAsia" w:ascii="宋体" w:hAnsi="宋体" w:cs="宋体"/>
                <w:color w:val="000000"/>
                <w:sz w:val="22"/>
                <w:szCs w:val="22"/>
                <w:highlight w:val="none"/>
              </w:rPr>
            </w:pPr>
            <w:r>
              <w:rPr>
                <w:rFonts w:hint="eastAsia" w:ascii="宋体" w:hAnsi="宋体" w:cs="宋体"/>
                <w:b/>
                <w:color w:val="000000"/>
                <w:sz w:val="22"/>
                <w:szCs w:val="22"/>
                <w:highlight w:val="none"/>
              </w:rPr>
              <w:t>可控性原则</w:t>
            </w:r>
            <w:r>
              <w:rPr>
                <w:rFonts w:hint="eastAsia" w:ascii="宋体" w:hAnsi="宋体" w:cs="宋体"/>
                <w:color w:val="000000"/>
                <w:sz w:val="22"/>
                <w:szCs w:val="22"/>
                <w:highlight w:val="none"/>
              </w:rPr>
              <w:t>：测评服务的进度应符合进度安排，保证采购人对测评工作的可控性。</w:t>
            </w:r>
          </w:p>
          <w:p>
            <w:pPr>
              <w:overflowPunct w:val="0"/>
              <w:topLinePunct/>
              <w:snapToGrid w:val="0"/>
              <w:spacing w:line="360" w:lineRule="exact"/>
              <w:ind w:firstLine="442" w:firstLineChars="200"/>
              <w:rPr>
                <w:rFonts w:hint="eastAsia" w:ascii="宋体" w:hAnsi="宋体" w:cs="宋体"/>
                <w:color w:val="000000"/>
                <w:sz w:val="22"/>
                <w:szCs w:val="22"/>
                <w:highlight w:val="none"/>
              </w:rPr>
            </w:pPr>
            <w:r>
              <w:rPr>
                <w:rFonts w:hint="eastAsia" w:ascii="宋体" w:hAnsi="宋体" w:cs="宋体"/>
                <w:b/>
                <w:color w:val="000000"/>
                <w:sz w:val="22"/>
                <w:szCs w:val="22"/>
                <w:highlight w:val="none"/>
              </w:rPr>
              <w:t>整体性原则</w:t>
            </w:r>
            <w:r>
              <w:rPr>
                <w:rFonts w:hint="eastAsia" w:ascii="宋体" w:hAnsi="宋体" w:cs="宋体"/>
                <w:color w:val="000000"/>
                <w:sz w:val="22"/>
                <w:szCs w:val="22"/>
                <w:highlight w:val="none"/>
              </w:rPr>
              <w:t>：测评的范围和内容应系统、全面、规范，满足国家等级保护相关基本要求。</w:t>
            </w:r>
          </w:p>
          <w:p>
            <w:pPr>
              <w:overflowPunct w:val="0"/>
              <w:topLinePunct/>
              <w:snapToGrid w:val="0"/>
              <w:spacing w:line="360" w:lineRule="exact"/>
              <w:ind w:firstLine="442" w:firstLineChars="200"/>
              <w:rPr>
                <w:rFonts w:hint="eastAsia" w:ascii="宋体" w:hAnsi="宋体" w:cs="宋体"/>
                <w:color w:val="000000"/>
                <w:sz w:val="22"/>
                <w:szCs w:val="22"/>
                <w:highlight w:val="none"/>
              </w:rPr>
            </w:pPr>
            <w:r>
              <w:rPr>
                <w:rFonts w:hint="eastAsia" w:ascii="宋体" w:hAnsi="宋体" w:cs="宋体"/>
                <w:b/>
                <w:color w:val="000000"/>
                <w:sz w:val="22"/>
                <w:szCs w:val="22"/>
                <w:highlight w:val="none"/>
              </w:rPr>
              <w:t>最小影响原则</w:t>
            </w:r>
            <w:r>
              <w:rPr>
                <w:rFonts w:hint="eastAsia" w:ascii="宋体" w:hAnsi="宋体" w:cs="宋体"/>
                <w:color w:val="000000"/>
                <w:sz w:val="22"/>
                <w:szCs w:val="22"/>
                <w:highlight w:val="none"/>
              </w:rPr>
              <w:t>：技术测评工作应尽可能小的影响在线系统和网络的正常运行，不能对现有运行系统造成影响。在线测评应在采购方许可的条件下进行。</w:t>
            </w:r>
            <w:bookmarkStart w:id="11" w:name="_Toc288570238"/>
            <w:bookmarkStart w:id="12" w:name="_Toc288552021"/>
            <w:bookmarkStart w:id="13" w:name="_Toc288574636"/>
          </w:p>
          <w:bookmarkEnd w:id="11"/>
          <w:bookmarkEnd w:id="12"/>
          <w:bookmarkEnd w:id="13"/>
          <w:p>
            <w:pPr>
              <w:pStyle w:val="3"/>
              <w:numPr>
                <w:ilvl w:val="1"/>
                <w:numId w:val="4"/>
              </w:numPr>
              <w:spacing w:before="0" w:after="0" w:line="360" w:lineRule="exact"/>
              <w:ind w:left="0"/>
              <w:rPr>
                <w:rFonts w:hint="eastAsia" w:ascii="宋体" w:hAnsi="宋体" w:eastAsia="宋体" w:cs="宋体"/>
                <w:sz w:val="22"/>
                <w:szCs w:val="22"/>
                <w:highlight w:val="none"/>
              </w:rPr>
            </w:pPr>
            <w:bookmarkStart w:id="14" w:name="_Toc311015403"/>
            <w:bookmarkStart w:id="15" w:name="_Toc17220"/>
            <w:bookmarkStart w:id="16" w:name="_Toc214084125"/>
            <w:bookmarkStart w:id="17" w:name="_Toc214011261"/>
            <w:bookmarkStart w:id="18" w:name="_Toc214010206"/>
            <w:bookmarkStart w:id="19" w:name="_Toc214010374"/>
            <w:r>
              <w:rPr>
                <w:rFonts w:hint="eastAsia" w:ascii="宋体" w:hAnsi="宋体" w:eastAsia="宋体" w:cs="宋体"/>
                <w:sz w:val="22"/>
                <w:szCs w:val="22"/>
                <w:highlight w:val="none"/>
              </w:rPr>
              <w:t>实施要求</w:t>
            </w:r>
            <w:bookmarkEnd w:id="14"/>
            <w:bookmarkEnd w:id="15"/>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详细描述等级保护测评的整体实施方案，包括项目概述、等保测评方案、项目实施方案、时间安排、阶段性文档提交和验收标准等。响应供应商应详细描述测评人员的组成、资质及各自职责的划分。响应供应商应配置经验丰富的测评人员进行等级保护测评工作。</w:t>
            </w:r>
          </w:p>
          <w:p>
            <w:pPr>
              <w:pStyle w:val="3"/>
              <w:numPr>
                <w:ilvl w:val="1"/>
                <w:numId w:val="4"/>
              </w:numPr>
              <w:spacing w:before="0" w:after="0" w:line="360" w:lineRule="exact"/>
              <w:ind w:left="0"/>
              <w:rPr>
                <w:rFonts w:hint="eastAsia" w:ascii="宋体" w:hAnsi="宋体" w:eastAsia="宋体" w:cs="宋体"/>
                <w:sz w:val="22"/>
                <w:szCs w:val="22"/>
                <w:highlight w:val="none"/>
              </w:rPr>
            </w:pPr>
            <w:bookmarkStart w:id="20" w:name="_Toc13574"/>
            <w:r>
              <w:rPr>
                <w:rFonts w:hint="eastAsia" w:ascii="宋体" w:hAnsi="宋体" w:eastAsia="宋体" w:cs="宋体"/>
                <w:sz w:val="22"/>
                <w:szCs w:val="22"/>
                <w:highlight w:val="none"/>
              </w:rPr>
              <w:t>测评方法</w:t>
            </w:r>
            <w:bookmarkEnd w:id="20"/>
          </w:p>
          <w:p>
            <w:pPr>
              <w:pStyle w:val="7"/>
              <w:overflowPunct w:val="0"/>
              <w:topLinePunct/>
              <w:spacing w:line="360" w:lineRule="exact"/>
              <w:ind w:firstLine="420"/>
              <w:rPr>
                <w:rFonts w:hint="eastAsia" w:cs="宋体"/>
                <w:sz w:val="22"/>
                <w:szCs w:val="22"/>
                <w:highlight w:val="none"/>
              </w:rPr>
            </w:pPr>
            <w:r>
              <w:rPr>
                <w:rFonts w:hint="eastAsia" w:cs="宋体"/>
                <w:sz w:val="22"/>
                <w:szCs w:val="22"/>
                <w:highlight w:val="none"/>
              </w:rPr>
              <w:t>测评方法包括访谈、检查和测试三种方法，可细化为文档审查、配置检查、工具测试和实地察看等多种方法。</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如需在等级保护测评实施过程中采用在线测评工具的，各种工具软件由响应供应商推荐，经采购人确认后由响应供应商提供并在测评中使用。应详细描述所使用的安全测评工具（软硬件型号、功能和性能描述）、使用的方式和时间、对环境和平台的要求以及使用可能对系统造成的风险等。等级保护测评应有详细的实施方案和严格的操作步骤，采取的措施应是经过测试、稳定可靠的。</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安全测评工具软件运行可能需要的硬件平台（如笔记本电脑、PC、工作站等）和操作系统软件等由响应供应商推荐，经确认后由响应供应商提供并在测评中使用。安全测评需要的运行环境（如场地、网络环境等）由采购人提供，响应供应商应详细描述需要的运行环境的具体要求。</w:t>
            </w:r>
          </w:p>
          <w:p>
            <w:pPr>
              <w:pStyle w:val="3"/>
              <w:numPr>
                <w:ilvl w:val="1"/>
                <w:numId w:val="4"/>
              </w:numPr>
              <w:spacing w:before="0" w:after="0" w:line="360" w:lineRule="exact"/>
              <w:ind w:left="0"/>
              <w:rPr>
                <w:rFonts w:hint="eastAsia" w:ascii="宋体" w:hAnsi="宋体" w:eastAsia="宋体" w:cs="宋体"/>
                <w:sz w:val="22"/>
                <w:szCs w:val="22"/>
                <w:highlight w:val="none"/>
              </w:rPr>
            </w:pPr>
            <w:bookmarkStart w:id="21" w:name="_Toc2497"/>
            <w:r>
              <w:rPr>
                <w:rFonts w:hint="eastAsia" w:ascii="宋体" w:hAnsi="宋体" w:eastAsia="宋体" w:cs="宋体"/>
                <w:sz w:val="22"/>
                <w:szCs w:val="22"/>
                <w:highlight w:val="none"/>
              </w:rPr>
              <w:t>测评流程</w:t>
            </w:r>
            <w:bookmarkEnd w:id="21"/>
          </w:p>
          <w:p>
            <w:pPr>
              <w:pStyle w:val="7"/>
              <w:overflowPunct w:val="0"/>
              <w:topLinePunct/>
              <w:spacing w:line="360" w:lineRule="exact"/>
              <w:ind w:firstLine="440" w:firstLineChars="200"/>
              <w:rPr>
                <w:rFonts w:hint="eastAsia" w:cs="宋体"/>
                <w:sz w:val="22"/>
                <w:szCs w:val="22"/>
                <w:highlight w:val="none"/>
              </w:rPr>
            </w:pPr>
            <w:r>
              <w:rPr>
                <w:rFonts w:hint="eastAsia" w:cs="宋体"/>
                <w:sz w:val="22"/>
                <w:szCs w:val="22"/>
                <w:highlight w:val="none"/>
              </w:rPr>
              <w:t>信息系统安全等级保护测评流程分为四个阶段：测评准备阶段、方案编制阶段、现场测评阶段、分析与报告编制阶段。测评完成后，提供整改建议书。</w:t>
            </w:r>
          </w:p>
          <w:p>
            <w:pPr>
              <w:pStyle w:val="3"/>
              <w:numPr>
                <w:ilvl w:val="1"/>
                <w:numId w:val="4"/>
              </w:numPr>
              <w:spacing w:before="0" w:after="0" w:line="360" w:lineRule="exact"/>
              <w:ind w:left="0"/>
              <w:rPr>
                <w:rFonts w:hint="eastAsia" w:ascii="宋体" w:hAnsi="宋体" w:eastAsia="宋体" w:cs="宋体"/>
                <w:sz w:val="22"/>
                <w:szCs w:val="22"/>
                <w:highlight w:val="none"/>
              </w:rPr>
            </w:pPr>
            <w:bookmarkStart w:id="22" w:name="_Toc24249"/>
            <w:bookmarkStart w:id="23" w:name="_Toc236816242"/>
            <w:bookmarkStart w:id="24" w:name="_Toc236462388"/>
            <w:bookmarkStart w:id="25" w:name="_Toc236037502"/>
            <w:r>
              <w:rPr>
                <w:rFonts w:hint="eastAsia" w:ascii="宋体" w:hAnsi="宋体" w:eastAsia="宋体" w:cs="宋体"/>
                <w:sz w:val="22"/>
                <w:szCs w:val="22"/>
                <w:highlight w:val="none"/>
              </w:rPr>
              <w:t>风险控制</w:t>
            </w:r>
            <w:bookmarkEnd w:id="22"/>
          </w:p>
          <w:p>
            <w:pPr>
              <w:pStyle w:val="7"/>
              <w:overflowPunct w:val="0"/>
              <w:topLinePunct/>
              <w:spacing w:line="360" w:lineRule="exact"/>
              <w:ind w:firstLine="440" w:firstLineChars="200"/>
              <w:rPr>
                <w:rFonts w:hint="eastAsia" w:cs="宋体"/>
                <w:sz w:val="22"/>
                <w:szCs w:val="22"/>
                <w:highlight w:val="none"/>
              </w:rPr>
            </w:pPr>
            <w:r>
              <w:rPr>
                <w:rFonts w:hint="eastAsia" w:cs="宋体"/>
                <w:sz w:val="22"/>
                <w:szCs w:val="22"/>
                <w:highlight w:val="none"/>
              </w:rPr>
              <w:t>测评工作本身也会引入安全风险，必须加强测评过程中的风险控制。测评实施前，双方应充分讨论并明确测评对系统可能带来的风险和隐患，确定测评对象、测评方法和工具，并制定应急恢复措施。</w:t>
            </w:r>
          </w:p>
          <w:bookmarkEnd w:id="23"/>
          <w:bookmarkEnd w:id="24"/>
          <w:bookmarkEnd w:id="25"/>
          <w:p>
            <w:pPr>
              <w:spacing w:line="360" w:lineRule="exact"/>
              <w:ind w:firstLine="440" w:firstLineChars="200"/>
              <w:rPr>
                <w:rFonts w:hint="eastAsia" w:ascii="宋体" w:hAnsi="宋体" w:cs="宋体"/>
                <w:color w:val="000000"/>
                <w:sz w:val="22"/>
                <w:szCs w:val="22"/>
                <w:highlight w:val="none"/>
              </w:rPr>
            </w:pPr>
            <w:bookmarkStart w:id="26" w:name="_Toc113357465"/>
            <w:bookmarkStart w:id="27" w:name="_Toc113358272"/>
            <w:r>
              <w:rPr>
                <w:rFonts w:hint="eastAsia" w:ascii="宋体" w:hAnsi="宋体" w:cs="宋体"/>
                <w:color w:val="000000"/>
                <w:sz w:val="22"/>
                <w:szCs w:val="22"/>
                <w:highlight w:val="none"/>
              </w:rPr>
              <w:t>（1）操作的申请和监护</w:t>
            </w:r>
            <w:bookmarkEnd w:id="26"/>
            <w:bookmarkEnd w:id="27"/>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测评操作必须遵守现场运行规章制度，确保系统安全稳定运行。如需在线测试，按照相关工作规程，事前申请，并在专责人员的指导和监护下进行。</w:t>
            </w:r>
          </w:p>
          <w:p>
            <w:pPr>
              <w:spacing w:line="360" w:lineRule="exact"/>
              <w:ind w:firstLine="440" w:firstLineChars="200"/>
              <w:rPr>
                <w:rFonts w:hint="eastAsia" w:ascii="宋体" w:hAnsi="宋体" w:cs="宋体"/>
                <w:color w:val="000000"/>
                <w:sz w:val="22"/>
                <w:szCs w:val="22"/>
                <w:highlight w:val="none"/>
              </w:rPr>
            </w:pPr>
            <w:bookmarkStart w:id="28" w:name="_Toc113358273"/>
            <w:bookmarkStart w:id="29" w:name="_Toc113357466"/>
            <w:r>
              <w:rPr>
                <w:rFonts w:hint="eastAsia" w:ascii="宋体" w:hAnsi="宋体" w:cs="宋体"/>
                <w:color w:val="000000"/>
                <w:sz w:val="22"/>
                <w:szCs w:val="22"/>
                <w:highlight w:val="none"/>
              </w:rPr>
              <w:t>（2）人员与数据管理</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重视测评保密工作，加强测评过程中的保密管理，确保参与测评工作人员的可靠、稳定，防止敏感信息泄漏。</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（3）</w:t>
            </w:r>
            <w:bookmarkEnd w:id="28"/>
            <w:bookmarkEnd w:id="29"/>
            <w:bookmarkStart w:id="30" w:name="_Toc113357469"/>
            <w:bookmarkStart w:id="31" w:name="_Toc113358276"/>
            <w:bookmarkStart w:id="32" w:name="_Toc113357468"/>
            <w:bookmarkStart w:id="33" w:name="_Toc113358275"/>
            <w:r>
              <w:rPr>
                <w:rFonts w:hint="eastAsia" w:ascii="宋体" w:hAnsi="宋体" w:cs="宋体"/>
                <w:color w:val="000000"/>
                <w:sz w:val="22"/>
                <w:szCs w:val="22"/>
                <w:highlight w:val="none"/>
              </w:rPr>
              <w:t>测评对象选择</w:t>
            </w:r>
            <w:bookmarkEnd w:id="30"/>
            <w:bookmarkEnd w:id="31"/>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优先选择备用设备（系统）或临时搭建的</w:t>
            </w:r>
            <w:r>
              <w:rPr>
                <w:rFonts w:hint="eastAsia" w:ascii="宋体" w:hAnsi="宋体" w:cs="宋体"/>
                <w:bCs/>
                <w:iCs/>
                <w:color w:val="000000"/>
                <w:sz w:val="22"/>
                <w:szCs w:val="22"/>
                <w:highlight w:val="none"/>
              </w:rPr>
              <w:t>模拟</w:t>
            </w:r>
            <w:r>
              <w:rPr>
                <w:rFonts w:hint="eastAsia" w:ascii="宋体" w:hAnsi="宋体" w:cs="宋体"/>
                <w:color w:val="000000"/>
                <w:sz w:val="22"/>
                <w:szCs w:val="22"/>
                <w:highlight w:val="none"/>
              </w:rPr>
              <w:t>环境进行测评，避免影响在线系统运行。</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（4）制定应急预案</w:t>
            </w:r>
            <w:bookmarkEnd w:id="32"/>
            <w:bookmarkEnd w:id="33"/>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根据被测评系统情况，在测评实施前制定应急预案，加强系统在线应急处置能力。</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（5）关键业务系统风险控制</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关键在线运行系统禁止采用渗透测试工具进行测评。</w:t>
            </w:r>
          </w:p>
          <w:bookmarkEnd w:id="16"/>
          <w:bookmarkEnd w:id="17"/>
          <w:bookmarkEnd w:id="18"/>
          <w:bookmarkEnd w:id="19"/>
          <w:p>
            <w:pPr>
              <w:pStyle w:val="3"/>
              <w:numPr>
                <w:ilvl w:val="1"/>
                <w:numId w:val="4"/>
              </w:numPr>
              <w:spacing w:before="0" w:after="0" w:line="360" w:lineRule="exact"/>
              <w:ind w:left="0"/>
              <w:rPr>
                <w:rFonts w:hint="eastAsia" w:ascii="宋体" w:hAnsi="宋体" w:eastAsia="宋体" w:cs="宋体"/>
                <w:sz w:val="22"/>
                <w:szCs w:val="22"/>
                <w:highlight w:val="none"/>
              </w:rPr>
            </w:pPr>
            <w:bookmarkStart w:id="34" w:name="_Toc12999"/>
            <w:bookmarkStart w:id="35" w:name="_Toc311015404"/>
            <w:bookmarkStart w:id="36" w:name="_Toc287704425"/>
            <w:bookmarkStart w:id="37" w:name="_Toc288574635"/>
            <w:bookmarkStart w:id="38" w:name="_Toc288570237"/>
            <w:bookmarkStart w:id="39" w:name="_Toc288552020"/>
            <w:r>
              <w:rPr>
                <w:rFonts w:hint="eastAsia" w:ascii="宋体" w:hAnsi="宋体" w:eastAsia="宋体" w:cs="宋体"/>
                <w:sz w:val="22"/>
                <w:szCs w:val="22"/>
                <w:highlight w:val="none"/>
              </w:rPr>
              <w:t>测评内容</w:t>
            </w:r>
            <w:bookmarkEnd w:id="34"/>
            <w:bookmarkEnd w:id="35"/>
          </w:p>
          <w:p>
            <w:pPr>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根据国家等级保护相关标准，信息系统安全等级保护测评应包括以下内容：</w:t>
            </w:r>
          </w:p>
          <w:p>
            <w:pPr>
              <w:spacing w:line="360" w:lineRule="exact"/>
              <w:ind w:firstLine="442" w:firstLineChars="200"/>
              <w:rPr>
                <w:rFonts w:hint="eastAsia" w:ascii="宋体" w:hAnsi="宋体" w:cs="宋体"/>
                <w:sz w:val="22"/>
                <w:szCs w:val="22"/>
                <w:highlight w:val="none"/>
              </w:rPr>
            </w:pPr>
            <w:r>
              <w:rPr>
                <w:rFonts w:hint="eastAsia" w:ascii="宋体" w:hAnsi="宋体" w:cs="宋体"/>
                <w:b/>
                <w:sz w:val="22"/>
                <w:szCs w:val="22"/>
                <w:highlight w:val="none"/>
              </w:rPr>
              <w:t>安全技术测评</w:t>
            </w:r>
            <w:r>
              <w:rPr>
                <w:rFonts w:hint="eastAsia" w:ascii="宋体" w:hAnsi="宋体" w:cs="宋体"/>
                <w:sz w:val="22"/>
                <w:szCs w:val="22"/>
                <w:highlight w:val="none"/>
              </w:rPr>
              <w:t>：包括安全物理环境、安全通信网络、安全区域边界、安全计算环境和安全管理中心等五个方面的安全测评；</w:t>
            </w:r>
          </w:p>
          <w:p>
            <w:pPr>
              <w:spacing w:line="360" w:lineRule="exact"/>
              <w:ind w:firstLine="442" w:firstLineChars="200"/>
              <w:rPr>
                <w:rFonts w:hint="eastAsia" w:ascii="宋体" w:hAnsi="宋体" w:cs="宋体"/>
                <w:sz w:val="22"/>
                <w:szCs w:val="22"/>
                <w:highlight w:val="none"/>
              </w:rPr>
            </w:pPr>
            <w:r>
              <w:rPr>
                <w:rFonts w:hint="eastAsia" w:ascii="宋体" w:hAnsi="宋体" w:cs="宋体"/>
                <w:b/>
                <w:sz w:val="22"/>
                <w:szCs w:val="22"/>
                <w:highlight w:val="none"/>
              </w:rPr>
              <w:t>安全管理测评</w:t>
            </w:r>
            <w:r>
              <w:rPr>
                <w:rFonts w:hint="eastAsia" w:ascii="宋体" w:hAnsi="宋体" w:cs="宋体"/>
                <w:sz w:val="22"/>
                <w:szCs w:val="22"/>
                <w:highlight w:val="none"/>
              </w:rPr>
              <w:t>：包括安全管理机构、安全管理制度、安全人员管理、安全建设管理和安全运维管理等五个方面的安全测评。</w:t>
            </w:r>
            <w:bookmarkEnd w:id="36"/>
            <w:bookmarkEnd w:id="37"/>
            <w:bookmarkEnd w:id="38"/>
            <w:bookmarkEnd w:id="39"/>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安全物理环境</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物理环境测评是对信息系统的机房和办公场所的物理环境安全防护情况进行测评，包括物理位置选择、物理访问控制、防盗窃和防破坏、防雷击、防火、防水和防潮、防静电、温湿度控制、电力供应和电磁防护等方面的安全状况。</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安全通信网络</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安全通信网络测评是对信息系统的网络系统安全防护情况进行测评，包括网络架构、通信传输、可信验证等方面的安全状况。</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安全区域边界</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安全区域边界测评是对信息系统的网络系统边界防护、访问控制、入侵防范、恶意代码和垃圾邮件防范、安全审计、可信验证等方面的安全状况。</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安全计算环境</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计算环境是对信息系统的计算环境安全防护情况进行测评，包括应用系统层面的身份鉴别、访问控制、安全审计、入侵防范、可信验证、数据完整性、数据备份恢复、剩余信息保护、个人信息保护等方面的安全状况。</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安全管理中心</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安全管理中心测评是对信息系统的集中管理情况进行测评，包括系统管理、审计管理等方面的安全状况。</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安全管理机构</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安全管理机构测评是对信息系统的安全管理组织和岗位设置、人员配备、授权和审批、沟通和合作、审核和检查等情况进行测评。</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安全管理制度</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安全管理制度测评是对信息系统的安全策略、管理制度的制度和发布、评审和修订等情况进行测评。</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安全人员管理</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安全人员管理测评是对信息系统相关内部人员的人员录用、人员离岗、安全意识教育和培训，以及外部人员访问管理等情况进行测评。</w:t>
            </w:r>
          </w:p>
          <w:p>
            <w:pPr>
              <w:spacing w:line="360" w:lineRule="exact"/>
              <w:ind w:firstLine="442" w:firstLineChars="200"/>
              <w:rPr>
                <w:rFonts w:hint="eastAsia" w:ascii="宋体" w:hAnsi="宋体" w:cs="宋体"/>
                <w:b/>
                <w:bCs/>
                <w:kern w:val="0"/>
                <w:sz w:val="22"/>
                <w:szCs w:val="22"/>
                <w:highlight w:val="none"/>
              </w:rPr>
            </w:pPr>
            <w:r>
              <w:rPr>
                <w:rFonts w:hint="eastAsia" w:ascii="宋体" w:hAnsi="宋体" w:cs="宋体"/>
                <w:b/>
                <w:bCs/>
                <w:kern w:val="0"/>
                <w:sz w:val="22"/>
                <w:szCs w:val="22"/>
                <w:highlight w:val="none"/>
              </w:rPr>
              <w:t>安全建设管理</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安全建设管理测评是对信息系统建设过程中的系统定级备案、安全方案设计、产品采购和使用、自主软件开发、外包软件开发、工程实施、测试验收、系统交付、等级测评、服务商供应商选择等情况进行测评。</w:t>
            </w:r>
          </w:p>
          <w:p>
            <w:pPr>
              <w:spacing w:line="360" w:lineRule="exact"/>
              <w:ind w:firstLine="442" w:firstLineChars="200"/>
              <w:rPr>
                <w:rFonts w:hint="eastAsia" w:ascii="宋体" w:hAnsi="宋体" w:cs="宋体"/>
                <w:b/>
                <w:bCs/>
                <w:sz w:val="22"/>
                <w:szCs w:val="22"/>
                <w:highlight w:val="none"/>
              </w:rPr>
            </w:pPr>
            <w:r>
              <w:rPr>
                <w:rFonts w:hint="eastAsia" w:ascii="宋体" w:hAnsi="宋体" w:cs="宋体"/>
                <w:b/>
                <w:bCs/>
                <w:sz w:val="22"/>
                <w:szCs w:val="22"/>
                <w:highlight w:val="none"/>
              </w:rPr>
              <w:t>安全运维管理</w:t>
            </w:r>
          </w:p>
          <w:p>
            <w:pPr>
              <w:spacing w:line="360" w:lineRule="exact"/>
              <w:ind w:firstLine="440" w:firstLineChars="200"/>
              <w:rPr>
                <w:rFonts w:hint="eastAsia" w:ascii="宋体" w:hAnsi="宋体" w:cs="宋体"/>
                <w:b/>
                <w:bCs/>
                <w:sz w:val="22"/>
                <w:szCs w:val="22"/>
                <w:highlight w:val="none"/>
              </w:rPr>
            </w:pPr>
            <w:r>
              <w:rPr>
                <w:rFonts w:hint="eastAsia" w:ascii="宋体" w:hAnsi="宋体" w:cs="宋体"/>
                <w:sz w:val="22"/>
                <w:szCs w:val="22"/>
                <w:highlight w:val="none"/>
              </w:rPr>
              <w:t>安全运维管理测评是对信息系统运行维护过程中的环境管理、资产管理、介质管理、设备维护管理、漏洞和风险管理、网络和系统安全管理、恶意代码防范管理、配置管理、密码管理、变更管理、备份与恢复管理、安全事件处置、应急预案管理、外包运维管理等情况进行测评。</w:t>
            </w:r>
          </w:p>
          <w:p>
            <w:pPr>
              <w:pStyle w:val="2"/>
              <w:numPr>
                <w:ilvl w:val="0"/>
                <w:numId w:val="4"/>
              </w:numPr>
              <w:spacing w:before="0" w:after="0" w:line="360" w:lineRule="exact"/>
              <w:ind w:left="0"/>
              <w:rPr>
                <w:rFonts w:hint="eastAsia" w:ascii="宋体" w:hAnsi="宋体" w:eastAsia="宋体" w:cs="宋体"/>
                <w:sz w:val="22"/>
                <w:szCs w:val="22"/>
                <w:highlight w:val="none"/>
              </w:rPr>
            </w:pPr>
            <w:bookmarkStart w:id="40" w:name="_Toc6250"/>
            <w:bookmarkStart w:id="41" w:name="_Toc311015406"/>
            <w:r>
              <w:rPr>
                <w:rFonts w:hint="eastAsia" w:ascii="宋体" w:hAnsi="宋体" w:eastAsia="宋体" w:cs="宋体"/>
                <w:sz w:val="22"/>
                <w:szCs w:val="22"/>
                <w:highlight w:val="none"/>
              </w:rPr>
              <w:t>工程管理</w:t>
            </w:r>
            <w:bookmarkEnd w:id="40"/>
            <w:bookmarkEnd w:id="41"/>
          </w:p>
          <w:p>
            <w:pPr>
              <w:pStyle w:val="3"/>
              <w:numPr>
                <w:ilvl w:val="1"/>
                <w:numId w:val="4"/>
              </w:numPr>
              <w:spacing w:before="0" w:after="0" w:line="360" w:lineRule="exact"/>
              <w:ind w:left="0"/>
              <w:rPr>
                <w:rFonts w:hint="eastAsia" w:ascii="宋体" w:hAnsi="宋体" w:eastAsia="宋体" w:cs="宋体"/>
                <w:sz w:val="22"/>
                <w:szCs w:val="22"/>
                <w:highlight w:val="none"/>
              </w:rPr>
            </w:pPr>
            <w:bookmarkStart w:id="42" w:name="_Toc29197"/>
            <w:bookmarkStart w:id="43" w:name="_Toc311015407"/>
            <w:r>
              <w:rPr>
                <w:rFonts w:hint="eastAsia" w:ascii="宋体" w:hAnsi="宋体" w:eastAsia="宋体" w:cs="宋体"/>
                <w:sz w:val="22"/>
                <w:szCs w:val="22"/>
                <w:highlight w:val="none"/>
              </w:rPr>
              <w:t>技术联络会</w:t>
            </w:r>
            <w:bookmarkEnd w:id="42"/>
            <w:bookmarkEnd w:id="43"/>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为了确认</w:t>
            </w:r>
            <w:r>
              <w:rPr>
                <w:rFonts w:hint="eastAsia" w:ascii="宋体" w:hAnsi="宋体" w:cs="宋体"/>
                <w:sz w:val="22"/>
                <w:szCs w:val="22"/>
                <w:highlight w:val="none"/>
              </w:rPr>
              <w:t>系统</w:t>
            </w:r>
            <w:r>
              <w:rPr>
                <w:rFonts w:hint="eastAsia" w:ascii="宋体" w:hAnsi="宋体" w:cs="宋体"/>
                <w:color w:val="000000"/>
                <w:sz w:val="22"/>
                <w:szCs w:val="22"/>
                <w:highlight w:val="none"/>
              </w:rPr>
              <w:t>等级保护测评方案，明确等级保护测评的范围，准备必需的测评资料，协调工程进度。在整个工程进展过程中响应供应商可根据采购人要求召开两次技术联络会。技术联络会应记录会议纪要，包括会议议题和结论。联络会纪要应由双方代表签字，并且具有与合同相同的法律效力。</w:t>
            </w:r>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第一次技术联络会在合同生效后约4周内在采购人地举行，响应供应商派代表参加。</w:t>
            </w:r>
          </w:p>
          <w:p>
            <w:pPr>
              <w:numPr>
                <w:ilvl w:val="0"/>
                <w:numId w:val="10"/>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审查并确定等级保护测评初步方案及流程。</w:t>
            </w:r>
          </w:p>
          <w:p>
            <w:pPr>
              <w:numPr>
                <w:ilvl w:val="0"/>
                <w:numId w:val="10"/>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讨论并澄清合同文件中的技术条款及相应的实施方案，确定</w:t>
            </w:r>
            <w:r>
              <w:rPr>
                <w:rFonts w:hint="eastAsia" w:ascii="宋体" w:hAnsi="宋体" w:cs="宋体"/>
                <w:sz w:val="22"/>
                <w:szCs w:val="22"/>
                <w:highlight w:val="none"/>
              </w:rPr>
              <w:t>信息系统</w:t>
            </w:r>
            <w:r>
              <w:rPr>
                <w:rFonts w:hint="eastAsia" w:ascii="宋体" w:hAnsi="宋体" w:cs="宋体"/>
                <w:color w:val="000000"/>
                <w:sz w:val="22"/>
                <w:szCs w:val="22"/>
                <w:highlight w:val="none"/>
              </w:rPr>
              <w:t>等级保护测评范围。</w:t>
            </w:r>
          </w:p>
          <w:p>
            <w:pPr>
              <w:numPr>
                <w:ilvl w:val="0"/>
                <w:numId w:val="10"/>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响应供应商应提供测评所用工具及相关资料，以保证测评的顺利实施。</w:t>
            </w:r>
          </w:p>
          <w:p>
            <w:pPr>
              <w:numPr>
                <w:ilvl w:val="0"/>
                <w:numId w:val="10"/>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讨论并确认工程实施方案及工程进度。</w:t>
            </w:r>
          </w:p>
          <w:p>
            <w:pPr>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第二次技术联络会在</w:t>
            </w:r>
            <w:r>
              <w:rPr>
                <w:rFonts w:hint="eastAsia" w:ascii="宋体" w:hAnsi="宋体" w:cs="宋体"/>
                <w:sz w:val="22"/>
                <w:szCs w:val="22"/>
                <w:highlight w:val="none"/>
              </w:rPr>
              <w:t>现场测评阶段完成后</w:t>
            </w:r>
            <w:r>
              <w:rPr>
                <w:rFonts w:hint="eastAsia" w:ascii="宋体" w:hAnsi="宋体" w:cs="宋体"/>
                <w:color w:val="000000"/>
                <w:sz w:val="22"/>
                <w:szCs w:val="22"/>
                <w:highlight w:val="none"/>
              </w:rPr>
              <w:t>举行，包括以下议题：双方确认现场测评结果，对后续整改情况的介绍和计划。</w:t>
            </w:r>
          </w:p>
          <w:p>
            <w:pPr>
              <w:pStyle w:val="3"/>
              <w:numPr>
                <w:ilvl w:val="1"/>
                <w:numId w:val="4"/>
              </w:numPr>
              <w:spacing w:before="0" w:after="0" w:line="360" w:lineRule="exact"/>
              <w:ind w:left="0"/>
              <w:rPr>
                <w:rFonts w:hint="eastAsia" w:ascii="宋体" w:hAnsi="宋体" w:eastAsia="宋体" w:cs="宋体"/>
                <w:sz w:val="22"/>
                <w:szCs w:val="22"/>
                <w:highlight w:val="none"/>
              </w:rPr>
            </w:pPr>
            <w:bookmarkStart w:id="44" w:name="_Toc30122"/>
            <w:bookmarkStart w:id="45" w:name="_Toc311015408"/>
            <w:r>
              <w:rPr>
                <w:rFonts w:hint="eastAsia" w:ascii="宋体" w:hAnsi="宋体" w:eastAsia="宋体" w:cs="宋体"/>
                <w:sz w:val="22"/>
                <w:szCs w:val="22"/>
                <w:highlight w:val="none"/>
              </w:rPr>
              <w:t>项目验收</w:t>
            </w:r>
            <w:bookmarkEnd w:id="44"/>
            <w:bookmarkEnd w:id="45"/>
          </w:p>
          <w:p>
            <w:pPr>
              <w:overflowPunct w:val="0"/>
              <w:topLinePunct/>
              <w:snapToGrid w:val="0"/>
              <w:spacing w:line="36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验收应按照采购人确认的验收测试大纲进行，全过程必须由采购人在场见证。</w:t>
            </w:r>
          </w:p>
          <w:p>
            <w:pPr>
              <w:numPr>
                <w:ilvl w:val="0"/>
                <w:numId w:val="2"/>
              </w:numPr>
              <w:spacing w:line="360" w:lineRule="exact"/>
              <w:ind w:left="0"/>
              <w:rPr>
                <w:rFonts w:hint="eastAsia" w:ascii="宋体" w:hAnsi="宋体" w:cs="宋体"/>
                <w:color w:val="000000"/>
                <w:sz w:val="22"/>
                <w:szCs w:val="22"/>
                <w:highlight w:val="none"/>
              </w:rPr>
            </w:pPr>
            <w:r>
              <w:rPr>
                <w:rFonts w:hint="eastAsia" w:ascii="宋体" w:hAnsi="宋体" w:cs="宋体"/>
                <w:sz w:val="22"/>
                <w:szCs w:val="22"/>
                <w:highlight w:val="none"/>
              </w:rPr>
              <w:t>信息系统</w:t>
            </w:r>
            <w:r>
              <w:rPr>
                <w:rFonts w:hint="eastAsia" w:ascii="宋体" w:hAnsi="宋体" w:cs="宋体"/>
                <w:color w:val="000000"/>
                <w:sz w:val="22"/>
                <w:szCs w:val="22"/>
                <w:highlight w:val="none"/>
              </w:rPr>
              <w:t>等级保护测评项目目标是输出符合当地公安部门的等级保护测评报告，该项目将产生一定数量的文档。</w:t>
            </w:r>
          </w:p>
          <w:p>
            <w:pPr>
              <w:numPr>
                <w:ilvl w:val="0"/>
                <w:numId w:val="2"/>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响应供应商应对所有正式交付件的综合质量审查负责，指定各交付件的相关责任人，明确相关职责。</w:t>
            </w:r>
          </w:p>
          <w:p>
            <w:pPr>
              <w:numPr>
                <w:ilvl w:val="0"/>
                <w:numId w:val="2"/>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响应供应商应提交验收流程、验收方法和验收依据。</w:t>
            </w:r>
          </w:p>
          <w:p>
            <w:pPr>
              <w:numPr>
                <w:ilvl w:val="0"/>
                <w:numId w:val="2"/>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响应供应商应提供交付件归档办法和方式。</w:t>
            </w:r>
          </w:p>
          <w:p>
            <w:pPr>
              <w:numPr>
                <w:ilvl w:val="0"/>
                <w:numId w:val="2"/>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响应供应商应提供详细的验收测试大纲或计划，大纲中应明确规定验收项目和必须满足的要求。大纲必须经采购人确认后方可生效。</w:t>
            </w:r>
          </w:p>
          <w:p>
            <w:pPr>
              <w:numPr>
                <w:ilvl w:val="0"/>
                <w:numId w:val="2"/>
              </w:numPr>
              <w:spacing w:line="360" w:lineRule="exact"/>
              <w:ind w:left="0"/>
              <w:rPr>
                <w:rFonts w:hint="eastAsia" w:ascii="宋体" w:hAnsi="宋体" w:cs="宋体"/>
                <w:color w:val="000000"/>
                <w:sz w:val="22"/>
                <w:szCs w:val="22"/>
                <w:highlight w:val="none"/>
              </w:rPr>
            </w:pPr>
            <w:r>
              <w:rPr>
                <w:rFonts w:hint="eastAsia" w:ascii="宋体" w:hAnsi="宋体" w:cs="宋体"/>
                <w:color w:val="000000"/>
                <w:sz w:val="22"/>
                <w:szCs w:val="22"/>
                <w:highlight w:val="none"/>
              </w:rPr>
              <w:t>验收报告需双方代表签字认可。</w:t>
            </w:r>
          </w:p>
          <w:p>
            <w:pPr>
              <w:pStyle w:val="3"/>
              <w:numPr>
                <w:ilvl w:val="1"/>
                <w:numId w:val="4"/>
              </w:numPr>
              <w:spacing w:before="0" w:after="0" w:line="360" w:lineRule="exact"/>
              <w:ind w:left="0"/>
              <w:rPr>
                <w:rFonts w:hint="eastAsia" w:ascii="宋体" w:hAnsi="宋体" w:eastAsia="宋体" w:cs="宋体"/>
                <w:sz w:val="22"/>
                <w:szCs w:val="22"/>
                <w:highlight w:val="none"/>
              </w:rPr>
            </w:pPr>
            <w:bookmarkStart w:id="46" w:name="_Toc26804"/>
            <w:bookmarkStart w:id="47" w:name="_Toc311015409"/>
            <w:r>
              <w:rPr>
                <w:rFonts w:hint="eastAsia" w:ascii="宋体" w:hAnsi="宋体" w:eastAsia="宋体" w:cs="宋体"/>
                <w:sz w:val="22"/>
                <w:szCs w:val="22"/>
                <w:highlight w:val="none"/>
              </w:rPr>
              <w:t>项目文档</w:t>
            </w:r>
            <w:bookmarkEnd w:id="46"/>
            <w:bookmarkEnd w:id="47"/>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响应供应商完成项目后应提供以下文档：</w:t>
            </w:r>
          </w:p>
          <w:p>
            <w:pPr>
              <w:overflowPunct w:val="0"/>
              <w:topLinePunct/>
              <w:snapToGrid w:val="0"/>
              <w:spacing w:line="360" w:lineRule="exact"/>
              <w:ind w:firstLine="420"/>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表4-1 响应供应商完成项目提供文档列表</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054"/>
              <w:gridCol w:w="279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2" w:type="dxa"/>
                  <w:noWrap w:val="0"/>
                  <w:vAlign w:val="center"/>
                </w:tcPr>
                <w:p>
                  <w:pPr>
                    <w:spacing w:line="360" w:lineRule="exact"/>
                    <w:rPr>
                      <w:rFonts w:hint="eastAsia" w:ascii="宋体" w:hAnsi="宋体" w:cs="宋体"/>
                      <w:b/>
                      <w:bCs/>
                      <w:sz w:val="22"/>
                      <w:szCs w:val="22"/>
                      <w:highlight w:val="none"/>
                    </w:rPr>
                  </w:pPr>
                  <w:r>
                    <w:rPr>
                      <w:rFonts w:hint="eastAsia" w:ascii="宋体" w:hAnsi="宋体" w:cs="宋体"/>
                      <w:b/>
                      <w:bCs/>
                      <w:sz w:val="22"/>
                      <w:szCs w:val="22"/>
                      <w:highlight w:val="none"/>
                    </w:rPr>
                    <w:t>序号</w:t>
                  </w:r>
                </w:p>
              </w:tc>
              <w:tc>
                <w:tcPr>
                  <w:tcW w:w="3054" w:type="dxa"/>
                  <w:noWrap w:val="0"/>
                  <w:vAlign w:val="center"/>
                </w:tcPr>
                <w:p>
                  <w:pPr>
                    <w:spacing w:line="360" w:lineRule="exact"/>
                    <w:rPr>
                      <w:rFonts w:hint="eastAsia" w:ascii="宋体" w:hAnsi="宋体" w:cs="宋体"/>
                      <w:b/>
                      <w:bCs/>
                      <w:sz w:val="22"/>
                      <w:szCs w:val="22"/>
                      <w:highlight w:val="none"/>
                    </w:rPr>
                  </w:pPr>
                  <w:r>
                    <w:rPr>
                      <w:rFonts w:hint="eastAsia" w:ascii="宋体" w:hAnsi="宋体" w:cs="宋体"/>
                      <w:b/>
                      <w:bCs/>
                      <w:sz w:val="22"/>
                      <w:szCs w:val="22"/>
                      <w:highlight w:val="none"/>
                    </w:rPr>
                    <w:t>文档名称</w:t>
                  </w:r>
                </w:p>
              </w:tc>
              <w:tc>
                <w:tcPr>
                  <w:tcW w:w="2790" w:type="dxa"/>
                  <w:noWrap w:val="0"/>
                  <w:vAlign w:val="center"/>
                </w:tcPr>
                <w:p>
                  <w:pPr>
                    <w:spacing w:line="360" w:lineRule="exact"/>
                    <w:rPr>
                      <w:rFonts w:hint="eastAsia" w:ascii="宋体" w:hAnsi="宋体" w:cs="宋体"/>
                      <w:b/>
                      <w:bCs/>
                      <w:sz w:val="22"/>
                      <w:szCs w:val="22"/>
                      <w:highlight w:val="none"/>
                    </w:rPr>
                  </w:pPr>
                  <w:r>
                    <w:rPr>
                      <w:rFonts w:hint="eastAsia" w:ascii="宋体" w:hAnsi="宋体" w:cs="宋体"/>
                      <w:b/>
                      <w:bCs/>
                      <w:sz w:val="22"/>
                      <w:szCs w:val="22"/>
                      <w:highlight w:val="none"/>
                    </w:rPr>
                    <w:t>提交时间</w:t>
                  </w:r>
                </w:p>
              </w:tc>
              <w:tc>
                <w:tcPr>
                  <w:tcW w:w="1132" w:type="dxa"/>
                  <w:noWrap w:val="0"/>
                  <w:vAlign w:val="center"/>
                </w:tcPr>
                <w:p>
                  <w:pPr>
                    <w:spacing w:line="360" w:lineRule="exact"/>
                    <w:rPr>
                      <w:rFonts w:hint="eastAsia" w:ascii="宋体" w:hAnsi="宋体" w:cs="宋体"/>
                      <w:b/>
                      <w:bCs/>
                      <w:sz w:val="22"/>
                      <w:szCs w:val="22"/>
                      <w:highlight w:val="none"/>
                    </w:rPr>
                  </w:pPr>
                  <w:r>
                    <w:rPr>
                      <w:rFonts w:hint="eastAsia" w:ascii="宋体" w:hAnsi="宋体" w:cs="宋体"/>
                      <w:b/>
                      <w:bCs/>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22"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1</w:t>
                  </w:r>
                </w:p>
              </w:tc>
              <w:tc>
                <w:tcPr>
                  <w:tcW w:w="3054" w:type="dxa"/>
                  <w:noWrap w:val="0"/>
                  <w:vAlign w:val="center"/>
                </w:tcPr>
                <w:p>
                  <w:pPr>
                    <w:spacing w:line="360" w:lineRule="exact"/>
                    <w:ind w:left="13" w:hanging="13" w:hangingChars="6"/>
                    <w:rPr>
                      <w:rFonts w:hint="eastAsia" w:ascii="宋体" w:hAnsi="宋体" w:cs="宋体"/>
                      <w:color w:val="000000"/>
                      <w:sz w:val="22"/>
                      <w:szCs w:val="22"/>
                      <w:highlight w:val="none"/>
                    </w:rPr>
                  </w:pPr>
                  <w:r>
                    <w:rPr>
                      <w:rFonts w:hint="eastAsia" w:ascii="宋体" w:hAnsi="宋体" w:cs="宋体"/>
                      <w:color w:val="000000"/>
                      <w:sz w:val="22"/>
                      <w:szCs w:val="22"/>
                      <w:highlight w:val="none"/>
                    </w:rPr>
                    <w:t>《</w:t>
                  </w:r>
                  <w:r>
                    <w:rPr>
                      <w:rFonts w:hint="eastAsia" w:ascii="宋体" w:hAnsi="宋体" w:cs="宋体"/>
                      <w:sz w:val="22"/>
                      <w:szCs w:val="22"/>
                      <w:highlight w:val="none"/>
                    </w:rPr>
                    <w:t>信息系统系统安全等级保护测评报告</w:t>
                  </w:r>
                  <w:r>
                    <w:rPr>
                      <w:rFonts w:hint="eastAsia" w:ascii="宋体" w:hAnsi="宋体" w:cs="宋体"/>
                      <w:color w:val="000000"/>
                      <w:sz w:val="22"/>
                      <w:szCs w:val="22"/>
                      <w:highlight w:val="none"/>
                    </w:rPr>
                    <w:t>》</w:t>
                  </w:r>
                </w:p>
              </w:tc>
              <w:tc>
                <w:tcPr>
                  <w:tcW w:w="2790"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完成现场测评后8周</w:t>
                  </w:r>
                </w:p>
              </w:tc>
              <w:tc>
                <w:tcPr>
                  <w:tcW w:w="1132" w:type="dxa"/>
                  <w:noWrap w:val="0"/>
                  <w:vAlign w:val="center"/>
                </w:tcPr>
                <w:p>
                  <w:pPr>
                    <w:spacing w:line="360" w:lineRule="exact"/>
                    <w:rPr>
                      <w:rFonts w:hint="eastAsia"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22"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2</w:t>
                  </w:r>
                </w:p>
              </w:tc>
              <w:tc>
                <w:tcPr>
                  <w:tcW w:w="3054" w:type="dxa"/>
                  <w:noWrap w:val="0"/>
                  <w:vAlign w:val="center"/>
                </w:tcPr>
                <w:p>
                  <w:pPr>
                    <w:spacing w:line="360" w:lineRule="exact"/>
                    <w:ind w:left="13" w:hanging="13" w:hangingChars="6"/>
                    <w:rPr>
                      <w:rFonts w:hint="eastAsia" w:ascii="宋体" w:hAnsi="宋体" w:cs="宋体"/>
                      <w:color w:val="000000"/>
                      <w:sz w:val="22"/>
                      <w:szCs w:val="22"/>
                      <w:highlight w:val="none"/>
                    </w:rPr>
                  </w:pPr>
                  <w:r>
                    <w:rPr>
                      <w:rFonts w:hint="eastAsia" w:ascii="宋体" w:hAnsi="宋体" w:cs="宋体"/>
                      <w:color w:val="000000"/>
                      <w:sz w:val="22"/>
                      <w:szCs w:val="22"/>
                      <w:highlight w:val="none"/>
                    </w:rPr>
                    <w:t>《</w:t>
                  </w:r>
                  <w:r>
                    <w:rPr>
                      <w:rFonts w:hint="eastAsia" w:ascii="宋体" w:hAnsi="宋体" w:cs="宋体"/>
                      <w:sz w:val="22"/>
                      <w:szCs w:val="22"/>
                      <w:highlight w:val="none"/>
                    </w:rPr>
                    <w:t>信息系统安全等级保护测评整改建议</w:t>
                  </w:r>
                  <w:r>
                    <w:rPr>
                      <w:rFonts w:hint="eastAsia" w:ascii="宋体" w:hAnsi="宋体" w:cs="宋体"/>
                      <w:color w:val="000000"/>
                      <w:sz w:val="22"/>
                      <w:szCs w:val="22"/>
                      <w:highlight w:val="none"/>
                    </w:rPr>
                    <w:t>》</w:t>
                  </w:r>
                </w:p>
              </w:tc>
              <w:tc>
                <w:tcPr>
                  <w:tcW w:w="2790" w:type="dxa"/>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完成现场测评后8周</w:t>
                  </w:r>
                </w:p>
              </w:tc>
              <w:tc>
                <w:tcPr>
                  <w:tcW w:w="1132" w:type="dxa"/>
                  <w:noWrap w:val="0"/>
                  <w:vAlign w:val="center"/>
                </w:tcPr>
                <w:p>
                  <w:pPr>
                    <w:spacing w:line="360" w:lineRule="exact"/>
                    <w:rPr>
                      <w:rFonts w:hint="eastAsia" w:ascii="宋体" w:hAnsi="宋体" w:cs="宋体"/>
                      <w:sz w:val="22"/>
                      <w:szCs w:val="22"/>
                      <w:highlight w:val="none"/>
                    </w:rPr>
                  </w:pPr>
                </w:p>
              </w:tc>
            </w:tr>
          </w:tbl>
          <w:p>
            <w:pPr>
              <w:pStyle w:val="3"/>
              <w:numPr>
                <w:ilvl w:val="1"/>
                <w:numId w:val="4"/>
              </w:numPr>
              <w:spacing w:before="0" w:after="0" w:line="360" w:lineRule="exact"/>
              <w:ind w:left="0"/>
              <w:rPr>
                <w:rFonts w:hint="eastAsia" w:ascii="宋体" w:hAnsi="宋体" w:eastAsia="宋体" w:cs="宋体"/>
                <w:sz w:val="22"/>
                <w:szCs w:val="22"/>
                <w:highlight w:val="none"/>
              </w:rPr>
            </w:pPr>
            <w:bookmarkStart w:id="48" w:name="_Toc311015410"/>
            <w:bookmarkStart w:id="49" w:name="_Toc18339"/>
            <w:r>
              <w:rPr>
                <w:rFonts w:hint="eastAsia" w:ascii="宋体" w:hAnsi="宋体" w:eastAsia="宋体" w:cs="宋体"/>
                <w:sz w:val="22"/>
                <w:szCs w:val="22"/>
                <w:highlight w:val="none"/>
              </w:rPr>
              <w:t>质量保证</w:t>
            </w:r>
            <w:bookmarkEnd w:id="48"/>
            <w:bookmarkEnd w:id="49"/>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响应供应商在等级保护测评方案设计、实施、验收的各个阶段，均应满</w:t>
            </w:r>
            <w:r>
              <w:rPr>
                <w:rFonts w:hint="eastAsia" w:ascii="宋体" w:hAnsi="宋体" w:cs="宋体"/>
                <w:sz w:val="22"/>
                <w:szCs w:val="22"/>
                <w:highlight w:val="none"/>
              </w:rPr>
              <w:t>信息系统</w:t>
            </w:r>
            <w:r>
              <w:rPr>
                <w:rFonts w:hint="eastAsia" w:ascii="宋体" w:hAnsi="宋体" w:cs="宋体"/>
                <w:color w:val="000000"/>
                <w:sz w:val="22"/>
                <w:szCs w:val="22"/>
                <w:highlight w:val="none"/>
              </w:rPr>
              <w:t>正常稳定运行的要求。</w:t>
            </w:r>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响应供应商出具的相关报告应得到等级保护行业主管单位认定。报告正本一式四份，采购人保留两份。</w:t>
            </w:r>
          </w:p>
          <w:p>
            <w:pPr>
              <w:pStyle w:val="3"/>
              <w:numPr>
                <w:ilvl w:val="1"/>
                <w:numId w:val="4"/>
              </w:numPr>
              <w:spacing w:before="0" w:after="0" w:line="360" w:lineRule="exact"/>
              <w:ind w:left="0"/>
              <w:rPr>
                <w:rFonts w:hint="eastAsia" w:ascii="宋体" w:hAnsi="宋体" w:eastAsia="宋体" w:cs="宋体"/>
                <w:sz w:val="22"/>
                <w:szCs w:val="22"/>
                <w:highlight w:val="none"/>
              </w:rPr>
            </w:pPr>
            <w:bookmarkStart w:id="50" w:name="_Toc311015411"/>
            <w:bookmarkStart w:id="51" w:name="_Toc11676"/>
            <w:r>
              <w:rPr>
                <w:rFonts w:hint="eastAsia" w:ascii="宋体" w:hAnsi="宋体" w:eastAsia="宋体" w:cs="宋体"/>
                <w:sz w:val="22"/>
                <w:szCs w:val="22"/>
                <w:highlight w:val="none"/>
              </w:rPr>
              <w:t>保密要求</w:t>
            </w:r>
            <w:bookmarkEnd w:id="50"/>
            <w:bookmarkEnd w:id="51"/>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响应供应商承担被测评单位敏感信息的保密责任，在项目实施过程中，双方需要复制对方提供的相关资料时，应提交书面申请，在得到对方书面同意后方可复制，并将数据内容记录成表，签字确认。</w:t>
            </w:r>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未经双方书面同意，不得向第三方透露项目和涉及双方企业信息安全、技术成果的任何内容。</w:t>
            </w:r>
          </w:p>
          <w:p>
            <w:pPr>
              <w:overflowPunct w:val="0"/>
              <w:topLinePunct/>
              <w:snapToGrid w:val="0"/>
              <w:spacing w:line="360" w:lineRule="exact"/>
              <w:ind w:firstLine="420"/>
              <w:rPr>
                <w:rFonts w:hint="eastAsia" w:ascii="宋体" w:hAnsi="宋体" w:cs="宋体"/>
                <w:color w:val="000000"/>
                <w:sz w:val="22"/>
                <w:szCs w:val="22"/>
                <w:highlight w:val="none"/>
              </w:rPr>
            </w:pPr>
            <w:r>
              <w:rPr>
                <w:rFonts w:hint="eastAsia" w:ascii="宋体" w:hAnsi="宋体" w:cs="宋体"/>
                <w:color w:val="000000"/>
                <w:sz w:val="22"/>
                <w:szCs w:val="22"/>
                <w:highlight w:val="none"/>
              </w:rPr>
              <w:t>项目结束后，双方必须互相确认测评过程中提供的相关资料，相互承担保密责任。</w:t>
            </w:r>
          </w:p>
          <w:p>
            <w:pPr>
              <w:snapToGrid w:val="0"/>
              <w:spacing w:line="360" w:lineRule="exact"/>
              <w:rPr>
                <w:rFonts w:hint="eastAsia" w:ascii="宋体" w:hAnsi="宋体" w:cs="宋体"/>
                <w:b/>
                <w:bCs/>
                <w:spacing w:val="-6"/>
                <w:sz w:val="22"/>
                <w:szCs w:val="22"/>
                <w:highlight w:val="none"/>
              </w:rPr>
            </w:pPr>
          </w:p>
        </w:tc>
      </w:tr>
    </w:tbl>
    <w:p>
      <w:pPr>
        <w:snapToGrid w:val="0"/>
        <w:spacing w:line="360" w:lineRule="exact"/>
        <w:rPr>
          <w:rFonts w:hint="eastAsia" w:ascii="宋体" w:hAnsi="宋体" w:cs="宋体"/>
          <w:b/>
          <w:bCs/>
          <w:spacing w:val="-6"/>
          <w:sz w:val="22"/>
          <w:szCs w:val="22"/>
          <w:highlight w:val="none"/>
        </w:rPr>
      </w:pPr>
    </w:p>
    <w:p>
      <w:pPr>
        <w:numPr>
          <w:ilvl w:val="0"/>
          <w:numId w:val="3"/>
        </w:numPr>
        <w:snapToGrid w:val="0"/>
        <w:spacing w:line="360" w:lineRule="exact"/>
        <w:rPr>
          <w:rFonts w:ascii="宋体" w:hAnsi="宋体" w:cs="宋体"/>
          <w:b/>
          <w:spacing w:val="-6"/>
          <w:sz w:val="22"/>
          <w:szCs w:val="22"/>
          <w:highlight w:val="none"/>
        </w:rPr>
      </w:pP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adjustRightInd w:val="0"/>
        <w:snapToGrid w:val="0"/>
        <w:spacing w:before="120" w:beforeLines="50" w:after="120" w:afterLines="50" w:line="360" w:lineRule="auto"/>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bookmarkStart w:id="52" w:name="_GoBack"/>
      <w:bookmarkEnd w:id="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F8912D11"/>
    <w:multiLevelType w:val="multilevel"/>
    <w:tmpl w:val="F8912D1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0000011"/>
    <w:multiLevelType w:val="multilevel"/>
    <w:tmpl w:val="00000011"/>
    <w:lvl w:ilvl="0" w:tentative="0">
      <w:start w:val="1"/>
      <w:numFmt w:val="bullet"/>
      <w:lvlText w:val=""/>
      <w:lvlJc w:val="left"/>
      <w:pPr>
        <w:tabs>
          <w:tab w:val="left" w:pos="0"/>
        </w:tabs>
        <w:ind w:left="1260" w:hanging="420"/>
      </w:pPr>
      <w:rPr>
        <w:rFonts w:ascii="Wingdings" w:hAnsi="Wingdings"/>
      </w:rPr>
    </w:lvl>
    <w:lvl w:ilvl="1" w:tentative="0">
      <w:start w:val="1"/>
      <w:numFmt w:val="bullet"/>
      <w:lvlText w:val=""/>
      <w:lvlJc w:val="left"/>
      <w:pPr>
        <w:tabs>
          <w:tab w:val="left" w:pos="0"/>
        </w:tabs>
        <w:ind w:left="1680" w:hanging="420"/>
      </w:pPr>
      <w:rPr>
        <w:rFonts w:ascii="Wingdings" w:hAnsi="Wingdings"/>
      </w:rPr>
    </w:lvl>
    <w:lvl w:ilvl="2" w:tentative="0">
      <w:start w:val="1"/>
      <w:numFmt w:val="bullet"/>
      <w:lvlText w:val=""/>
      <w:lvlJc w:val="left"/>
      <w:pPr>
        <w:tabs>
          <w:tab w:val="left" w:pos="0"/>
        </w:tabs>
        <w:ind w:left="2100" w:hanging="420"/>
      </w:pPr>
      <w:rPr>
        <w:rFonts w:ascii="Wingdings" w:hAnsi="Wingdings"/>
      </w:rPr>
    </w:lvl>
    <w:lvl w:ilvl="3" w:tentative="0">
      <w:start w:val="1"/>
      <w:numFmt w:val="bullet"/>
      <w:lvlText w:val=""/>
      <w:lvlJc w:val="left"/>
      <w:pPr>
        <w:tabs>
          <w:tab w:val="left" w:pos="0"/>
        </w:tabs>
        <w:ind w:left="2520" w:hanging="420"/>
      </w:pPr>
      <w:rPr>
        <w:rFonts w:ascii="Wingdings" w:hAnsi="Wingdings"/>
      </w:rPr>
    </w:lvl>
    <w:lvl w:ilvl="4" w:tentative="0">
      <w:start w:val="1"/>
      <w:numFmt w:val="bullet"/>
      <w:lvlText w:val=""/>
      <w:lvlJc w:val="left"/>
      <w:pPr>
        <w:tabs>
          <w:tab w:val="left" w:pos="0"/>
        </w:tabs>
        <w:ind w:left="2940" w:hanging="420"/>
      </w:pPr>
      <w:rPr>
        <w:rFonts w:ascii="Wingdings" w:hAnsi="Wingdings"/>
      </w:rPr>
    </w:lvl>
    <w:lvl w:ilvl="5" w:tentative="0">
      <w:start w:val="1"/>
      <w:numFmt w:val="bullet"/>
      <w:lvlText w:val=""/>
      <w:lvlJc w:val="left"/>
      <w:pPr>
        <w:tabs>
          <w:tab w:val="left" w:pos="0"/>
        </w:tabs>
        <w:ind w:left="3360" w:hanging="420"/>
      </w:pPr>
      <w:rPr>
        <w:rFonts w:ascii="Wingdings" w:hAnsi="Wingdings"/>
      </w:rPr>
    </w:lvl>
    <w:lvl w:ilvl="6" w:tentative="0">
      <w:start w:val="1"/>
      <w:numFmt w:val="bullet"/>
      <w:lvlText w:val=""/>
      <w:lvlJc w:val="left"/>
      <w:pPr>
        <w:tabs>
          <w:tab w:val="left" w:pos="0"/>
        </w:tabs>
        <w:ind w:left="3780" w:hanging="420"/>
      </w:pPr>
      <w:rPr>
        <w:rFonts w:ascii="Wingdings" w:hAnsi="Wingdings"/>
      </w:rPr>
    </w:lvl>
    <w:lvl w:ilvl="7" w:tentative="0">
      <w:start w:val="1"/>
      <w:numFmt w:val="bullet"/>
      <w:lvlText w:val=""/>
      <w:lvlJc w:val="left"/>
      <w:pPr>
        <w:tabs>
          <w:tab w:val="left" w:pos="0"/>
        </w:tabs>
        <w:ind w:left="4200" w:hanging="420"/>
      </w:pPr>
      <w:rPr>
        <w:rFonts w:ascii="Wingdings" w:hAnsi="Wingdings"/>
      </w:rPr>
    </w:lvl>
    <w:lvl w:ilvl="8" w:tentative="0">
      <w:start w:val="1"/>
      <w:numFmt w:val="bullet"/>
      <w:lvlText w:val=""/>
      <w:lvlJc w:val="left"/>
      <w:pPr>
        <w:tabs>
          <w:tab w:val="left" w:pos="0"/>
        </w:tabs>
        <w:ind w:left="4620" w:hanging="420"/>
      </w:pPr>
      <w:rPr>
        <w:rFonts w:ascii="Wingdings" w:hAnsi="Wingdings"/>
      </w:rPr>
    </w:lvl>
  </w:abstractNum>
  <w:abstractNum w:abstractNumId="3">
    <w:nsid w:val="0BD228FD"/>
    <w:multiLevelType w:val="multilevel"/>
    <w:tmpl w:val="0BD228F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E62472B"/>
    <w:multiLevelType w:val="multilevel"/>
    <w:tmpl w:val="1E62472B"/>
    <w:lvl w:ilvl="0" w:tentative="0">
      <w:start w:val="1"/>
      <w:numFmt w:val="decimal"/>
      <w:lvlText w:val="（%1）"/>
      <w:lvlJc w:val="left"/>
      <w:pPr>
        <w:ind w:left="1140" w:hanging="720"/>
      </w:pPr>
      <w:rPr>
        <w:rFonts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6907023"/>
    <w:multiLevelType w:val="multilevel"/>
    <w:tmpl w:val="3690702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951C00E"/>
    <w:multiLevelType w:val="singleLevel"/>
    <w:tmpl w:val="3951C00E"/>
    <w:lvl w:ilvl="0" w:tentative="0">
      <w:start w:val="2"/>
      <w:numFmt w:val="chineseCounting"/>
      <w:suff w:val="nothing"/>
      <w:lvlText w:val="%1、"/>
      <w:lvlJc w:val="left"/>
      <w:rPr>
        <w:rFonts w:hint="eastAsia"/>
      </w:rPr>
    </w:lvl>
  </w:abstractNum>
  <w:abstractNum w:abstractNumId="7">
    <w:nsid w:val="69EC3FBF"/>
    <w:multiLevelType w:val="multilevel"/>
    <w:tmpl w:val="69EC3FB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C9A2D20"/>
    <w:multiLevelType w:val="multilevel"/>
    <w:tmpl w:val="6C9A2D2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9"/>
  </w:num>
  <w:num w:numId="3">
    <w:abstractNumId w:val="0"/>
  </w:num>
  <w:num w:numId="4">
    <w:abstractNumId w:val="1"/>
  </w:num>
  <w:num w:numId="5">
    <w:abstractNumId w:val="3"/>
  </w:num>
  <w:num w:numId="6">
    <w:abstractNumId w:val="5"/>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6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paragraph" w:styleId="3">
    <w:name w:val="heading 2"/>
    <w:basedOn w:val="2"/>
    <w:next w:val="1"/>
    <w:qFormat/>
    <w:uiPriority w:val="0"/>
    <w:pPr>
      <w:keepNext/>
      <w:keepLines/>
      <w:spacing w:before="260" w:after="260" w:line="408" w:lineRule="auto"/>
      <w:outlineLvl w:val="1"/>
    </w:pPr>
    <w:rPr>
      <w:rFonts w:ascii="Arial" w:hAnsi="Arial" w:eastAsia="黑体"/>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国网标准正文"/>
    <w:basedOn w:val="1"/>
    <w:qFormat/>
    <w:uiPriority w:val="0"/>
    <w:pPr>
      <w:tabs>
        <w:tab w:val="left" w:pos="2700"/>
      </w:tabs>
      <w:adjustRightInd w:val="0"/>
      <w:snapToGrid w:val="0"/>
      <w:spacing w:line="312" w:lineRule="exact"/>
      <w:ind w:firstLine="420" w:firstLineChars="200"/>
      <w:textAlignment w:val="center"/>
    </w:pPr>
    <w:rPr>
      <w:rFonts w:ascii="宋体" w:hAnsi="宋体"/>
      <w:szCs w:val="28"/>
    </w:rPr>
  </w:style>
  <w:style w:type="paragraph" w:customStyle="1" w:styleId="7">
    <w:name w:val="国标3级"/>
    <w:basedOn w:val="1"/>
    <w:qFormat/>
    <w:uiPriority w:val="0"/>
    <w:pPr>
      <w:snapToGrid w:val="0"/>
      <w:spacing w:line="312" w:lineRule="exact"/>
    </w:pPr>
    <w:rPr>
      <w:rFonts w:ascii="宋体" w:hAnsi="宋体"/>
      <w:color w:val="00000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2021-07-22T01:29:43Z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