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30"/>
          <w:szCs w:val="30"/>
          <w:highlight w:val="none"/>
        </w:rPr>
      </w:pPr>
      <w:r>
        <w:rPr>
          <w:rFonts w:hint="eastAsia" w:ascii="宋体" w:hAnsi="宋体" w:cs="宋体"/>
          <w:b/>
          <w:bCs/>
          <w:sz w:val="30"/>
          <w:szCs w:val="30"/>
          <w:highlight w:val="none"/>
        </w:rPr>
        <w:t>采购需求</w:t>
      </w:r>
    </w:p>
    <w:p>
      <w:pPr>
        <w:snapToGrid w:val="0"/>
        <w:spacing w:line="360" w:lineRule="exact"/>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一、采购内容及数量</w:t>
      </w:r>
    </w:p>
    <w:tbl>
      <w:tblPr>
        <w:tblStyle w:val="6"/>
        <w:tblW w:w="0" w:type="auto"/>
        <w:jc w:val="center"/>
        <w:tblLayout w:type="fixed"/>
        <w:tblCellMar>
          <w:top w:w="0" w:type="dxa"/>
          <w:left w:w="108" w:type="dxa"/>
          <w:bottom w:w="0" w:type="dxa"/>
          <w:right w:w="108" w:type="dxa"/>
        </w:tblCellMar>
      </w:tblPr>
      <w:tblGrid>
        <w:gridCol w:w="1038"/>
        <w:gridCol w:w="2791"/>
        <w:gridCol w:w="958"/>
        <w:gridCol w:w="1904"/>
        <w:gridCol w:w="2635"/>
      </w:tblGrid>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序号</w:t>
            </w:r>
          </w:p>
        </w:tc>
        <w:tc>
          <w:tcPr>
            <w:tcW w:w="27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项目内容</w:t>
            </w:r>
          </w:p>
        </w:tc>
        <w:tc>
          <w:tcPr>
            <w:tcW w:w="95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 xml:space="preserve">数量 </w:t>
            </w:r>
          </w:p>
        </w:tc>
        <w:tc>
          <w:tcPr>
            <w:tcW w:w="1904"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预算金额(元)</w:t>
            </w:r>
          </w:p>
        </w:tc>
        <w:tc>
          <w:tcPr>
            <w:tcW w:w="2635"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备注</w:t>
            </w:r>
          </w:p>
        </w:tc>
      </w:tr>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1</w:t>
            </w:r>
          </w:p>
        </w:tc>
        <w:tc>
          <w:tcPr>
            <w:tcW w:w="2791"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eastAsia="宋体" w:cs="宋体"/>
                <w:sz w:val="22"/>
                <w:szCs w:val="22"/>
                <w:highlight w:val="none"/>
                <w:lang w:eastAsia="zh-CN"/>
              </w:rPr>
            </w:pPr>
            <w:r>
              <w:rPr>
                <w:rFonts w:hint="eastAsia" w:ascii="宋体" w:hAnsi="宋体" w:cs="宋体"/>
                <w:sz w:val="22"/>
                <w:szCs w:val="22"/>
                <w:highlight w:val="none"/>
                <w:lang w:eastAsia="zh-CN"/>
              </w:rPr>
              <w:t>教学楼及校园监控增补</w:t>
            </w:r>
          </w:p>
        </w:tc>
        <w:tc>
          <w:tcPr>
            <w:tcW w:w="9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ascii="宋体" w:hAnsi="宋体" w:cs="宋体"/>
                <w:sz w:val="22"/>
                <w:szCs w:val="22"/>
                <w:highlight w:val="none"/>
              </w:rPr>
            </w:pPr>
            <w:r>
              <w:rPr>
                <w:rFonts w:hint="eastAsia" w:ascii="宋体" w:hAnsi="宋体" w:cs="宋体"/>
                <w:sz w:val="22"/>
                <w:szCs w:val="22"/>
                <w:highlight w:val="none"/>
              </w:rPr>
              <w:t>1项</w:t>
            </w:r>
          </w:p>
        </w:tc>
        <w:tc>
          <w:tcPr>
            <w:tcW w:w="19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eastAsia="宋体" w:cs="宋体"/>
                <w:sz w:val="22"/>
                <w:szCs w:val="22"/>
                <w:highlight w:val="none"/>
                <w:lang w:eastAsia="zh-CN"/>
              </w:rPr>
            </w:pPr>
            <w:r>
              <w:rPr>
                <w:rFonts w:hint="eastAsia" w:ascii="宋体" w:hAnsi="宋体" w:cs="宋体"/>
                <w:sz w:val="22"/>
                <w:szCs w:val="22"/>
                <w:highlight w:val="none"/>
                <w:lang w:eastAsia="zh-CN"/>
              </w:rPr>
              <w:t>458692.5</w:t>
            </w:r>
          </w:p>
        </w:tc>
        <w:tc>
          <w:tcPr>
            <w:tcW w:w="263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left"/>
              <w:rPr>
                <w:rFonts w:hint="eastAsia" w:ascii="宋体" w:hAnsi="宋体" w:cs="宋体"/>
                <w:sz w:val="22"/>
                <w:szCs w:val="22"/>
                <w:highlight w:val="none"/>
              </w:rPr>
            </w:pPr>
            <w:r>
              <w:rPr>
                <w:rFonts w:hint="eastAsia" w:ascii="宋体" w:hAnsi="宋体" w:cs="宋体"/>
                <w:kern w:val="0"/>
                <w:sz w:val="22"/>
                <w:szCs w:val="22"/>
                <w:highlight w:val="none"/>
              </w:rPr>
              <w:t xml:space="preserve"> </w:t>
            </w:r>
          </w:p>
        </w:tc>
      </w:tr>
    </w:tbl>
    <w:p>
      <w:pPr>
        <w:numPr>
          <w:ilvl w:val="0"/>
          <w:numId w:val="1"/>
        </w:numPr>
        <w:snapToGrid w:val="0"/>
        <w:spacing w:line="360" w:lineRule="exact"/>
        <w:outlineLvl w:val="0"/>
        <w:rPr>
          <w:rFonts w:hint="eastAsia" w:ascii="宋体" w:hAnsi="宋体" w:cs="宋体"/>
          <w:b/>
          <w:spacing w:val="-6"/>
          <w:sz w:val="22"/>
          <w:szCs w:val="22"/>
          <w:highlight w:val="none"/>
        </w:rPr>
      </w:pPr>
      <w:r>
        <w:rPr>
          <w:rFonts w:hint="eastAsia" w:ascii="宋体" w:hAnsi="宋体" w:cs="宋体"/>
          <w:b/>
          <w:spacing w:val="-6"/>
          <w:sz w:val="22"/>
          <w:szCs w:val="22"/>
          <w:highlight w:val="none"/>
        </w:rPr>
        <w:t>商务要求（技术要求里另有注明A的以技术要求为准）</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bCs/>
                <w:sz w:val="22"/>
                <w:szCs w:val="22"/>
                <w:highlight w:val="none"/>
                <w:u w:val="single"/>
              </w:rPr>
            </w:pPr>
            <w:r>
              <w:rPr>
                <w:rFonts w:hint="eastAsia" w:ascii="宋体" w:hAnsi="宋体" w:cs="宋体"/>
                <w:bCs/>
                <w:spacing w:val="-6"/>
                <w:sz w:val="22"/>
                <w:szCs w:val="22"/>
                <w:highlight w:val="none"/>
                <w:u w:val="single"/>
              </w:rPr>
              <w:t>▲履约保证金及</w:t>
            </w:r>
            <w:r>
              <w:rPr>
                <w:rFonts w:hint="eastAsia" w:ascii="宋体" w:hAnsi="宋体" w:cs="宋体"/>
                <w:bCs/>
                <w:sz w:val="22"/>
                <w:szCs w:val="22"/>
                <w:highlight w:val="none"/>
                <w:u w:val="single"/>
              </w:rPr>
              <w:t>付款条件</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bCs/>
                <w:snapToGrid w:val="0"/>
                <w:color w:val="auto"/>
                <w:kern w:val="0"/>
                <w:sz w:val="22"/>
                <w:szCs w:val="22"/>
                <w:highlight w:val="none"/>
                <w:u w:val="single"/>
              </w:rPr>
            </w:pPr>
            <w:r>
              <w:rPr>
                <w:rFonts w:hint="eastAsia" w:ascii="宋体" w:hAnsi="宋体" w:cs="宋体"/>
                <w:bCs/>
                <w:snapToGrid w:val="0"/>
                <w:color w:val="auto"/>
                <w:kern w:val="0"/>
                <w:sz w:val="22"/>
                <w:szCs w:val="22"/>
                <w:highlight w:val="none"/>
                <w:u w:val="single"/>
              </w:rPr>
              <w:t>履约保证金：乙方在合同签订后7个工作日内，向甲方提交合同总金额</w:t>
            </w:r>
            <w:r>
              <w:rPr>
                <w:rFonts w:hint="eastAsia" w:ascii="宋体" w:hAnsi="宋体" w:cs="宋体"/>
                <w:bCs/>
                <w:snapToGrid w:val="0"/>
                <w:color w:val="auto"/>
                <w:kern w:val="0"/>
                <w:sz w:val="22"/>
                <w:szCs w:val="22"/>
                <w:highlight w:val="none"/>
                <w:u w:val="single"/>
                <w:lang w:val="en-US" w:eastAsia="zh-CN"/>
              </w:rPr>
              <w:t>2.</w:t>
            </w:r>
            <w:r>
              <w:rPr>
                <w:rFonts w:hint="eastAsia" w:ascii="宋体" w:hAnsi="宋体" w:cs="宋体"/>
                <w:bCs/>
                <w:snapToGrid w:val="0"/>
                <w:color w:val="auto"/>
                <w:kern w:val="0"/>
                <w:sz w:val="22"/>
                <w:szCs w:val="22"/>
                <w:highlight w:val="none"/>
                <w:u w:val="single"/>
              </w:rPr>
              <w:t>5%履约保证（接受银行转账、支票、汇票、本票、履约保函等多种非现金形式），履约保证金自项目验收合格之日起</w:t>
            </w:r>
            <w:r>
              <w:rPr>
                <w:rFonts w:hint="eastAsia" w:ascii="宋体" w:hAnsi="宋体" w:cs="宋体"/>
                <w:bCs/>
                <w:snapToGrid w:val="0"/>
                <w:color w:val="auto"/>
                <w:kern w:val="0"/>
                <w:sz w:val="22"/>
                <w:szCs w:val="22"/>
                <w:highlight w:val="none"/>
                <w:u w:val="single"/>
                <w:lang w:val="en-US" w:eastAsia="zh-CN"/>
              </w:rPr>
              <w:t>7</w:t>
            </w:r>
            <w:r>
              <w:rPr>
                <w:rFonts w:hint="eastAsia" w:ascii="宋体" w:hAnsi="宋体" w:cs="宋体"/>
                <w:bCs/>
                <w:snapToGrid w:val="0"/>
                <w:color w:val="auto"/>
                <w:kern w:val="0"/>
                <w:sz w:val="22"/>
                <w:szCs w:val="22"/>
                <w:highlight w:val="none"/>
                <w:u w:val="single"/>
              </w:rPr>
              <w:t>个工作日内无息退还。</w:t>
            </w:r>
          </w:p>
          <w:p>
            <w:pPr>
              <w:spacing w:line="360" w:lineRule="auto"/>
              <w:jc w:val="left"/>
              <w:rPr>
                <w:rFonts w:hint="eastAsia" w:ascii="宋体" w:hAnsi="宋体" w:eastAsia="宋体" w:cs="宋体"/>
                <w:bCs/>
                <w:color w:val="auto"/>
                <w:sz w:val="22"/>
                <w:szCs w:val="22"/>
                <w:highlight w:val="none"/>
                <w:u w:val="single"/>
                <w:lang w:eastAsia="zh-CN"/>
              </w:rPr>
            </w:pPr>
            <w:r>
              <w:rPr>
                <w:rFonts w:hint="eastAsia" w:ascii="宋体" w:hAnsi="宋体" w:cs="宋体"/>
                <w:bCs/>
                <w:snapToGrid w:val="0"/>
                <w:color w:val="auto"/>
                <w:kern w:val="0"/>
                <w:sz w:val="22"/>
                <w:szCs w:val="22"/>
                <w:highlight w:val="none"/>
                <w:u w:val="single"/>
              </w:rPr>
              <w:t>付款条件：合同</w:t>
            </w:r>
            <w:r>
              <w:rPr>
                <w:rFonts w:hint="eastAsia" w:ascii="宋体" w:hAnsi="宋体" w:cs="宋体"/>
                <w:bCs/>
                <w:snapToGrid w:val="0"/>
                <w:color w:val="auto"/>
                <w:kern w:val="0"/>
                <w:sz w:val="22"/>
                <w:szCs w:val="22"/>
                <w:highlight w:val="none"/>
                <w:u w:val="single"/>
                <w:lang w:eastAsia="zh-CN"/>
              </w:rPr>
              <w:t>生效以及具备实施条件</w:t>
            </w:r>
            <w:r>
              <w:rPr>
                <w:rFonts w:hint="eastAsia" w:ascii="宋体" w:hAnsi="宋体" w:cs="宋体"/>
                <w:bCs/>
                <w:snapToGrid w:val="0"/>
                <w:color w:val="auto"/>
                <w:kern w:val="0"/>
                <w:sz w:val="22"/>
                <w:szCs w:val="22"/>
                <w:highlight w:val="none"/>
                <w:u w:val="single"/>
              </w:rPr>
              <w:t>后</w:t>
            </w:r>
            <w:r>
              <w:rPr>
                <w:rFonts w:hint="eastAsia" w:ascii="宋体" w:hAnsi="宋体" w:cs="宋体"/>
                <w:bCs/>
                <w:snapToGrid w:val="0"/>
                <w:color w:val="auto"/>
                <w:kern w:val="0"/>
                <w:sz w:val="22"/>
                <w:szCs w:val="22"/>
                <w:highlight w:val="none"/>
                <w:u w:val="single"/>
                <w:lang w:val="en-US" w:eastAsia="zh-CN"/>
              </w:rPr>
              <w:t>7</w:t>
            </w:r>
            <w:r>
              <w:rPr>
                <w:rFonts w:hint="eastAsia" w:ascii="宋体" w:hAnsi="宋体" w:cs="宋体"/>
                <w:bCs/>
                <w:snapToGrid w:val="0"/>
                <w:color w:val="auto"/>
                <w:kern w:val="0"/>
                <w:sz w:val="22"/>
                <w:szCs w:val="22"/>
                <w:highlight w:val="none"/>
                <w:u w:val="single"/>
              </w:rPr>
              <w:t>个工作日内，甲方向乙方支付合同总额的</w:t>
            </w:r>
            <w:r>
              <w:rPr>
                <w:rFonts w:hint="eastAsia" w:ascii="宋体" w:hAnsi="宋体" w:cs="宋体"/>
                <w:bCs/>
                <w:snapToGrid w:val="0"/>
                <w:color w:val="auto"/>
                <w:kern w:val="0"/>
                <w:sz w:val="22"/>
                <w:szCs w:val="22"/>
                <w:highlight w:val="none"/>
                <w:u w:val="single"/>
                <w:lang w:val="en-US" w:eastAsia="zh-CN"/>
              </w:rPr>
              <w:t>4</w:t>
            </w:r>
            <w:r>
              <w:rPr>
                <w:rFonts w:hint="eastAsia" w:ascii="宋体" w:hAnsi="宋体" w:cs="宋体"/>
                <w:bCs/>
                <w:snapToGrid w:val="0"/>
                <w:color w:val="auto"/>
                <w:kern w:val="0"/>
                <w:sz w:val="22"/>
                <w:szCs w:val="22"/>
                <w:highlight w:val="none"/>
                <w:u w:val="single"/>
              </w:rPr>
              <w:t>0%作为预付款；</w:t>
            </w:r>
            <w:r>
              <w:rPr>
                <w:rFonts w:hint="eastAsia" w:ascii="宋体" w:hAnsi="宋体" w:cs="宋体"/>
                <w:bCs/>
                <w:snapToGrid w:val="0"/>
                <w:color w:val="auto"/>
                <w:kern w:val="0"/>
                <w:sz w:val="22"/>
                <w:szCs w:val="22"/>
                <w:highlight w:val="none"/>
                <w:u w:val="single"/>
                <w:lang w:val="en-US" w:eastAsia="zh-CN"/>
              </w:rPr>
              <w:t>项目验收合格后自收到发票后7个工作日内，</w:t>
            </w:r>
            <w:r>
              <w:rPr>
                <w:rFonts w:hint="eastAsia" w:ascii="宋体" w:hAnsi="宋体" w:cs="宋体"/>
                <w:bCs/>
                <w:snapToGrid w:val="0"/>
                <w:color w:val="auto"/>
                <w:kern w:val="0"/>
                <w:sz w:val="22"/>
                <w:szCs w:val="22"/>
                <w:highlight w:val="none"/>
                <w:u w:val="single"/>
              </w:rPr>
              <w:t>甲方向乙方支付合同总额的</w:t>
            </w:r>
            <w:r>
              <w:rPr>
                <w:rFonts w:hint="eastAsia" w:ascii="宋体" w:hAnsi="宋体" w:cs="宋体"/>
                <w:bCs/>
                <w:snapToGrid w:val="0"/>
                <w:color w:val="auto"/>
                <w:kern w:val="0"/>
                <w:sz w:val="22"/>
                <w:szCs w:val="22"/>
                <w:highlight w:val="none"/>
                <w:u w:val="single"/>
                <w:lang w:val="en-US" w:eastAsia="zh-CN"/>
              </w:rPr>
              <w:t>60</w:t>
            </w:r>
            <w:r>
              <w:rPr>
                <w:rFonts w:hint="eastAsia" w:ascii="宋体" w:hAnsi="宋体" w:cs="宋体"/>
                <w:bCs/>
                <w:snapToGrid w:val="0"/>
                <w:color w:val="auto"/>
                <w:kern w:val="0"/>
                <w:sz w:val="22"/>
                <w:szCs w:val="22"/>
                <w:highlight w:val="none"/>
                <w:u w:val="single"/>
              </w:rPr>
              <w:t>%合同款</w:t>
            </w:r>
            <w:r>
              <w:rPr>
                <w:rFonts w:hint="eastAsia" w:ascii="宋体" w:hAnsi="宋体" w:cs="宋体"/>
                <w:bCs/>
                <w:snapToGrid w:val="0"/>
                <w:color w:val="auto"/>
                <w:kern w:val="0"/>
                <w:sz w:val="22"/>
                <w:szCs w:val="22"/>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bCs/>
                <w:sz w:val="22"/>
                <w:szCs w:val="22"/>
                <w:highlight w:val="none"/>
                <w:lang w:eastAsia="zh-CN"/>
              </w:rPr>
            </w:pPr>
            <w:r>
              <w:rPr>
                <w:rFonts w:hint="eastAsia" w:ascii="宋体" w:hAnsi="宋体" w:cs="宋体"/>
                <w:bCs/>
                <w:sz w:val="22"/>
                <w:szCs w:val="22"/>
                <w:highlight w:val="none"/>
                <w:lang w:eastAsia="zh-CN"/>
              </w:rPr>
              <w:t>质保期</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70" w:lineRule="exact"/>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bCs/>
                <w:sz w:val="22"/>
                <w:szCs w:val="22"/>
                <w:highlight w:val="none"/>
              </w:rPr>
            </w:pPr>
            <w:r>
              <w:rPr>
                <w:rFonts w:hint="eastAsia" w:ascii="宋体" w:hAnsi="宋体" w:cs="宋体"/>
                <w:bCs/>
                <w:sz w:val="22"/>
                <w:szCs w:val="22"/>
                <w:highlight w:val="none"/>
              </w:rPr>
              <w:t>交付时间</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70" w:lineRule="exact"/>
              <w:rPr>
                <w:rFonts w:hint="default" w:ascii="宋体" w:hAnsi="宋体" w:eastAsia="宋体" w:cs="宋体"/>
                <w:bCs/>
                <w:color w:val="auto"/>
                <w:sz w:val="22"/>
                <w:szCs w:val="22"/>
                <w:highlight w:val="none"/>
                <w:lang w:val="en-US" w:eastAsia="zh-CN"/>
              </w:rPr>
            </w:pPr>
            <w:r>
              <w:rPr>
                <w:rFonts w:hint="eastAsia" w:ascii="宋体" w:hAnsi="宋体"/>
                <w:color w:val="auto"/>
                <w:sz w:val="22"/>
                <w:szCs w:val="22"/>
                <w:highlight w:val="none"/>
              </w:rPr>
              <w:t>合同签订后</w:t>
            </w:r>
            <w:r>
              <w:rPr>
                <w:rFonts w:hint="eastAsia" w:ascii="宋体" w:hAnsi="宋体"/>
                <w:color w:val="auto"/>
                <w:sz w:val="22"/>
                <w:szCs w:val="22"/>
                <w:highlight w:val="none"/>
                <w:lang w:val="en-US" w:eastAsia="zh-CN"/>
              </w:rPr>
              <w:t>2个月</w:t>
            </w:r>
            <w:r>
              <w:rPr>
                <w:rFonts w:hint="eastAsia" w:ascii="宋体" w:hAnsi="宋体"/>
                <w:color w:val="auto"/>
                <w:sz w:val="22"/>
                <w:szCs w:val="22"/>
                <w:highlight w:val="none"/>
              </w:rPr>
              <w:t>内交付</w:t>
            </w:r>
            <w:r>
              <w:rPr>
                <w:rFonts w:hint="eastAsia" w:ascii="宋体" w:hAnsi="宋体"/>
                <w:color w:val="auto"/>
                <w:sz w:val="22"/>
                <w:szCs w:val="22"/>
                <w:highlight w:val="none"/>
                <w:lang w:eastAsia="zh-CN"/>
              </w:rPr>
              <w:t>（因疫情原因导致工期延期，可双方协商最终确认。）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70" w:lineRule="exact"/>
              <w:rPr>
                <w:rFonts w:ascii="宋体" w:hAnsi="宋体" w:cs="宋体"/>
                <w:kern w:val="0"/>
                <w:sz w:val="22"/>
                <w:szCs w:val="22"/>
                <w:highlight w:val="none"/>
              </w:rPr>
            </w:pPr>
            <w:r>
              <w:rPr>
                <w:rFonts w:hint="eastAsia" w:ascii="宋体" w:hAnsi="宋体" w:cs="宋体"/>
                <w:kern w:val="0"/>
                <w:sz w:val="22"/>
                <w:szCs w:val="22"/>
                <w:highlight w:val="none"/>
              </w:rPr>
              <w:t>交付地点</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70" w:lineRule="exact"/>
              <w:rPr>
                <w:rFonts w:hint="eastAsia" w:ascii="宋体" w:hAnsi="宋体" w:cs="宋体"/>
                <w:kern w:val="0"/>
                <w:sz w:val="22"/>
                <w:szCs w:val="22"/>
                <w:highlight w:val="none"/>
              </w:rPr>
            </w:pPr>
            <w:r>
              <w:rPr>
                <w:rFonts w:hint="eastAsia" w:ascii="宋体" w:hAnsi="宋体" w:cs="宋体"/>
                <w:bCs/>
                <w:snapToGrid w:val="0"/>
                <w:kern w:val="0"/>
                <w:sz w:val="22"/>
                <w:szCs w:val="22"/>
                <w:highlight w:val="none"/>
              </w:rPr>
              <w:t>甲方</w:t>
            </w:r>
            <w:r>
              <w:rPr>
                <w:rFonts w:hint="eastAsia" w:ascii="宋体" w:hAnsi="宋体"/>
                <w:sz w:val="22"/>
                <w:szCs w:val="22"/>
                <w:highlight w:val="none"/>
              </w:rPr>
              <w:t>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bCs/>
                <w:sz w:val="22"/>
                <w:szCs w:val="22"/>
                <w:highlight w:val="none"/>
              </w:rPr>
            </w:pPr>
            <w:r>
              <w:rPr>
                <w:rFonts w:hint="eastAsia" w:ascii="宋体" w:hAnsi="宋体" w:cs="宋体"/>
                <w:bCs/>
                <w:sz w:val="22"/>
                <w:szCs w:val="22"/>
                <w:highlight w:val="none"/>
              </w:rPr>
              <w:t>验收要求</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360" w:lineRule="exact"/>
              <w:jc w:val="left"/>
              <w:rPr>
                <w:rFonts w:hint="eastAsia" w:ascii="宋体" w:hAnsi="宋体" w:cs="宋体"/>
                <w:bCs/>
                <w:sz w:val="22"/>
                <w:szCs w:val="22"/>
                <w:highlight w:val="none"/>
              </w:rPr>
            </w:pPr>
            <w:r>
              <w:rPr>
                <w:rFonts w:hint="eastAsia" w:ascii="宋体" w:hAnsi="宋体" w:cs="宋体"/>
                <w:bCs/>
                <w:sz w:val="22"/>
                <w:szCs w:val="22"/>
                <w:highlight w:val="none"/>
              </w:rPr>
              <w:t>验收应按照</w:t>
            </w:r>
            <w:r>
              <w:rPr>
                <w:rFonts w:hint="eastAsia" w:ascii="宋体" w:hAnsi="宋体" w:cs="宋体"/>
                <w:bCs/>
                <w:snapToGrid w:val="0"/>
                <w:kern w:val="0"/>
                <w:sz w:val="22"/>
                <w:szCs w:val="22"/>
                <w:highlight w:val="none"/>
              </w:rPr>
              <w:t>甲方</w:t>
            </w:r>
            <w:r>
              <w:rPr>
                <w:rFonts w:hint="eastAsia" w:ascii="宋体" w:hAnsi="宋体" w:cs="宋体"/>
                <w:bCs/>
                <w:sz w:val="22"/>
                <w:szCs w:val="22"/>
                <w:highlight w:val="none"/>
              </w:rPr>
              <w:t>确认的验收要求进行，全过程必须由</w:t>
            </w:r>
            <w:r>
              <w:rPr>
                <w:rFonts w:hint="eastAsia" w:ascii="宋体" w:hAnsi="宋体" w:cs="宋体"/>
                <w:bCs/>
                <w:snapToGrid w:val="0"/>
                <w:kern w:val="0"/>
                <w:sz w:val="22"/>
                <w:szCs w:val="22"/>
                <w:highlight w:val="none"/>
              </w:rPr>
              <w:t>甲方</w:t>
            </w:r>
            <w:r>
              <w:rPr>
                <w:rFonts w:hint="eastAsia" w:ascii="宋体" w:hAnsi="宋体" w:cs="宋体"/>
                <w:bCs/>
                <w:sz w:val="22"/>
                <w:szCs w:val="22"/>
                <w:highlight w:val="none"/>
              </w:rPr>
              <w:t>在场见证。</w:t>
            </w:r>
          </w:p>
          <w:p>
            <w:pPr>
              <w:numPr>
                <w:ilvl w:val="0"/>
                <w:numId w:val="2"/>
              </w:numPr>
              <w:spacing w:line="360" w:lineRule="exact"/>
              <w:ind w:left="0"/>
              <w:jc w:val="left"/>
              <w:rPr>
                <w:rFonts w:hint="eastAsia" w:ascii="宋体" w:hAnsi="宋体" w:cs="宋体"/>
                <w:bCs/>
                <w:sz w:val="22"/>
                <w:szCs w:val="22"/>
                <w:highlight w:val="none"/>
              </w:rPr>
            </w:pPr>
            <w:r>
              <w:rPr>
                <w:rFonts w:hint="eastAsia" w:ascii="宋体" w:hAnsi="宋体" w:cs="宋体"/>
                <w:bCs/>
                <w:sz w:val="22"/>
                <w:szCs w:val="22"/>
                <w:highlight w:val="none"/>
              </w:rPr>
              <w:t>如项目后期需代理组织校外人员验收，验收费用5000元由乙方支付给代理公司。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bCs/>
                <w:sz w:val="22"/>
                <w:szCs w:val="22"/>
                <w:highlight w:val="none"/>
              </w:rPr>
            </w:pPr>
            <w:r>
              <w:rPr>
                <w:rFonts w:hint="eastAsia" w:ascii="宋体" w:hAnsi="宋体"/>
                <w:sz w:val="22"/>
                <w:szCs w:val="22"/>
                <w:highlight w:val="none"/>
              </w:rPr>
              <w:t>售后服务要求</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400" w:lineRule="exact"/>
              <w:ind w:left="210" w:hanging="220" w:hangingChars="100"/>
              <w:rPr>
                <w:rFonts w:hint="eastAsia"/>
                <w:sz w:val="22"/>
                <w:szCs w:val="22"/>
                <w:highlight w:val="none"/>
              </w:rPr>
            </w:pPr>
            <w:r>
              <w:rPr>
                <w:rFonts w:hint="eastAsia" w:ascii="宋体" w:hAnsi="宋体"/>
                <w:sz w:val="22"/>
                <w:szCs w:val="22"/>
                <w:highlight w:val="none"/>
                <w:lang w:eastAsia="zh-CN"/>
              </w:rPr>
              <w:t>（</w:t>
            </w:r>
            <w:r>
              <w:rPr>
                <w:rFonts w:hint="eastAsia" w:ascii="宋体" w:hAnsi="宋体"/>
                <w:sz w:val="22"/>
                <w:szCs w:val="22"/>
                <w:highlight w:val="none"/>
                <w:lang w:val="en-US" w:eastAsia="zh-CN"/>
              </w:rPr>
              <w:t>1</w:t>
            </w:r>
            <w:r>
              <w:rPr>
                <w:rFonts w:hint="eastAsia" w:ascii="宋体" w:hAnsi="宋体"/>
                <w:sz w:val="22"/>
                <w:szCs w:val="22"/>
                <w:highlight w:val="none"/>
                <w:lang w:eastAsia="zh-CN"/>
              </w:rPr>
              <w:t>）</w:t>
            </w:r>
            <w:r>
              <w:rPr>
                <w:rFonts w:hint="eastAsia" w:ascii="宋体" w:hAnsi="宋体" w:eastAsia="宋体" w:cs="Times New Roman"/>
                <w:sz w:val="22"/>
                <w:szCs w:val="22"/>
                <w:highlight w:val="none"/>
              </w:rPr>
              <w:t>技术支持：针对采购方问题，30分钟</w:t>
            </w:r>
            <w:r>
              <w:rPr>
                <w:rFonts w:hint="eastAsia" w:ascii="宋体" w:hAnsi="宋体" w:eastAsia="宋体" w:cs="Times New Roman"/>
                <w:sz w:val="22"/>
                <w:szCs w:val="22"/>
                <w:highlight w:val="none"/>
                <w:lang w:eastAsia="zh-CN"/>
              </w:rPr>
              <w:t>内</w:t>
            </w:r>
            <w:r>
              <w:rPr>
                <w:rFonts w:hint="eastAsia" w:ascii="宋体" w:hAnsi="宋体" w:eastAsia="宋体" w:cs="Times New Roman"/>
                <w:sz w:val="22"/>
                <w:szCs w:val="22"/>
                <w:highlight w:val="none"/>
              </w:rPr>
              <w:t>响应，1小时到现场服务，4小时解决不了问题，需提供备机代用；</w:t>
            </w:r>
          </w:p>
          <w:p>
            <w:pPr>
              <w:numPr>
                <w:ilvl w:val="0"/>
                <w:numId w:val="0"/>
              </w:numPr>
              <w:spacing w:line="360" w:lineRule="auto"/>
              <w:jc w:val="left"/>
              <w:rPr>
                <w:rFonts w:hint="eastAsia" w:ascii="宋体" w:hAnsi="宋体" w:cs="宋体"/>
                <w:bCs/>
                <w:sz w:val="22"/>
                <w:szCs w:val="22"/>
                <w:highlight w:val="none"/>
              </w:rPr>
            </w:pPr>
            <w:r>
              <w:rPr>
                <w:rFonts w:hint="eastAsia" w:ascii="宋体" w:hAnsi="宋体"/>
                <w:sz w:val="22"/>
                <w:szCs w:val="22"/>
                <w:highlight w:val="none"/>
              </w:rPr>
              <w:t>（2）中标供应商应对提供的产品，免费部署，免费培训，并提供免费咨询服务。</w:t>
            </w:r>
          </w:p>
        </w:tc>
      </w:tr>
    </w:tbl>
    <w:p>
      <w:pPr>
        <w:numPr>
          <w:ilvl w:val="0"/>
          <w:numId w:val="3"/>
        </w:numPr>
        <w:snapToGrid w:val="0"/>
        <w:spacing w:line="360" w:lineRule="exact"/>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技术要求</w:t>
      </w:r>
    </w:p>
    <w:p>
      <w:pPr>
        <w:pStyle w:val="3"/>
        <w:numPr>
          <w:ilvl w:val="0"/>
          <w:numId w:val="4"/>
        </w:numPr>
        <w:spacing w:before="0" w:after="0"/>
        <w:ind w:firstLine="444" w:firstLineChars="201"/>
        <w:rPr>
          <w:rFonts w:hint="eastAsia" w:ascii="宋体" w:hAnsi="宋体" w:eastAsia="宋体" w:cs="宋体"/>
          <w:sz w:val="22"/>
          <w:szCs w:val="22"/>
          <w:highlight w:val="none"/>
        </w:rPr>
      </w:pPr>
      <w:bookmarkStart w:id="0" w:name="_Toc12807"/>
      <w:r>
        <w:rPr>
          <w:rFonts w:hint="eastAsia" w:ascii="宋体" w:hAnsi="宋体" w:eastAsia="宋体" w:cs="宋体"/>
          <w:sz w:val="22"/>
          <w:szCs w:val="22"/>
          <w:highlight w:val="none"/>
        </w:rPr>
        <w:t>项目概况</w:t>
      </w:r>
      <w:bookmarkEnd w:id="0"/>
    </w:p>
    <w:p>
      <w:pPr>
        <w:pStyle w:val="8"/>
        <w:numPr>
          <w:ilvl w:val="0"/>
          <w:numId w:val="5"/>
        </w:numPr>
        <w:spacing w:line="360" w:lineRule="auto"/>
        <w:ind w:firstLineChars="0"/>
        <w:rPr>
          <w:sz w:val="22"/>
          <w:szCs w:val="22"/>
          <w:highlight w:val="none"/>
        </w:rPr>
      </w:pPr>
      <w:r>
        <w:rPr>
          <w:rFonts w:hint="eastAsia"/>
          <w:sz w:val="22"/>
          <w:szCs w:val="22"/>
          <w:highlight w:val="none"/>
        </w:rPr>
        <w:t>本项目现场</w:t>
      </w:r>
      <w:r>
        <w:rPr>
          <w:rFonts w:hint="eastAsia"/>
          <w:sz w:val="22"/>
          <w:szCs w:val="22"/>
          <w:highlight w:val="none"/>
          <w:lang w:val="en-US" w:eastAsia="zh-CN"/>
        </w:rPr>
        <w:t>情况复杂，覆盖区域包括校区后山上及半山腰一圈，全校区围墙一圈及校内公共区域，教学楼，宿舍楼区域及对应的公共区域，</w:t>
      </w:r>
      <w:r>
        <w:rPr>
          <w:rFonts w:hint="eastAsia"/>
          <w:sz w:val="22"/>
          <w:szCs w:val="22"/>
          <w:highlight w:val="none"/>
        </w:rPr>
        <w:t>各供应商</w:t>
      </w:r>
      <w:r>
        <w:rPr>
          <w:rFonts w:hint="eastAsia"/>
          <w:sz w:val="22"/>
          <w:szCs w:val="22"/>
          <w:highlight w:val="none"/>
          <w:lang w:val="en-US" w:eastAsia="zh-CN"/>
        </w:rPr>
        <w:t>需要</w:t>
      </w:r>
      <w:r>
        <w:rPr>
          <w:rFonts w:hint="eastAsia"/>
          <w:sz w:val="22"/>
          <w:szCs w:val="22"/>
          <w:highlight w:val="none"/>
        </w:rPr>
        <w:t>实地进行踏勘以获取准确的</w:t>
      </w:r>
      <w:r>
        <w:rPr>
          <w:rFonts w:hint="eastAsia"/>
          <w:sz w:val="22"/>
          <w:szCs w:val="22"/>
          <w:highlight w:val="none"/>
          <w:lang w:eastAsia="zh-CN"/>
        </w:rPr>
        <w:t>磋商响应</w:t>
      </w:r>
      <w:r>
        <w:rPr>
          <w:rFonts w:hint="eastAsia"/>
          <w:sz w:val="22"/>
          <w:szCs w:val="22"/>
          <w:highlight w:val="none"/>
        </w:rPr>
        <w:t>依据</w:t>
      </w:r>
      <w:r>
        <w:rPr>
          <w:rFonts w:hint="eastAsia"/>
          <w:sz w:val="22"/>
          <w:szCs w:val="22"/>
          <w:highlight w:val="none"/>
          <w:lang w:eastAsia="zh-CN"/>
        </w:rPr>
        <w:t>。</w:t>
      </w:r>
    </w:p>
    <w:p>
      <w:pPr>
        <w:pStyle w:val="8"/>
        <w:numPr>
          <w:ilvl w:val="0"/>
          <w:numId w:val="5"/>
        </w:numPr>
        <w:spacing w:line="360" w:lineRule="auto"/>
        <w:ind w:firstLineChars="0"/>
        <w:rPr>
          <w:sz w:val="22"/>
          <w:szCs w:val="22"/>
          <w:highlight w:val="none"/>
        </w:rPr>
      </w:pPr>
      <w:r>
        <w:rPr>
          <w:rFonts w:hint="eastAsia"/>
          <w:sz w:val="22"/>
          <w:szCs w:val="22"/>
          <w:highlight w:val="none"/>
          <w:lang w:eastAsia="zh-CN"/>
        </w:rPr>
        <w:t>响应供应商</w:t>
      </w:r>
      <w:r>
        <w:rPr>
          <w:rFonts w:hint="eastAsia"/>
          <w:sz w:val="22"/>
          <w:szCs w:val="22"/>
          <w:highlight w:val="none"/>
        </w:rPr>
        <w:t>应对每个指标项的偏离情况做</w:t>
      </w:r>
      <w:r>
        <w:rPr>
          <w:rFonts w:hint="eastAsia"/>
          <w:sz w:val="22"/>
          <w:szCs w:val="22"/>
          <w:highlight w:val="none"/>
          <w:lang w:eastAsia="zh-CN"/>
        </w:rPr>
        <w:t>对应响应说明，</w:t>
      </w:r>
      <w:r>
        <w:rPr>
          <w:rFonts w:hint="eastAsia"/>
          <w:sz w:val="22"/>
          <w:szCs w:val="22"/>
          <w:highlight w:val="none"/>
          <w:lang w:val="en-US" w:eastAsia="zh-CN"/>
        </w:rPr>
        <w:t>所有技术条款均要</w:t>
      </w:r>
      <w:r>
        <w:rPr>
          <w:rFonts w:hint="eastAsia"/>
          <w:sz w:val="22"/>
          <w:szCs w:val="22"/>
          <w:highlight w:val="none"/>
        </w:rPr>
        <w:t>不得遗漏；</w:t>
      </w:r>
      <w:r>
        <w:rPr>
          <w:rFonts w:hint="eastAsia"/>
          <w:sz w:val="22"/>
          <w:szCs w:val="22"/>
          <w:highlight w:val="none"/>
          <w:lang w:eastAsia="zh-CN"/>
        </w:rPr>
        <w:t>响应</w:t>
      </w:r>
      <w:r>
        <w:rPr>
          <w:rFonts w:hint="eastAsia"/>
          <w:sz w:val="22"/>
          <w:szCs w:val="22"/>
          <w:highlight w:val="none"/>
        </w:rPr>
        <w:t>文件中的任一技术规格参数指标须真实</w:t>
      </w:r>
      <w:r>
        <w:rPr>
          <w:rFonts w:hint="eastAsia"/>
          <w:sz w:val="22"/>
          <w:szCs w:val="22"/>
          <w:highlight w:val="none"/>
          <w:lang w:eastAsia="zh-CN"/>
        </w:rPr>
        <w:t>。</w:t>
      </w:r>
    </w:p>
    <w:p>
      <w:pPr>
        <w:pStyle w:val="8"/>
        <w:numPr>
          <w:ilvl w:val="0"/>
          <w:numId w:val="5"/>
        </w:numPr>
        <w:spacing w:line="360" w:lineRule="auto"/>
        <w:ind w:firstLineChars="0"/>
        <w:rPr>
          <w:sz w:val="22"/>
          <w:szCs w:val="22"/>
          <w:highlight w:val="none"/>
          <w:u w:val="single"/>
        </w:rPr>
      </w:pPr>
      <w:r>
        <w:rPr>
          <w:rFonts w:hint="eastAsia" w:ascii="宋体" w:hAnsi="宋体" w:cs="宋体"/>
          <w:bCs/>
          <w:spacing w:val="-6"/>
          <w:sz w:val="22"/>
          <w:szCs w:val="22"/>
          <w:highlight w:val="none"/>
          <w:u w:val="single"/>
        </w:rPr>
        <w:t>▲</w:t>
      </w:r>
      <w:r>
        <w:rPr>
          <w:rFonts w:hint="eastAsia"/>
          <w:sz w:val="22"/>
          <w:szCs w:val="22"/>
          <w:highlight w:val="none"/>
          <w:u w:val="single"/>
          <w:lang w:val="en-US" w:eastAsia="zh-CN"/>
        </w:rPr>
        <w:t>为后期运维便捷，所有设备均需要和原有平台</w:t>
      </w:r>
      <w:r>
        <w:rPr>
          <w:rFonts w:hint="eastAsia"/>
          <w:sz w:val="22"/>
          <w:szCs w:val="22"/>
          <w:highlight w:val="none"/>
          <w:u w:val="single"/>
        </w:rPr>
        <w:t>系统无缝接入，否则，甲方有权废除中标结果。</w:t>
      </w:r>
    </w:p>
    <w:p>
      <w:pPr>
        <w:pStyle w:val="8"/>
        <w:numPr>
          <w:ilvl w:val="0"/>
          <w:numId w:val="5"/>
        </w:numPr>
        <w:spacing w:line="360" w:lineRule="auto"/>
        <w:ind w:firstLineChars="0"/>
        <w:rPr>
          <w:rFonts w:hint="eastAsia"/>
          <w:sz w:val="22"/>
          <w:szCs w:val="22"/>
          <w:highlight w:val="none"/>
          <w:lang w:eastAsia="zh-CN"/>
        </w:rPr>
      </w:pPr>
      <w:r>
        <w:rPr>
          <w:rFonts w:hint="eastAsia"/>
          <w:sz w:val="22"/>
          <w:szCs w:val="22"/>
          <w:highlight w:val="none"/>
          <w:lang w:eastAsia="zh-CN"/>
        </w:rPr>
        <w:t>本项目为交钥匙工程，报价包含</w:t>
      </w:r>
      <w:r>
        <w:rPr>
          <w:rFonts w:hint="eastAsia"/>
          <w:sz w:val="22"/>
          <w:szCs w:val="22"/>
          <w:highlight w:val="none"/>
          <w:lang w:val="en-US" w:eastAsia="zh-CN"/>
        </w:rPr>
        <w:t>设备、</w:t>
      </w:r>
      <w:r>
        <w:rPr>
          <w:rFonts w:hint="eastAsia"/>
          <w:sz w:val="22"/>
          <w:szCs w:val="22"/>
          <w:highlight w:val="none"/>
          <w:lang w:eastAsia="zh-CN"/>
        </w:rPr>
        <w:t>支架、所有安装（此项目涉及高空</w:t>
      </w:r>
      <w:r>
        <w:rPr>
          <w:rFonts w:hint="eastAsia"/>
          <w:sz w:val="22"/>
          <w:szCs w:val="22"/>
          <w:highlight w:val="none"/>
          <w:lang w:val="en-US" w:eastAsia="zh-CN"/>
        </w:rPr>
        <w:t>及地表开槽</w:t>
      </w:r>
      <w:r>
        <w:rPr>
          <w:rFonts w:hint="eastAsia"/>
          <w:sz w:val="22"/>
          <w:szCs w:val="22"/>
          <w:highlight w:val="none"/>
          <w:lang w:eastAsia="zh-CN"/>
        </w:rPr>
        <w:t>作业，报价</w:t>
      </w:r>
      <w:r>
        <w:rPr>
          <w:rFonts w:hint="eastAsia"/>
          <w:sz w:val="22"/>
          <w:szCs w:val="22"/>
          <w:highlight w:val="none"/>
          <w:lang w:val="en-US" w:eastAsia="zh-CN"/>
        </w:rPr>
        <w:t>需要包</w:t>
      </w:r>
      <w:r>
        <w:rPr>
          <w:rFonts w:hint="eastAsia"/>
          <w:sz w:val="22"/>
          <w:szCs w:val="22"/>
          <w:highlight w:val="none"/>
          <w:lang w:eastAsia="zh-CN"/>
        </w:rPr>
        <w:t>含</w:t>
      </w:r>
      <w:r>
        <w:rPr>
          <w:rFonts w:hint="eastAsia"/>
          <w:sz w:val="22"/>
          <w:szCs w:val="22"/>
          <w:highlight w:val="none"/>
          <w:lang w:val="en-US" w:eastAsia="zh-CN"/>
        </w:rPr>
        <w:t>所有</w:t>
      </w:r>
      <w:r>
        <w:rPr>
          <w:rFonts w:hint="eastAsia"/>
          <w:sz w:val="22"/>
          <w:szCs w:val="22"/>
          <w:highlight w:val="none"/>
          <w:lang w:eastAsia="zh-CN"/>
        </w:rPr>
        <w:t>高空</w:t>
      </w:r>
      <w:r>
        <w:rPr>
          <w:rFonts w:hint="eastAsia"/>
          <w:sz w:val="22"/>
          <w:szCs w:val="22"/>
          <w:highlight w:val="none"/>
          <w:lang w:val="en-US" w:eastAsia="zh-CN"/>
        </w:rPr>
        <w:t>地面开槽</w:t>
      </w:r>
      <w:r>
        <w:rPr>
          <w:rFonts w:hint="eastAsia"/>
          <w:sz w:val="22"/>
          <w:szCs w:val="22"/>
          <w:highlight w:val="none"/>
          <w:lang w:eastAsia="zh-CN"/>
        </w:rPr>
        <w:t>作业费用）、调试、人工、</w:t>
      </w:r>
      <w:r>
        <w:rPr>
          <w:rFonts w:hint="eastAsia"/>
          <w:sz w:val="22"/>
          <w:szCs w:val="22"/>
          <w:highlight w:val="none"/>
          <w:lang w:val="en-US" w:eastAsia="zh-CN"/>
        </w:rPr>
        <w:t>线材辅材</w:t>
      </w:r>
      <w:r>
        <w:rPr>
          <w:rFonts w:hint="eastAsia"/>
          <w:sz w:val="22"/>
          <w:szCs w:val="22"/>
          <w:highlight w:val="none"/>
          <w:lang w:eastAsia="zh-CN"/>
        </w:rPr>
        <w:t>材料</w:t>
      </w:r>
      <w:r>
        <w:rPr>
          <w:rFonts w:hint="eastAsia"/>
          <w:sz w:val="22"/>
          <w:szCs w:val="22"/>
          <w:highlight w:val="none"/>
          <w:lang w:val="en-US" w:eastAsia="zh-CN"/>
        </w:rPr>
        <w:t>税点</w:t>
      </w:r>
      <w:r>
        <w:rPr>
          <w:rFonts w:hint="eastAsia"/>
          <w:sz w:val="22"/>
          <w:szCs w:val="22"/>
          <w:highlight w:val="none"/>
          <w:lang w:eastAsia="zh-CN"/>
        </w:rPr>
        <w:t>等所有费用，</w:t>
      </w:r>
      <w:r>
        <w:rPr>
          <w:rFonts w:hint="eastAsia"/>
          <w:sz w:val="22"/>
          <w:szCs w:val="22"/>
          <w:highlight w:val="none"/>
          <w:lang w:val="en-US" w:eastAsia="zh-CN"/>
        </w:rPr>
        <w:t>因线材辅材需求量大，为保交付质量，所有线材辅材</w:t>
      </w:r>
      <w:r>
        <w:rPr>
          <w:rFonts w:hint="eastAsia"/>
          <w:color w:val="auto"/>
          <w:sz w:val="22"/>
          <w:szCs w:val="22"/>
          <w:highlight w:val="none"/>
          <w:lang w:val="en-US" w:eastAsia="zh-CN"/>
        </w:rPr>
        <w:t>须要用符合技术参数要求且满足国标标准的线材辅材。</w:t>
      </w:r>
    </w:p>
    <w:p>
      <w:pPr>
        <w:numPr>
          <w:ilvl w:val="0"/>
          <w:numId w:val="6"/>
        </w:numPr>
        <w:spacing w:line="400" w:lineRule="exact"/>
        <w:ind w:left="210" w:hanging="220" w:hangingChars="100"/>
        <w:rPr>
          <w:rFonts w:hint="eastAsia"/>
          <w:sz w:val="22"/>
          <w:szCs w:val="22"/>
          <w:highlight w:val="none"/>
        </w:rPr>
      </w:pPr>
      <w:r>
        <w:rPr>
          <w:rFonts w:hint="eastAsia"/>
          <w:sz w:val="22"/>
          <w:szCs w:val="22"/>
          <w:highlight w:val="none"/>
          <w:lang w:val="en-US" w:eastAsia="zh-CN"/>
        </w:rPr>
        <w:t>为确保后期维护运维及时有效，供应商</w:t>
      </w:r>
      <w:r>
        <w:rPr>
          <w:rFonts w:hint="eastAsia" w:ascii="宋体" w:hAnsi="宋体" w:cs="宋体"/>
          <w:sz w:val="22"/>
          <w:szCs w:val="22"/>
          <w:highlight w:val="none"/>
        </w:rPr>
        <w:t>须有</w:t>
      </w:r>
      <w:r>
        <w:rPr>
          <w:rFonts w:hint="eastAsia" w:ascii="宋体" w:hAnsi="宋体" w:cs="宋体"/>
          <w:sz w:val="22"/>
          <w:szCs w:val="22"/>
          <w:highlight w:val="none"/>
          <w:lang w:val="en-US" w:eastAsia="zh-CN"/>
        </w:rPr>
        <w:t>自己的技术</w:t>
      </w:r>
      <w:r>
        <w:rPr>
          <w:rFonts w:hint="eastAsia" w:ascii="宋体" w:hAnsi="宋体" w:cs="宋体"/>
          <w:sz w:val="22"/>
          <w:szCs w:val="22"/>
          <w:highlight w:val="none"/>
        </w:rPr>
        <w:t>运维团队，</w:t>
      </w:r>
      <w:r>
        <w:rPr>
          <w:rFonts w:hint="eastAsia" w:ascii="宋体" w:hAnsi="宋体" w:cs="宋体"/>
          <w:sz w:val="22"/>
          <w:szCs w:val="22"/>
          <w:highlight w:val="none"/>
          <w:lang w:val="en-US" w:eastAsia="zh-CN"/>
        </w:rPr>
        <w:t>技术</w:t>
      </w:r>
      <w:r>
        <w:rPr>
          <w:rFonts w:hint="eastAsia" w:ascii="宋体" w:hAnsi="宋体" w:cs="宋体"/>
          <w:sz w:val="22"/>
          <w:szCs w:val="22"/>
          <w:highlight w:val="none"/>
        </w:rPr>
        <w:t>团队人员不少于10人，提供工程师证书以及社保证明</w:t>
      </w:r>
      <w:r>
        <w:rPr>
          <w:rFonts w:hint="eastAsia"/>
          <w:sz w:val="22"/>
          <w:szCs w:val="22"/>
          <w:highlight w:val="none"/>
        </w:rPr>
        <w:t>，要求</w:t>
      </w:r>
      <w:r>
        <w:rPr>
          <w:sz w:val="22"/>
          <w:szCs w:val="22"/>
          <w:highlight w:val="none"/>
        </w:rPr>
        <w:t>30</w:t>
      </w:r>
      <w:r>
        <w:rPr>
          <w:rFonts w:hint="eastAsia"/>
          <w:sz w:val="22"/>
          <w:szCs w:val="22"/>
          <w:highlight w:val="none"/>
        </w:rPr>
        <w:t>分钟</w:t>
      </w:r>
      <w:r>
        <w:rPr>
          <w:rFonts w:hint="eastAsia"/>
          <w:sz w:val="22"/>
          <w:szCs w:val="22"/>
          <w:highlight w:val="none"/>
          <w:lang w:eastAsia="zh-CN"/>
        </w:rPr>
        <w:t>内</w:t>
      </w:r>
      <w:r>
        <w:rPr>
          <w:rFonts w:hint="eastAsia"/>
          <w:sz w:val="22"/>
          <w:szCs w:val="22"/>
          <w:highlight w:val="none"/>
        </w:rPr>
        <w:t>响应，</w:t>
      </w:r>
      <w:r>
        <w:rPr>
          <w:sz w:val="22"/>
          <w:szCs w:val="22"/>
          <w:highlight w:val="none"/>
        </w:rPr>
        <w:t>1</w:t>
      </w:r>
      <w:r>
        <w:rPr>
          <w:rFonts w:hint="eastAsia"/>
          <w:sz w:val="22"/>
          <w:szCs w:val="22"/>
          <w:highlight w:val="none"/>
        </w:rPr>
        <w:t>小时到现场服务，</w:t>
      </w:r>
      <w:r>
        <w:rPr>
          <w:sz w:val="22"/>
          <w:szCs w:val="22"/>
          <w:highlight w:val="none"/>
        </w:rPr>
        <w:t>4</w:t>
      </w:r>
      <w:r>
        <w:rPr>
          <w:rFonts w:hint="eastAsia"/>
          <w:sz w:val="22"/>
          <w:szCs w:val="22"/>
          <w:highlight w:val="none"/>
        </w:rPr>
        <w:t>小时解决不了问题，需提供备机代用；</w:t>
      </w:r>
    </w:p>
    <w:p>
      <w:pPr>
        <w:pStyle w:val="2"/>
        <w:widowControl w:val="0"/>
        <w:numPr>
          <w:ilvl w:val="0"/>
          <w:numId w:val="0"/>
        </w:numPr>
        <w:adjustRightInd w:val="0"/>
        <w:spacing w:line="400" w:lineRule="atLeast"/>
        <w:jc w:val="both"/>
        <w:textAlignment w:val="baseline"/>
        <w:rPr>
          <w:highlight w:val="none"/>
        </w:rPr>
      </w:pPr>
    </w:p>
    <w:tbl>
      <w:tblPr>
        <w:tblStyle w:val="6"/>
        <w:tblW w:w="110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0"/>
        <w:gridCol w:w="789"/>
        <w:gridCol w:w="7747"/>
        <w:gridCol w:w="437"/>
        <w:gridCol w:w="766"/>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0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78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设备名称</w:t>
            </w:r>
          </w:p>
        </w:tc>
        <w:tc>
          <w:tcPr>
            <w:tcW w:w="774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技术参数</w:t>
            </w:r>
          </w:p>
        </w:tc>
        <w:tc>
          <w:tcPr>
            <w:tcW w:w="43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766" w:type="dxa"/>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87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jc w:val="center"/>
        </w:trPr>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网络高清摄像机</w:t>
            </w:r>
          </w:p>
        </w:tc>
        <w:tc>
          <w:tcPr>
            <w:tcW w:w="7747" w:type="dxa"/>
            <w:tcBorders>
              <w:top w:val="single" w:color="000000" w:sz="4" w:space="0"/>
              <w:left w:val="single" w:color="000000" w:sz="4" w:space="0"/>
              <w:bottom w:val="single" w:color="000000" w:sz="4" w:space="0"/>
              <w:right w:val="single" w:color="000000" w:sz="4" w:space="0"/>
            </w:tcBorders>
            <w:noWrap w:val="0"/>
            <w:vAlign w:val="center"/>
          </w:tcPr>
          <w:p>
            <w:pPr>
              <w:pStyle w:val="4"/>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400万 1/1.8" AI轻智能全彩筒型网络摄像机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★内置GPU芯片（提供第三方检验报告证明（复印件加盖供应商公章））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支持智能资源模式切换：人脸抓拍模式，道路监控模式，Smart事件模式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人脸抓拍模式：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a)支持对运动人脸进行检测、跟踪、抓拍、评分、筛选，输出最优的人脸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b)支持人脸去误报、快速抓拍人脸，人脸检出率不小于99%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c)★支持侧脸过滤功能，可过滤上下、左右角度达到预设值的人脸（提供第三方检验报告证明（复印件加盖供应商公章））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d)★支持单场景同时检出不少于30张人脸图片，并支持面部跟踪（提供第三方检验报告证明（复印件加盖供应商公章））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e)支持人脸去重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道路监控模式：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a)车辆检测：支持车牌识别并抓拍，车型/车品牌/车身颜色/车牌颜色识别</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b)混行检测：检测正向或逆向行驶的车辆以及行人和非机动车，自动对车辆牌照进行识别，可以抓拍无车牌的车辆图片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c)支持卡口和出入口模式切换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Smart事件模式：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a)支持越界侦测，区域入侵侦测，进入区域侦测，离开区域侦测，物品遗留侦测，物品拿取侦测，徘徊侦测，人员聚集侦测，快速运动侦测，停车侦测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b)★需具备智能分析抗干扰功能，当篮球、小狗、树摇晃等情况经过检测区域时，不会触发报警（提供第三方检验报告证明（复印件加盖供应商公章））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c)★支持声光报警功能，当报警产生时，可在布防时间内联动声音警报和/或白光闪烁；报警声音类型不小于11种，报警音量和重复次数可设置（提供第三方检验报告证明（复印件加盖供应商公章））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★具有不小于1/1.8"靶面尺寸，像元尺寸不小于2.9um×2.9um（提供第三方检验报告证明（复印件加盖供应商公章））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最低照度: 彩色：0.0005 Lux @（F1.0，AGC ON）；黑白：0.0001 Lux @（F1.0，AGC ON），0 Lux with Light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宽动态: 120dB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焦距&amp;视场角: 3.3-9mm，水平视场角：92.3°~48°，垂直视场角：48.4°~27°，对角线视场角：112.2°~55°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★镜头支持电动变焦，并可对拍摄物体进行自动聚焦，光圈大小为F1.0（提供第三方检验报告证明（复印件加盖供应商公章））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补光灯类型: 暖白光，补光距离: 普通监控：30 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★在彩色模式下，当环境照度降低至设定阈值，可自动开启白光补光灯，在白天、夜晚均可输出彩色视频图像（提供第三方检验报告证明（复印件加盖供应商公章））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最大图像尺寸: 2560 × 1440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视频压缩标准: H.265/H.264/MJPEG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★设备具有耀光抑制功能，耀光区域≤1%（提供第三方检验报告证明（复印件加盖供应商公章））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网络存储: 支持Micro SD(即TF卡)/Micro SDHC/Micro SDXC卡（最大256 GB）断网本地存储及断网续传，NAS（NFS，SMB/CIFS均支持），配合海康黑卡支持SD卡加密及SD卡状态检测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网络: 1个RJ45 10 M/100 M自适应以太网口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音频: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路输入（Line in），1路输出（Line out）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★内置2个麦克风、1个扬声器（提供第三方检验报告证明（复印件加盖供应商公章））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接口类型: 外甩线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报警: 3路输入，2路输出（报警输入支持开关量，报警输出最大支持DC12 V，30 mA）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支持RS-485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复位: 支持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电源输出: DC12 V，100 mA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电流及功耗: DC：12 V，1.1 A，最大功耗：13.2 W ；PoE：802.3at，42.5 V~57 V，0.39 A~0.29 A，最大功耗：16.4 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线缆长度: 35cm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电源接口类型: 3芯接口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启动和工作温湿度: -30 ℃~60 ℃，湿度小于95%(无凝结)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供电方式: DC：12V±20% ，支持防反接保护； PoE：802.3at,Type 2 Class 4</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★防护: IP67，采用金属外壳（提供第三方检验报告证明（复印件加盖供应商公章））</w:t>
            </w:r>
          </w:p>
        </w:tc>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40倍高清球机</w:t>
            </w:r>
          </w:p>
        </w:tc>
        <w:tc>
          <w:tcPr>
            <w:tcW w:w="774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摄像机靶面尺寸不小于1/2.8英寸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★视频输出支持2560×1440@25fps，分辨力不小于1400TVL，红外距离可达300米（提供第三方检验报告证明（复印件加盖供应商公章））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支持40倍光学变焦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★支持最低照度可达彩色0.0002Lux，黑白0.0001Lux（提供第三方检验报告证明（复印件加盖供应商公章））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★支持水平手控速度不小于550°/S，垂直速度不小于120°/S，云台定位精度为±0.1°（提供第三方检验报告证明（复印件加盖供应商公章））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水平旋转范围为360°连续旋转，垂直旋转范围为-20°~90°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支持300个预置位，可按照所设置的预置位完成不小于8条巡航路径，支持不小于4条模式路径设置，支持预置位视频冻结功能；可实现RS485接口优先或RJ45网络接口优先控制功能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样机可对设定区域内的运动目标在设定时间内持续跟踪，使该目标处于主视频图像中，样机可自动调节变倍，可对该目标抓拍图片并可手动切换跟踪目标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★信噪比≥63dB，网络延时不大于100ms（提供第三方检验报告证明（复印件加盖供应商公章））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★动态范围不小于106dB，照度适应范围不小于138dB，宽动态能力综合得分不小于135（提供第三方检验报告证明（复印件加盖供应商公章））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★样机与客户端之间用150m五类非屏蔽网线直接连接，网络传输能力满足发送1500个数据包，重复测试3次，每次丢包数不大于1个（提供第三方检验报告证明（复印件加盖供应商公章））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★具备较强的网络自适应能力，在丢包率为20%的网络环境下，仍可正常显示监视画面。（提供第三方检验报告证明（复印件加盖供应商公章））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支持智能红外、透雾、强光抑制、电子防抖、数字降噪、防红外过曝功能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支持区域遮盖功能，支持设置不少于24个不规则四边形区域，可设置不同颜色；支持3D定位、断电记忆功能；支持IP地址访问控制功能，支持定时抓图或报警联动抓图上传ftp功能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球机应具备本机存储功能，支持SD卡热插拔，最大支持256GB（提供第三方检验报告证明（复印件加盖供应商公章））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支持采用H.265、H.264视频编码标准，H.264编码支持Baseline/Main/High Profile，音频编码支持G.711ulaw/G.711alaw/G.726/G.722.1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支持三码流同时输出，主码流、第三码流同时支持2560×1440@30fps，2048×1536@30fps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支持GB28181协议，支持标准Onvif协议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支持区域入侵、越界入侵、徘徊、物品移除、物品遗留、人员聚集、停车，并联动报警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具备较好的防护性能环境适应性，支持IP67，8kV防浪涌，工作温度范围可达-45℃-70℃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具备较好的电源适应性，电压在AC24V±30%或DC24V±30%范围内变化时，设备可正常工作（提供第三方检验报告证明（复印件加盖供应商公章））</w:t>
            </w:r>
          </w:p>
        </w:tc>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球机支架</w:t>
            </w:r>
          </w:p>
        </w:tc>
        <w:tc>
          <w:tcPr>
            <w:tcW w:w="7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壁装支架/白色/铝合金/尺寸306.3×97.3×182.6mm</w:t>
            </w:r>
          </w:p>
        </w:tc>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摄像机延长支架</w:t>
            </w:r>
          </w:p>
        </w:tc>
        <w:tc>
          <w:tcPr>
            <w:tcW w:w="7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不朽钢支架1.5米</w:t>
            </w:r>
          </w:p>
        </w:tc>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含抱箍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摄像机支架</w:t>
            </w:r>
          </w:p>
        </w:tc>
        <w:tc>
          <w:tcPr>
            <w:tcW w:w="7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定制不朽钢支架</w:t>
            </w:r>
          </w:p>
        </w:tc>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128路智能硬盘录像机-（含21块8T硬盘）</w:t>
            </w:r>
          </w:p>
        </w:tc>
        <w:tc>
          <w:tcPr>
            <w:tcW w:w="7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硬件规格：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4U标准机架式，7寸LCD液晶显示屏，冗余电源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2个HDMI、1个VGA；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HDMI+VGA组内同源，支持双4K异源输出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24盘位，最高可满配12TB硬盘，支持硬盘热插拔</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已内置21块8T AI盘，满足项目人脸比对及存储需求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4个千兆网口、1个USB2.0接口、2个USB3.0接口、1个eSATA接口，2个miniSAS接口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支持RAID0、1、5、6、10，支持全局热备盘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IO报警：48进24出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软件性能：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输入带宽：512M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128路H.265、H.264混合接入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最大支持20×1080P解码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支持H.265、H.264、SVAC混合解码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支持人脸、视频结构化、周界模式、高空抛物四种算法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一、人脸模式性能：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 96 路视频流人脸识别，支持 128 路图片流人脸识别。8个GPU条件下，人脸库建模速度不低于500张/秒（提供第三方检验报告证明（复印件加盖供应商公章））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64个人脸名单库，总库容50万张；路人档案30万份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★支持人脸抓拍库（存储于硬盘中）存储5000万条人脸抓拍历史记录（提供第三方检验报告证明（复印件加盖供应商公章））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路人库一人一档功能；设备将陌生人自动归入到路人库，并统计和展示每个陌生人出现的次数，多次出现的陌生人，设备自动选取一张最优人脸图片入库，可点击次数信息展示每次抓拍的图片和时间以及人脸属性信息（提供第三方检验报告证明（复印件加盖供应商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支持陌生人报警、人员频次统计、人脸签到和考勤、人脸1V1比对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★支持人脸轨迹功能，在人脸比对成功后，可在图上展示人员行动轨迹（提供第三方检验报告证明（复印件加盖供应商公章））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支持以脸搜脸、按姓名检索、按属性检索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二、周界防范模式性能：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支持最大96路周界报警（越界、区域入侵）去误报分析（200W）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常规距离、中距离、远距离三种检测模式；根据不同的检测距离，在配置界面给出最小可检出人体目标尺寸，单个通道最多同时支持4种周界报警模式，每种模式最多同时支持4个警戒区域。（提供第三方检验报告证明（复印件加盖供应商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周界报警过滤功能，对IPC上报的越界侦测报警和区域入侵报警进行去误报，可去除由树叶、灯光、车辆、阴影以及小动物引起的误报；最大支持128路；（提供第三方检验报告证明（复印件加盖供应商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三、视频结构化模式性能：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48路视频流实时人脸、人体、车辆结构化分析（200W）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1)支持人脸分析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2)支持人体分析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本地展示人体属性（性别、年龄段、上衣颜色、骑车、背包、戴眼镜）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可上传平台的人体属性（性别、年龄段、上衣颜色、骑车、背包、戴眼镜、下衣颜色、上衣类型、下衣类型、发型、戴帽子、戴口罩、拎东西、骑车人数、骑车类型）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支持人体建模，支持以人搜人，支持按属性检索人体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3)支持车辆分析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本地展示同可上传平台属性（车牌号码、车牌类型、车牌颜色、车身颜色、车辆类型、车辆主品牌）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支持车辆名单报警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支持按属性检索车辆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四、高空抛物模式：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实时监测：支持后智能高空抛物实时分析报警弹窗、上传平台；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事件溯源：支持同屏预览界面快速回放抛物轨迹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证据留存：支持高空抛物事件录像和图片快速检索、导出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最大可接入128路高空抛物行为检测的IPC，可联动录像、抓图、蜂鸣报警、预置点、邮件、本地报警输出、IPC报警输出以及日志记录；支持按通道，日期对高空抛物行为进行录像检索，以及关联录像回放，并导出图片（提供第三方检验报告证明（复印件加盖供应商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支持最大48路高空抛物后智能分析。</w:t>
            </w:r>
          </w:p>
        </w:tc>
        <w:tc>
          <w:tcPr>
            <w:tcW w:w="43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中心监控交换机（光口）</w:t>
            </w:r>
          </w:p>
        </w:tc>
        <w:tc>
          <w:tcPr>
            <w:tcW w:w="7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千兆以太网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应用层级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二层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背板带宽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44Gbps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包转发率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32.7Mpps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硬件参数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接口数目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传输速率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10M/100M/1000Mbps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网络与软件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MAC地址表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8K</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其它参数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电源电压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AC 100-240V，50-60Hz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外形尺寸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440×173×44mm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其它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工作温度：0-40℃，工作湿度：5%-95%（无凝结），存储温度：-40-70℃</w:t>
            </w:r>
          </w:p>
        </w:tc>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24口POE交换机</w:t>
            </w:r>
          </w:p>
        </w:tc>
        <w:tc>
          <w:tcPr>
            <w:tcW w:w="7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产品类型 POE交换机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应用层级 二层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交换方式 存储-转发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包转发率 38.688Mpps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MAC地址表 8K</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端口参数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端口数量 26个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端口描述 24个千兆PoE电口，1个千兆电口，1个千兆光口，MDI/MDI-X自适应</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传输模式 全双工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功能特性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网络标准 IEEE 802.3，IEEE 802.3u，IEEE 802.3x，IEEE802.3ab，IEEE802.3z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其它参数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状态指示灯 PWR灯，PoE-MAX灯，LINK/ACT灯，PoE灯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电源电压 AC 100-240V，50/60Hz，最大6.5A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电源功率 端口最大供电：30W，整机最大供电：370W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产品尺寸 440×44×220.8mm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产品重量 2.88kg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环境标准 操作温度：0℃-40℃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存储温度：-40℃-85℃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相对湿度：5%-95%（非凝结）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其它参数 交换容量：52Gbps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内部缓存：4.1Mbits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供电标准：IEEE 802.3af，IEEE 802.3at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供电线芯：网线的1/2/3/6供电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支持6KV防浪涌（PoE口）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支持PoE输出功率管理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其它特点 外壳：金属材质，无风扇</w:t>
            </w:r>
          </w:p>
        </w:tc>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8口千兆交换机</w:t>
            </w:r>
          </w:p>
        </w:tc>
        <w:tc>
          <w:tcPr>
            <w:tcW w:w="7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提供8个千兆PoE电口，1个千兆电口，1个千兆光口。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支持IEEE 802.3at/af。</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支持IEEE 802.3、IEEE 802.3u、IEEE 802.3x、IEEE802.3ab、IEEE802.3z。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支持6 KV防浪涌（PoE口）。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支持PoE输出功率管理。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千兆网络接入设计。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线速转发、无阻塞设计。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存储转发交换方式。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坚固式高强度金属外壳。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无风扇设计，高可靠性。</w:t>
            </w:r>
          </w:p>
        </w:tc>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光模块</w:t>
            </w:r>
          </w:p>
        </w:tc>
        <w:tc>
          <w:tcPr>
            <w:tcW w:w="7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光模块-SFP-GE-单模模块-(1310nm,10km,LC)</w:t>
            </w:r>
          </w:p>
        </w:tc>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24口光纤配线架</w:t>
            </w:r>
          </w:p>
        </w:tc>
        <w:tc>
          <w:tcPr>
            <w:tcW w:w="7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1.符合ISO/11801,ANSI/TIA568-C.3,YD/T778的标准要求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2.材料：优质冷轧钢板；表面颜色：黑色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3.端口数量：24位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4.端口类型：ST、FC、SC、LC双工，不含适配器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5.安装方式:19"机架式安装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6.进出光纤方便灵活，有充裕的光纤盘存空间，光纤和尾纤弯曲半径不小于30mm</w:t>
            </w:r>
          </w:p>
        </w:tc>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室外监控箱</w:t>
            </w:r>
          </w:p>
        </w:tc>
        <w:tc>
          <w:tcPr>
            <w:tcW w:w="7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定制及箱内配件（户外不锈钢防雨箱400*300*180配电箱室外箱防水防雨箱监控设备箱</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304材质 0.5-0.6厚度）</w:t>
            </w:r>
          </w:p>
        </w:tc>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立杆</w:t>
            </w:r>
          </w:p>
        </w:tc>
        <w:tc>
          <w:tcPr>
            <w:tcW w:w="7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不锈钢材质含地笼含配件</w:t>
            </w:r>
          </w:p>
        </w:tc>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8芯单模光纤</w:t>
            </w:r>
          </w:p>
        </w:tc>
        <w:tc>
          <w:tcPr>
            <w:tcW w:w="7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1.符合ISO/IEC11801,ANSI/TIA568-C.3,YD/T769的标准要求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2.弯曲半径：静态10D；动态20D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3.允许压扁（N/100mm）：长期300；短期1000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4.允许拉伸力（N）：长期600；短期1500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5.光缆芯数：8芯；护套颜色：黑色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6.衰减@20℃（dB/km):@1310≤0.36@1550≤0.22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7.光纤规格：B1.3（9/125μm-zn）</w:t>
            </w:r>
          </w:p>
        </w:tc>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6000</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12U机柜</w:t>
            </w:r>
          </w:p>
        </w:tc>
        <w:tc>
          <w:tcPr>
            <w:tcW w:w="7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机柜尺寸600*600*690</w:t>
            </w:r>
          </w:p>
        </w:tc>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电源线缆</w:t>
            </w:r>
          </w:p>
        </w:tc>
        <w:tc>
          <w:tcPr>
            <w:tcW w:w="7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1.符合标准JB/T5023.5-2008,GB/T19666-2019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2.型号：RVV3*2.5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3.绝缘厚度：0.8mm；护套厚度：1.1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4.20℃时导体电阻最大值：7.98Ω/Km；70℃时绝缘电阻最小值0.009MΩ/Km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5.额定电压为300/300V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6.允许弯曲半径：电缆外径D＜25mm时，应不小于4D，电缆外径D≥25mm时，应不小于6D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7.导体种类：绞合导体用第5种导体；导体为高纯无氧绞合铜导体；绝缘材质：优质聚氯乙烯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8.需要综合布线系统统一品牌</w:t>
            </w:r>
          </w:p>
        </w:tc>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6000</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线缆</w:t>
            </w:r>
          </w:p>
        </w:tc>
        <w:tc>
          <w:tcPr>
            <w:tcW w:w="7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1.符合IEC61156，YD/T1019，TIA568C.2，ISO11801，IEC60332-1，IEC60332-3，IEC61034，IEC60754，EN50399的标准要求；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2.导体材料：无氧圆铜，导体直径：0.57±0.02mm，线规：23AWG，绝缘：HDPE，护套材料：PVC，电缆外径：6.3±0.3mm；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3.符合TIA568C.2 250MHz测试并可拓展至550MHz-xaad.ki；</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4.产品传输性能满足100米信道（六节点）和永久链路测试并提供第三方检验报告（复印件需加盖供应商公章）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5.产品符合3P、EC、CE、FCC认证并提供第三方测试报告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6.产品需通过第三方通信/供电一体化（ZN)连接方案性能评测并提供证书</w:t>
            </w:r>
          </w:p>
        </w:tc>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12500</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光纤熔接盒</w:t>
            </w:r>
          </w:p>
        </w:tc>
        <w:tc>
          <w:tcPr>
            <w:tcW w:w="7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1.符合ISO/11801,ANSI/TIA568-C.3,YD/T778的标准要求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2.材料：优质冷轧钢板；表面颜色：黑色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3.端口数量：8位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4.端口类型：ST、FC、SC、LC双工，不含适配器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5.安装方式:非机架式安装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6.光纤和尾纤弯曲半径不小于30mm</w:t>
            </w:r>
          </w:p>
        </w:tc>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光纤熔接费</w:t>
            </w:r>
          </w:p>
        </w:tc>
        <w:tc>
          <w:tcPr>
            <w:tcW w:w="7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技术服务光纤熔接</w:t>
            </w:r>
          </w:p>
        </w:tc>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芯</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光纤尾纤</w:t>
            </w:r>
          </w:p>
        </w:tc>
        <w:tc>
          <w:tcPr>
            <w:tcW w:w="7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1.符合ISO/IEC11801,ANSI/TIA568-C.3,YD/T926.3，YD/T 1272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2.依据标准出厂前100%光学测试，确保可靠性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3.高质量陶瓷插芯，插入损耗低，耐久性好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4.重复性，互换性，光学特性稳定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5.LC-单芯,长度1M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6.插入损耗（含重复性）：≤0.2dB,互换性：≤0.2dB;材料：氧化锆陶瓷插芯</w:t>
            </w:r>
          </w:p>
        </w:tc>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光纤跳线</w:t>
            </w:r>
          </w:p>
        </w:tc>
        <w:tc>
          <w:tcPr>
            <w:tcW w:w="7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1.符合ISO/IEC11801,ANSI/TIA568-C.3,YD/T926.3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2.依据标准出厂前100%光学测试，确保可靠性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3.高质量陶瓷插芯，插入损耗低，耐久性好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4.重复性，互换性，光学特性稳定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5.LC/LC双芯,长度3M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6.插入损耗（含重复性）：≤0.2dB,互换性：≤0.2dB;重复性≥1000次;材料：氧化锆陶瓷插芯</w:t>
            </w:r>
          </w:p>
        </w:tc>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条</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光纤法兰</w:t>
            </w:r>
          </w:p>
        </w:tc>
        <w:tc>
          <w:tcPr>
            <w:tcW w:w="7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1.符合ISO/11801,ANSI/TIA568-C.3,YD/T926.3的标准要求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2.插入损耗（含重复性）≤0.2dB;互换性：≤0.2dB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3.材料：氧化锆陶瓷套筒；重复性：≥1000次，接口类型：LC双工单模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4.兼容性、重复性、互换性好；卡锁式插接结构，稳定性好</w:t>
            </w:r>
          </w:p>
        </w:tc>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穿线管</w:t>
            </w:r>
          </w:p>
        </w:tc>
        <w:tc>
          <w:tcPr>
            <w:tcW w:w="7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SC25，PE50，SC100</w:t>
            </w:r>
          </w:p>
        </w:tc>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5500</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辅材</w:t>
            </w:r>
          </w:p>
        </w:tc>
        <w:tc>
          <w:tcPr>
            <w:tcW w:w="7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符合国标辅材</w:t>
            </w:r>
          </w:p>
        </w:tc>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安装调试费</w:t>
            </w:r>
          </w:p>
        </w:tc>
        <w:tc>
          <w:tcPr>
            <w:tcW w:w="9826" w:type="dxa"/>
            <w:gridSpan w:val="4"/>
            <w:tcBorders>
              <w:top w:val="single" w:color="000000" w:sz="4" w:space="0"/>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lang w:eastAsia="zh-CN"/>
              </w:rPr>
            </w:pPr>
            <w:r>
              <w:rPr>
                <w:rFonts w:hint="eastAsia" w:ascii="宋体" w:hAnsi="宋体" w:eastAsia="宋体" w:cs="宋体"/>
                <w:i w:val="0"/>
                <w:iCs w:val="0"/>
                <w:color w:val="000000"/>
                <w:sz w:val="22"/>
                <w:szCs w:val="22"/>
                <w:highlight w:val="none"/>
                <w:u w:val="none"/>
                <w:lang w:eastAsia="zh-CN"/>
              </w:rPr>
              <w:t>需包含在总报价内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015" w:type="dxa"/>
            <w:gridSpan w:val="6"/>
            <w:tcBorders>
              <w:top w:val="single" w:color="000000" w:sz="4" w:space="0"/>
              <w:left w:val="single" w:color="000000" w:sz="4" w:space="0"/>
              <w:bottom w:val="single" w:color="000000" w:sz="4" w:space="0"/>
              <w:right w:val="single" w:color="000000" w:sz="4" w:space="0"/>
            </w:tcBorders>
            <w:noWrap/>
            <w:vAlign w:val="center"/>
          </w:tcPr>
          <w:p>
            <w:pPr>
              <w:spacing w:line="288" w:lineRule="auto"/>
              <w:ind w:firstLine="440" w:firstLineChars="200"/>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eastAsia="zh-CN"/>
              </w:rPr>
              <w:t>注意：具体辅材数量以上表格仅为业主方评估数值，具体按实际为准，供应商响应前应充分勘查现场并且提供设备的安装方案，充分了解项目实际要求,以做出准确报价。因现场勘查不充分导致的报价缺失及安装方案的不全面均由供应商自行承担，采购人不再另行支付费用。现场勘查所产生的一切费用和风险由供应商自行承担。</w:t>
            </w:r>
          </w:p>
        </w:tc>
      </w:tr>
    </w:tbl>
    <w:p>
      <w:pPr>
        <w:numPr>
          <w:ilvl w:val="0"/>
          <w:numId w:val="0"/>
        </w:numPr>
        <w:rPr>
          <w:rFonts w:hint="eastAsia"/>
          <w:highlight w:val="none"/>
        </w:rPr>
      </w:pPr>
    </w:p>
    <w:p>
      <w:pPr>
        <w:numPr>
          <w:ilvl w:val="0"/>
          <w:numId w:val="3"/>
        </w:numPr>
        <w:snapToGrid w:val="0"/>
        <w:spacing w:line="360" w:lineRule="exact"/>
        <w:rPr>
          <w:rFonts w:ascii="宋体" w:hAnsi="宋体" w:cs="宋体"/>
          <w:b/>
          <w:spacing w:val="-6"/>
          <w:sz w:val="22"/>
          <w:szCs w:val="22"/>
          <w:highlight w:val="none"/>
        </w:rPr>
      </w:pPr>
      <w:r>
        <w:rPr>
          <w:rFonts w:hint="eastAsia" w:ascii="宋体" w:hAnsi="宋体" w:cs="宋体"/>
          <w:sz w:val="22"/>
          <w:szCs w:val="22"/>
          <w:highlight w:val="none"/>
        </w:rPr>
        <w:t xml:space="preserve"> </w:t>
      </w:r>
      <w:r>
        <w:rPr>
          <w:rFonts w:hint="eastAsia" w:ascii="宋体" w:hAnsi="宋体" w:cs="宋体"/>
          <w:b/>
          <w:spacing w:val="-6"/>
          <w:sz w:val="22"/>
          <w:szCs w:val="22"/>
          <w:highlight w:val="none"/>
        </w:rPr>
        <w:t>其他</w:t>
      </w:r>
    </w:p>
    <w:p>
      <w:pPr>
        <w:spacing w:line="360" w:lineRule="exact"/>
        <w:ind w:firstLine="313" w:firstLineChars="150"/>
        <w:rPr>
          <w:rFonts w:hint="eastAsia" w:ascii="宋体" w:hAnsi="宋体" w:cs="宋体"/>
          <w:b/>
          <w:spacing w:val="-6"/>
          <w:sz w:val="22"/>
          <w:szCs w:val="22"/>
          <w:highlight w:val="none"/>
        </w:rPr>
      </w:pPr>
      <w:r>
        <w:rPr>
          <w:rFonts w:hint="eastAsia" w:ascii="宋体" w:hAnsi="宋体" w:cs="宋体"/>
          <w:b/>
          <w:spacing w:val="-6"/>
          <w:sz w:val="22"/>
          <w:szCs w:val="22"/>
          <w:highlight w:val="none"/>
        </w:rPr>
        <w:t>1、标“▲且加下划线”的有关技术和商务要求为实质性条款，响应方必须做出实质性响应</w:t>
      </w:r>
      <w:r>
        <w:rPr>
          <w:rFonts w:hint="eastAsia" w:ascii="宋体" w:hAnsi="宋体" w:cs="宋体"/>
          <w:b/>
          <w:bCs/>
          <w:spacing w:val="-6"/>
          <w:sz w:val="22"/>
          <w:szCs w:val="22"/>
          <w:highlight w:val="none"/>
        </w:rPr>
        <w:t>，否则视为无效响应文件。</w:t>
      </w:r>
      <w:r>
        <w:rPr>
          <w:rFonts w:hint="eastAsia" w:ascii="宋体" w:hAnsi="宋体" w:cs="宋体"/>
          <w:b/>
          <w:spacing w:val="-6"/>
          <w:sz w:val="22"/>
          <w:szCs w:val="22"/>
          <w:highlight w:val="none"/>
        </w:rPr>
        <w:t>除此之外其余的指标、服务要求以及合同条款可在磋商现场，根据磋商小组与供应商的磋商进行变动。</w:t>
      </w:r>
    </w:p>
    <w:p>
      <w:pPr>
        <w:spacing w:line="360" w:lineRule="exact"/>
        <w:ind w:firstLine="418" w:firstLineChars="200"/>
        <w:rPr>
          <w:rFonts w:hint="eastAsia" w:ascii="宋体" w:hAnsi="宋体" w:cs="宋体"/>
          <w:b/>
          <w:bCs/>
          <w:kern w:val="0"/>
          <w:sz w:val="22"/>
          <w:szCs w:val="22"/>
          <w:highlight w:val="none"/>
        </w:rPr>
      </w:pPr>
      <w:r>
        <w:rPr>
          <w:rFonts w:hint="eastAsia" w:ascii="宋体" w:hAnsi="宋体" w:cs="宋体"/>
          <w:b/>
          <w:spacing w:val="-6"/>
          <w:sz w:val="22"/>
          <w:szCs w:val="22"/>
          <w:highlight w:val="none"/>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kern w:val="0"/>
          <w:sz w:val="22"/>
          <w:szCs w:val="22"/>
          <w:highlight w:val="none"/>
        </w:rPr>
        <w:t>。</w:t>
      </w:r>
    </w:p>
    <w:p>
      <w:pPr>
        <w:snapToGrid w:val="0"/>
        <w:spacing w:line="360" w:lineRule="exact"/>
        <w:ind w:firstLine="418" w:firstLineChars="200"/>
        <w:jc w:val="left"/>
        <w:rPr>
          <w:rFonts w:ascii="宋体" w:hAnsi="宋体" w:cs="宋体"/>
          <w:b/>
          <w:spacing w:val="-6"/>
          <w:sz w:val="22"/>
          <w:szCs w:val="22"/>
          <w:highlight w:val="none"/>
        </w:rPr>
      </w:pPr>
      <w:r>
        <w:rPr>
          <w:rFonts w:hint="eastAsia" w:ascii="宋体" w:hAnsi="宋体" w:cs="宋体"/>
          <w:b/>
          <w:spacing w:val="-6"/>
          <w:sz w:val="22"/>
          <w:szCs w:val="22"/>
          <w:highlight w:val="none"/>
        </w:rPr>
        <w:t>3.如技术部分中未特别注明需执行的国家相关标准、行业标准、地方标准或者其他标准、规范，则统一执行最新标准、规范。</w:t>
      </w:r>
    </w:p>
    <w:p>
      <w:pPr>
        <w:rPr>
          <w:rFonts w:hint="eastAsia"/>
          <w:highlight w:val="none"/>
        </w:rPr>
      </w:pPr>
    </w:p>
    <w:p>
      <w:pPr>
        <w:adjustRightInd w:val="0"/>
        <w:snapToGrid w:val="0"/>
        <w:spacing w:before="120" w:beforeLines="50" w:after="120" w:afterLines="50" w:line="360" w:lineRule="auto"/>
        <w:jc w:val="center"/>
        <w:outlineLvl w:val="0"/>
        <w:rPr>
          <w:rFonts w:hint="eastAsia" w:ascii="宋体" w:hAnsi="宋体" w:cs="宋体"/>
          <w:b/>
          <w:sz w:val="30"/>
          <w:szCs w:val="30"/>
          <w:highlight w:val="none"/>
        </w:rPr>
      </w:pPr>
    </w:p>
    <w:p>
      <w:pPr>
        <w:adjustRightInd w:val="0"/>
        <w:snapToGrid w:val="0"/>
        <w:spacing w:before="120" w:beforeLines="50" w:after="120" w:afterLines="50" w:line="360" w:lineRule="auto"/>
        <w:jc w:val="center"/>
        <w:outlineLvl w:val="0"/>
        <w:rPr>
          <w:rFonts w:hint="eastAsia" w:ascii="宋体" w:hAnsi="宋体" w:cs="宋体"/>
          <w:b/>
          <w:sz w:val="30"/>
          <w:szCs w:val="30"/>
          <w:highlight w:val="none"/>
        </w:rPr>
      </w:pPr>
    </w:p>
    <w:p>
      <w:pPr>
        <w:adjustRightInd w:val="0"/>
        <w:snapToGrid w:val="0"/>
        <w:spacing w:before="120" w:beforeLines="50" w:after="120" w:afterLines="50" w:line="360" w:lineRule="auto"/>
        <w:jc w:val="center"/>
        <w:outlineLvl w:val="0"/>
        <w:rPr>
          <w:rFonts w:hint="eastAsia" w:ascii="宋体" w:hAnsi="宋体" w:cs="宋体"/>
          <w:b/>
          <w:sz w:val="30"/>
          <w:szCs w:val="30"/>
          <w:highlight w:val="none"/>
        </w:rPr>
      </w:pPr>
    </w:p>
    <w:p>
      <w:r>
        <w:rPr>
          <w:rFonts w:hint="eastAsia"/>
          <w:highlight w:val="none"/>
        </w:rPr>
        <w:br w:type="page"/>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9A284B"/>
    <w:multiLevelType w:val="singleLevel"/>
    <w:tmpl w:val="E19A284B"/>
    <w:lvl w:ilvl="0" w:tentative="0">
      <w:start w:val="7"/>
      <w:numFmt w:val="decimal"/>
      <w:suff w:val="nothing"/>
      <w:lvlText w:val="%1、"/>
      <w:lvlJc w:val="left"/>
    </w:lvl>
  </w:abstractNum>
  <w:abstractNum w:abstractNumId="1">
    <w:nsid w:val="E8D901C1"/>
    <w:multiLevelType w:val="singleLevel"/>
    <w:tmpl w:val="E8D901C1"/>
    <w:lvl w:ilvl="0" w:tentative="0">
      <w:start w:val="1"/>
      <w:numFmt w:val="chineseCounting"/>
      <w:suff w:val="nothing"/>
      <w:lvlText w:val="(%1）"/>
      <w:lvlJc w:val="left"/>
      <w:rPr>
        <w:rFonts w:hint="eastAsia"/>
      </w:rPr>
    </w:lvl>
  </w:abstractNum>
  <w:abstractNum w:abstractNumId="2">
    <w:nsid w:val="EF82BFD4"/>
    <w:multiLevelType w:val="singleLevel"/>
    <w:tmpl w:val="EF82BFD4"/>
    <w:lvl w:ilvl="0" w:tentative="0">
      <w:start w:val="3"/>
      <w:numFmt w:val="chineseCounting"/>
      <w:suff w:val="nothing"/>
      <w:lvlText w:val="%1、"/>
      <w:lvlJc w:val="left"/>
      <w:rPr>
        <w:rFonts w:hint="eastAsia"/>
      </w:rPr>
    </w:lvl>
  </w:abstractNum>
  <w:abstractNum w:abstractNumId="3">
    <w:nsid w:val="3951C00E"/>
    <w:multiLevelType w:val="singleLevel"/>
    <w:tmpl w:val="3951C00E"/>
    <w:lvl w:ilvl="0" w:tentative="0">
      <w:start w:val="2"/>
      <w:numFmt w:val="chineseCounting"/>
      <w:suff w:val="nothing"/>
      <w:lvlText w:val="%1、"/>
      <w:lvlJc w:val="left"/>
      <w:rPr>
        <w:rFonts w:hint="eastAsia"/>
      </w:rPr>
    </w:lvl>
  </w:abstractNum>
  <w:abstractNum w:abstractNumId="4">
    <w:nsid w:val="47704EAC"/>
    <w:multiLevelType w:val="multilevel"/>
    <w:tmpl w:val="47704EA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7BBB0D8E"/>
    <w:multiLevelType w:val="multilevel"/>
    <w:tmpl w:val="7BBB0D8E"/>
    <w:lvl w:ilvl="0" w:tentative="0">
      <w:start w:val="1"/>
      <w:numFmt w:val="decimal"/>
      <w:lvlText w:val="（%1）"/>
      <w:lvlJc w:val="left"/>
      <w:pPr>
        <w:ind w:left="1140" w:hanging="720"/>
      </w:pPr>
      <w:rPr>
        <w:rFonts w:hint="default" w:cs="Times New Roman"/>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WJhYWQ4M2M4N2RhMTM0YTg1OGJjZWZmNjAxODIifQ=="/>
  </w:docVars>
  <w:rsids>
    <w:rsidRoot w:val="00000000"/>
    <w:rsid w:val="77091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adjustRightInd w:val="0"/>
      <w:spacing w:before="340" w:after="330" w:line="360" w:lineRule="auto"/>
      <w:jc w:val="center"/>
      <w:outlineLvl w:val="0"/>
    </w:pPr>
    <w:rPr>
      <w:rFonts w:eastAsia="黑体"/>
      <w:b/>
      <w:bCs/>
      <w:kern w:val="44"/>
      <w:sz w:val="36"/>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400" w:lineRule="atLeast"/>
      <w:ind w:firstLine="510"/>
      <w:textAlignment w:val="baseline"/>
    </w:pPr>
    <w:rPr>
      <w:rFonts w:eastAsia="微软雅黑"/>
      <w:kern w:val="0"/>
      <w:sz w:val="24"/>
    </w:rPr>
  </w:style>
  <w:style w:type="paragraph" w:styleId="4">
    <w:name w:val="annotation text"/>
    <w:basedOn w:val="1"/>
    <w:semiHidden/>
    <w:qFormat/>
    <w:uiPriority w:val="0"/>
    <w:pPr>
      <w:jc w:val="left"/>
    </w:pPr>
  </w:style>
  <w:style w:type="paragraph" w:styleId="5">
    <w:name w:val="Plain Text"/>
    <w:basedOn w:val="1"/>
    <w:next w:val="1"/>
    <w:qFormat/>
    <w:uiPriority w:val="0"/>
    <w:rPr>
      <w:rFonts w:ascii="宋体" w:hAnsi="Courier New" w:cs="Courier New"/>
      <w:snapToGrid w:val="0"/>
      <w:sz w:val="18"/>
      <w:szCs w:val="21"/>
    </w:rPr>
  </w:style>
  <w:style w:type="paragraph" w:customStyle="1"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2022-05-05T00:53:48Z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3330F9145C6E4839BF3FD3E46668EC95</vt:lpwstr>
  </property>
</Properties>
</file>