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3484"/>
        <w:gridCol w:w="1418"/>
        <w:gridCol w:w="1897"/>
        <w:gridCol w:w="1917"/>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4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4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服务期</w:t>
            </w:r>
          </w:p>
        </w:tc>
        <w:tc>
          <w:tcPr>
            <w:tcW w:w="189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报价方式</w:t>
            </w:r>
          </w:p>
        </w:tc>
        <w:tc>
          <w:tcPr>
            <w:tcW w:w="191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入围家数</w:t>
            </w:r>
          </w:p>
        </w:tc>
      </w:tr>
      <w:tr>
        <w:tblPrEx>
          <w:tblCellMar>
            <w:top w:w="0" w:type="dxa"/>
            <w:left w:w="108" w:type="dxa"/>
            <w:bottom w:w="0" w:type="dxa"/>
            <w:right w:w="108" w:type="dxa"/>
          </w:tblCellMar>
        </w:tblPrEx>
        <w:trPr>
          <w:trHeight w:val="516"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ascii="宋体" w:hAnsi="宋体" w:cs="宋体"/>
                <w:color w:val="auto"/>
                <w:sz w:val="22"/>
                <w:szCs w:val="22"/>
                <w:highlight w:val="none"/>
              </w:rPr>
            </w:pPr>
            <w:r>
              <w:rPr>
                <w:rFonts w:ascii="宋体" w:hAnsi="宋体" w:cs="宋体"/>
                <w:color w:val="auto"/>
                <w:sz w:val="22"/>
                <w:szCs w:val="22"/>
                <w:highlight w:val="none"/>
              </w:rPr>
              <w:t>1</w:t>
            </w:r>
          </w:p>
        </w:tc>
        <w:tc>
          <w:tcPr>
            <w:tcW w:w="3484"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ascii="宋体" w:hAnsi="宋体" w:cs="宋体"/>
                <w:color w:val="auto"/>
                <w:sz w:val="22"/>
                <w:szCs w:val="22"/>
                <w:highlight w:val="none"/>
              </w:rPr>
            </w:pPr>
            <w:r>
              <w:rPr>
                <w:rFonts w:ascii="宋体" w:hAnsi="宋体" w:cs="宋体"/>
                <w:color w:val="auto"/>
                <w:sz w:val="22"/>
                <w:szCs w:val="22"/>
                <w:highlight w:val="none"/>
              </w:rPr>
              <w:t>普通专升本辅导合作机构遴选</w:t>
            </w:r>
          </w:p>
        </w:tc>
        <w:tc>
          <w:tcPr>
            <w:tcW w:w="141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ascii="宋体" w:hAnsi="宋体" w:cs="宋体"/>
                <w:color w:val="auto"/>
                <w:sz w:val="22"/>
                <w:szCs w:val="22"/>
                <w:highlight w:val="none"/>
              </w:rPr>
            </w:pPr>
            <w:r>
              <w:rPr>
                <w:rFonts w:ascii="宋体" w:hAnsi="宋体" w:cs="宋体"/>
                <w:color w:val="auto"/>
                <w:sz w:val="22"/>
                <w:szCs w:val="22"/>
                <w:highlight w:val="none"/>
              </w:rPr>
              <w:t>2年</w:t>
            </w:r>
          </w:p>
        </w:tc>
        <w:tc>
          <w:tcPr>
            <w:tcW w:w="1897"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color w:val="auto"/>
                <w:sz w:val="22"/>
                <w:szCs w:val="22"/>
                <w:highlight w:val="none"/>
              </w:rPr>
            </w:pPr>
            <w:r>
              <w:rPr>
                <w:rFonts w:hint="eastAsia" w:ascii="宋体" w:hAnsi="宋体" w:eastAsia="宋体" w:cs="宋体"/>
                <w:b/>
                <w:bCs/>
                <w:snapToGrid w:val="0"/>
                <w:color w:val="auto"/>
                <w:sz w:val="22"/>
                <w:szCs w:val="22"/>
                <w:highlight w:val="none"/>
                <w:u w:val="none"/>
                <w:lang w:eastAsia="zh-CN"/>
              </w:rPr>
              <w:t>营业收入</w:t>
            </w:r>
            <w:r>
              <w:rPr>
                <w:rFonts w:hint="eastAsia" w:ascii="宋体" w:hAnsi="宋体" w:eastAsia="宋体" w:cs="宋体"/>
                <w:snapToGrid w:val="0"/>
                <w:color w:val="auto"/>
                <w:sz w:val="22"/>
                <w:szCs w:val="22"/>
                <w:highlight w:val="none"/>
                <w:u w:val="none"/>
                <w:lang w:eastAsia="zh-CN"/>
              </w:rPr>
              <w:t>百分比不得低于</w:t>
            </w:r>
            <w:r>
              <w:rPr>
                <w:rFonts w:hint="eastAsia" w:ascii="宋体" w:hAnsi="宋体" w:eastAsia="宋体" w:cs="宋体"/>
                <w:snapToGrid w:val="0"/>
                <w:color w:val="auto"/>
                <w:sz w:val="22"/>
                <w:szCs w:val="22"/>
                <w:highlight w:val="none"/>
                <w:u w:val="none"/>
                <w:lang w:val="en-US" w:eastAsia="zh-CN"/>
              </w:rPr>
              <w:t>20%</w:t>
            </w:r>
            <w:r>
              <w:rPr>
                <w:rFonts w:hint="eastAsia" w:ascii="宋体" w:hAnsi="宋体" w:eastAsia="宋体" w:cs="宋体"/>
                <w:snapToGrid w:val="0"/>
                <w:color w:val="auto"/>
                <w:sz w:val="22"/>
                <w:szCs w:val="22"/>
                <w:highlight w:val="none"/>
                <w:u w:val="none"/>
                <w:lang w:eastAsia="zh-CN"/>
              </w:rPr>
              <w:t xml:space="preserve"> </w:t>
            </w:r>
          </w:p>
        </w:tc>
        <w:tc>
          <w:tcPr>
            <w:tcW w:w="1917" w:type="dxa"/>
            <w:tcBorders>
              <w:top w:val="single" w:color="000000"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3家</w:t>
            </w:r>
          </w:p>
        </w:tc>
      </w:tr>
    </w:tbl>
    <w:p>
      <w:pPr>
        <w:numPr>
          <w:ilvl w:val="0"/>
          <w:numId w:val="1"/>
        </w:num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商务要求（技术要求里另有注明A的以技术要求为准）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
                <w:color w:val="auto"/>
                <w:sz w:val="22"/>
                <w:szCs w:val="22"/>
                <w:highlight w:val="none"/>
                <w:u w:val="single"/>
              </w:rPr>
            </w:pPr>
            <w:r>
              <w:rPr>
                <w:rFonts w:hint="eastAsia" w:ascii="宋体" w:hAnsi="宋体" w:cs="宋体"/>
                <w:b/>
                <w:color w:val="auto"/>
                <w:spacing w:val="-6"/>
                <w:sz w:val="22"/>
                <w:szCs w:val="22"/>
                <w:highlight w:val="none"/>
                <w:u w:val="single"/>
              </w:rPr>
              <w:t>▲</w:t>
            </w:r>
            <w:r>
              <w:rPr>
                <w:rFonts w:hint="eastAsia" w:ascii="宋体" w:hAnsi="宋体" w:cs="宋体"/>
                <w:b/>
                <w:color w:val="auto"/>
                <w:sz w:val="22"/>
                <w:szCs w:val="22"/>
                <w:highlight w:val="none"/>
                <w:u w:val="single"/>
              </w:rPr>
              <w:t>最终营业收入计算方式</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ascii="宋体" w:hAnsi="宋体"/>
                <w:b/>
                <w:color w:val="auto"/>
                <w:szCs w:val="21"/>
                <w:highlight w:val="none"/>
                <w:u w:val="single"/>
              </w:rPr>
            </w:pPr>
            <w:r>
              <w:rPr>
                <w:rFonts w:hint="eastAsia" w:ascii="宋体" w:hAnsi="宋体"/>
                <w:b/>
                <w:color w:val="auto"/>
                <w:szCs w:val="21"/>
                <w:highlight w:val="none"/>
                <w:u w:val="single"/>
              </w:rPr>
              <w:t>最终营业收入：</w:t>
            </w:r>
            <w:r>
              <w:rPr>
                <w:rFonts w:hint="eastAsia" w:ascii="宋体" w:hAnsi="宋体"/>
                <w:b/>
                <w:color w:val="auto"/>
                <w:szCs w:val="21"/>
                <w:highlight w:val="none"/>
                <w:u w:val="single"/>
                <w:lang w:eastAsia="zh-CN"/>
              </w:rPr>
              <w:t>各入围供应商中标成交价</w:t>
            </w:r>
            <w:r>
              <w:rPr>
                <w:rFonts w:hint="eastAsia" w:ascii="宋体" w:hAnsi="宋体"/>
                <w:b/>
                <w:color w:val="auto"/>
                <w:szCs w:val="21"/>
                <w:highlight w:val="none"/>
                <w:u w:val="single"/>
              </w:rPr>
              <w:t>作为本项目</w:t>
            </w:r>
            <w:r>
              <w:rPr>
                <w:rFonts w:hint="eastAsia" w:ascii="宋体" w:hAnsi="宋体"/>
                <w:b/>
                <w:color w:val="auto"/>
                <w:szCs w:val="21"/>
                <w:highlight w:val="none"/>
                <w:u w:val="single"/>
                <w:lang w:eastAsia="zh-CN"/>
              </w:rPr>
              <w:t>单个供应商</w:t>
            </w:r>
            <w:r>
              <w:rPr>
                <w:rFonts w:hint="eastAsia" w:ascii="宋体" w:hAnsi="宋体"/>
                <w:b/>
                <w:color w:val="auto"/>
                <w:szCs w:val="21"/>
                <w:highlight w:val="none"/>
                <w:u w:val="single"/>
              </w:rPr>
              <w:t>最终执行价，最终</w:t>
            </w:r>
            <w:r>
              <w:rPr>
                <w:rFonts w:hint="eastAsia" w:ascii="宋体" w:hAnsi="宋体"/>
                <w:b/>
                <w:color w:val="auto"/>
                <w:szCs w:val="21"/>
                <w:highlight w:val="none"/>
                <w:u w:val="single"/>
                <w:lang w:eastAsia="zh-CN"/>
              </w:rPr>
              <w:t>根据实际招生人数</w:t>
            </w:r>
            <w:r>
              <w:rPr>
                <w:rFonts w:hint="eastAsia" w:ascii="宋体" w:hAnsi="宋体"/>
                <w:b/>
                <w:color w:val="auto"/>
                <w:szCs w:val="21"/>
                <w:highlight w:val="none"/>
                <w:u w:val="single"/>
              </w:rPr>
              <w:t>按实结算，</w:t>
            </w:r>
            <w:r>
              <w:rPr>
                <w:rStyle w:val="10"/>
                <w:rFonts w:hint="eastAsia" w:ascii="宋体" w:hAnsi="宋体"/>
                <w:b/>
                <w:color w:val="auto"/>
                <w:szCs w:val="21"/>
                <w:highlight w:val="none"/>
                <w:u w:val="single"/>
              </w:rPr>
              <w:t>单年服务期届满时进行结算，结算结果经双方确认后，中标人于10个工作日内将采购人收益分配所得款项转入采购人指定账户，采购人向中标人出具相关票据。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olor w:val="auto"/>
                <w:sz w:val="22"/>
                <w:szCs w:val="22"/>
                <w:highlight w:val="none"/>
              </w:rPr>
            </w:pPr>
            <w:r>
              <w:rPr>
                <w:rFonts w:hint="eastAsia" w:ascii="宋体" w:hAnsi="宋体"/>
                <w:color w:val="auto"/>
                <w:sz w:val="22"/>
                <w:szCs w:val="22"/>
                <w:highlight w:val="none"/>
              </w:rPr>
              <w:t>服务期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olor w:val="auto"/>
                <w:sz w:val="22"/>
                <w:szCs w:val="22"/>
                <w:highlight w:val="none"/>
              </w:rPr>
            </w:pPr>
            <w:r>
              <w:rPr>
                <w:rFonts w:hint="eastAsia" w:ascii="宋体" w:hAnsi="宋体"/>
                <w:color w:val="auto"/>
                <w:sz w:val="22"/>
                <w:szCs w:val="22"/>
                <w:highlight w:val="none"/>
              </w:rPr>
              <w:t>合同签订之日起2年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olor w:val="auto"/>
                <w:sz w:val="22"/>
                <w:szCs w:val="22"/>
                <w:highlight w:val="none"/>
              </w:rPr>
            </w:pPr>
            <w:r>
              <w:rPr>
                <w:rFonts w:hint="eastAsia" w:ascii="宋体" w:hAnsi="宋体"/>
                <w:color w:val="auto"/>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olor w:val="auto"/>
                <w:sz w:val="22"/>
                <w:szCs w:val="22"/>
                <w:highlight w:val="none"/>
              </w:rPr>
            </w:pPr>
            <w:r>
              <w:rPr>
                <w:rFonts w:hint="eastAsia" w:ascii="宋体" w:hAnsi="宋体"/>
                <w:color w:val="auto"/>
                <w:sz w:val="22"/>
                <w:szCs w:val="22"/>
                <w:highlight w:val="none"/>
              </w:rPr>
              <w:t>甲方指定地点。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olor w:val="auto"/>
                <w:sz w:val="22"/>
                <w:szCs w:val="22"/>
                <w:highlight w:val="none"/>
              </w:rPr>
            </w:pPr>
            <w:r>
              <w:rPr>
                <w:rFonts w:hint="eastAsia" w:ascii="宋体" w:hAnsi="宋体"/>
                <w:color w:val="auto"/>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left"/>
              <w:rPr>
                <w:rFonts w:hint="eastAsia" w:ascii="宋体" w:hAnsi="宋体"/>
                <w:color w:val="auto"/>
                <w:sz w:val="22"/>
                <w:szCs w:val="22"/>
                <w:highlight w:val="none"/>
              </w:rPr>
            </w:pPr>
            <w:r>
              <w:rPr>
                <w:rFonts w:hint="eastAsia" w:ascii="宋体" w:hAnsi="宋体"/>
                <w:color w:val="auto"/>
                <w:sz w:val="22"/>
                <w:szCs w:val="22"/>
                <w:highlight w:val="none"/>
              </w:rPr>
              <w:t>验收应按照甲方确认的验收要求进行，全过程必须由甲方在场见证。</w:t>
            </w:r>
          </w:p>
          <w:p>
            <w:pPr>
              <w:spacing w:line="370" w:lineRule="exact"/>
              <w:jc w:val="left"/>
              <w:rPr>
                <w:rFonts w:hint="eastAsia" w:ascii="宋体" w:hAnsi="宋体"/>
                <w:color w:val="auto"/>
                <w:sz w:val="22"/>
                <w:szCs w:val="22"/>
                <w:highlight w:val="none"/>
              </w:rPr>
            </w:pPr>
            <w:r>
              <w:rPr>
                <w:rFonts w:hint="eastAsia" w:ascii="宋体" w:hAnsi="宋体"/>
                <w:color w:val="auto"/>
                <w:sz w:val="22"/>
                <w:szCs w:val="22"/>
                <w:highlight w:val="none"/>
              </w:rPr>
              <w:t>如项目后期需代理组织校外人员验收，验收费用5000元由乙方支付给代理公司。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olor w:val="auto"/>
                <w:sz w:val="22"/>
                <w:szCs w:val="22"/>
                <w:highlight w:val="none"/>
              </w:rPr>
            </w:pPr>
            <w:r>
              <w:rPr>
                <w:rFonts w:hint="eastAsia" w:ascii="宋体" w:hAnsi="宋体"/>
                <w:color w:val="auto"/>
                <w:sz w:val="22"/>
                <w:szCs w:val="22"/>
                <w:highlight w:val="none"/>
              </w:rPr>
              <w:t>其他技术、服务要求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olor w:val="auto"/>
                <w:sz w:val="22"/>
                <w:szCs w:val="22"/>
                <w:highlight w:val="none"/>
              </w:rPr>
            </w:pPr>
            <w:r>
              <w:rPr>
                <w:rFonts w:hint="eastAsia" w:ascii="宋体" w:hAnsi="宋体"/>
                <w:color w:val="auto"/>
                <w:sz w:val="22"/>
                <w:szCs w:val="22"/>
                <w:highlight w:val="none"/>
              </w:rPr>
              <w:t>1.供应商应按磋商文件规定的技术要求、质量标准向采购人提供服务。</w:t>
            </w:r>
          </w:p>
          <w:p>
            <w:pPr>
              <w:spacing w:line="370" w:lineRule="exact"/>
              <w:jc w:val="left"/>
              <w:rPr>
                <w:rFonts w:hint="eastAsia" w:ascii="宋体" w:hAnsi="宋体"/>
                <w:color w:val="auto"/>
                <w:sz w:val="22"/>
                <w:szCs w:val="22"/>
                <w:highlight w:val="none"/>
              </w:rPr>
            </w:pPr>
            <w:r>
              <w:rPr>
                <w:rFonts w:hint="eastAsia" w:ascii="宋体" w:hAnsi="宋体"/>
                <w:color w:val="auto"/>
                <w:sz w:val="22"/>
                <w:szCs w:val="22"/>
                <w:highlight w:val="none"/>
              </w:rPr>
              <w:t>2.供应商应保证所提供服务任何一部分均不会侵犯相关法律法规。</w:t>
            </w:r>
          </w:p>
        </w:tc>
      </w:tr>
    </w:tbl>
    <w:p>
      <w:pPr>
        <w:numPr>
          <w:ilvl w:val="0"/>
          <w:numId w:val="2"/>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widowControl/>
              <w:spacing w:line="400" w:lineRule="exact"/>
              <w:jc w:val="left"/>
              <w:rPr>
                <w:rFonts w:hint="eastAsia"/>
                <w:color w:val="auto"/>
                <w:sz w:val="22"/>
                <w:szCs w:val="22"/>
                <w:highlight w:val="none"/>
              </w:rPr>
            </w:pPr>
            <w:r>
              <w:rPr>
                <w:rFonts w:hint="eastAsia"/>
                <w:color w:val="auto"/>
                <w:sz w:val="22"/>
                <w:szCs w:val="22"/>
                <w:highlight w:val="none"/>
              </w:rPr>
              <w:t>（一）工作内容</w:t>
            </w:r>
          </w:p>
          <w:p>
            <w:pPr>
              <w:widowControl/>
              <w:spacing w:line="400" w:lineRule="exact"/>
              <w:ind w:firstLine="0" w:firstLineChars="0"/>
              <w:jc w:val="left"/>
              <w:rPr>
                <w:rFonts w:hint="eastAsia"/>
                <w:color w:val="auto"/>
                <w:sz w:val="22"/>
                <w:szCs w:val="22"/>
                <w:highlight w:val="none"/>
              </w:rPr>
            </w:pPr>
            <w:r>
              <w:rPr>
                <w:rFonts w:hint="eastAsia"/>
                <w:color w:val="auto"/>
                <w:sz w:val="22"/>
                <w:szCs w:val="22"/>
                <w:highlight w:val="none"/>
              </w:rPr>
              <w:t>1、负责收取辅导班学生学费，向学生开具相关票据</w:t>
            </w:r>
            <w:r>
              <w:rPr>
                <w:rFonts w:hint="eastAsia"/>
                <w:color w:val="auto"/>
                <w:sz w:val="22"/>
                <w:szCs w:val="22"/>
                <w:highlight w:val="none"/>
                <w:lang w:val="en-US" w:eastAsia="zh-CN"/>
              </w:rPr>
              <w:t>,签订相关合同等工作</w:t>
            </w:r>
            <w:r>
              <w:rPr>
                <w:rFonts w:hint="eastAsia"/>
                <w:color w:val="auto"/>
                <w:sz w:val="22"/>
                <w:szCs w:val="22"/>
                <w:highlight w:val="none"/>
              </w:rPr>
              <w:t xml:space="preserve">。 </w:t>
            </w:r>
          </w:p>
          <w:p>
            <w:pPr>
              <w:widowControl/>
              <w:spacing w:line="400" w:lineRule="exact"/>
              <w:ind w:firstLine="0" w:firstLineChars="0"/>
              <w:jc w:val="left"/>
              <w:rPr>
                <w:color w:val="auto"/>
                <w:sz w:val="22"/>
                <w:szCs w:val="22"/>
                <w:highlight w:val="none"/>
              </w:rPr>
            </w:pPr>
            <w:r>
              <w:rPr>
                <w:rFonts w:hint="eastAsia"/>
                <w:color w:val="auto"/>
                <w:sz w:val="22"/>
                <w:szCs w:val="22"/>
                <w:highlight w:val="none"/>
              </w:rPr>
              <w:t xml:space="preserve">2、负责提供辅导班师资并承担授课、交通、住宿等费用。 </w:t>
            </w:r>
          </w:p>
          <w:p>
            <w:pPr>
              <w:widowControl/>
              <w:spacing w:line="400" w:lineRule="exact"/>
              <w:ind w:firstLine="0" w:firstLineChars="0"/>
              <w:jc w:val="left"/>
              <w:rPr>
                <w:color w:val="auto"/>
                <w:sz w:val="22"/>
                <w:szCs w:val="22"/>
                <w:highlight w:val="none"/>
              </w:rPr>
            </w:pPr>
            <w:r>
              <w:rPr>
                <w:rFonts w:hint="eastAsia"/>
                <w:color w:val="auto"/>
                <w:sz w:val="22"/>
                <w:szCs w:val="22"/>
                <w:highlight w:val="none"/>
              </w:rPr>
              <w:t>3、负责研发和提供辅导班教学需要的教材、讲义、试卷等教学资料。</w:t>
            </w:r>
          </w:p>
          <w:p>
            <w:pPr>
              <w:widowControl/>
              <w:spacing w:line="400" w:lineRule="exact"/>
              <w:ind w:firstLine="0" w:firstLineChars="0"/>
              <w:jc w:val="left"/>
              <w:rPr>
                <w:color w:val="auto"/>
                <w:sz w:val="22"/>
                <w:szCs w:val="22"/>
                <w:highlight w:val="none"/>
              </w:rPr>
            </w:pPr>
            <w:r>
              <w:rPr>
                <w:rFonts w:hint="eastAsia"/>
                <w:color w:val="auto"/>
                <w:sz w:val="22"/>
                <w:szCs w:val="22"/>
                <w:highlight w:val="none"/>
              </w:rPr>
              <w:t xml:space="preserve">4、负责招生工作的执行及招生宣传的各项费用。 </w:t>
            </w:r>
          </w:p>
          <w:p>
            <w:pPr>
              <w:widowControl/>
              <w:spacing w:line="400" w:lineRule="exact"/>
              <w:ind w:firstLine="0" w:firstLineChars="0"/>
              <w:jc w:val="left"/>
              <w:rPr>
                <w:rFonts w:hint="eastAsia"/>
                <w:color w:val="auto"/>
                <w:sz w:val="22"/>
                <w:szCs w:val="22"/>
                <w:highlight w:val="none"/>
              </w:rPr>
            </w:pPr>
            <w:r>
              <w:rPr>
                <w:rFonts w:hint="eastAsia"/>
                <w:color w:val="auto"/>
                <w:sz w:val="22"/>
                <w:szCs w:val="22"/>
                <w:highlight w:val="none"/>
              </w:rPr>
              <w:t xml:space="preserve">5、因双方合作需要在采购人校区内的工作人员应遵守采购人的各项院校规章制度。 </w:t>
            </w:r>
          </w:p>
          <w:p>
            <w:pPr>
              <w:widowControl/>
              <w:spacing w:line="400" w:lineRule="exact"/>
              <w:jc w:val="left"/>
              <w:rPr>
                <w:color w:val="auto"/>
                <w:sz w:val="22"/>
                <w:szCs w:val="22"/>
                <w:highlight w:val="none"/>
              </w:rPr>
            </w:pPr>
            <w:r>
              <w:rPr>
                <w:rFonts w:hint="eastAsia"/>
                <w:color w:val="auto"/>
                <w:sz w:val="22"/>
                <w:szCs w:val="22"/>
                <w:highlight w:val="none"/>
              </w:rPr>
              <w:t>（二）工作要求</w:t>
            </w:r>
          </w:p>
          <w:p>
            <w:pPr>
              <w:widowControl/>
              <w:spacing w:line="400" w:lineRule="exact"/>
              <w:ind w:firstLine="0" w:firstLineChars="0"/>
              <w:jc w:val="left"/>
              <w:rPr>
                <w:color w:val="auto"/>
                <w:sz w:val="22"/>
                <w:szCs w:val="22"/>
                <w:highlight w:val="none"/>
              </w:rPr>
            </w:pPr>
            <w:r>
              <w:rPr>
                <w:rFonts w:hint="eastAsia"/>
                <w:color w:val="auto"/>
                <w:sz w:val="22"/>
                <w:szCs w:val="22"/>
                <w:highlight w:val="none"/>
              </w:rPr>
              <w:t>1、教务管理：各班设置教务专员1名，负责学员课程安排、课业监督、心理疏导及集训期间的生活管理。</w:t>
            </w:r>
          </w:p>
          <w:p>
            <w:pPr>
              <w:widowControl/>
              <w:spacing w:line="400" w:lineRule="exact"/>
              <w:ind w:firstLine="0" w:firstLineChars="0"/>
              <w:jc w:val="left"/>
              <w:rPr>
                <w:rFonts w:hint="eastAsia"/>
                <w:color w:val="auto"/>
                <w:sz w:val="22"/>
                <w:szCs w:val="22"/>
                <w:highlight w:val="none"/>
              </w:rPr>
            </w:pPr>
            <w:r>
              <w:rPr>
                <w:rFonts w:hint="eastAsia"/>
                <w:color w:val="auto"/>
                <w:sz w:val="22"/>
                <w:szCs w:val="22"/>
                <w:highlight w:val="none"/>
              </w:rPr>
              <w:t>2、教学管理：日常学习中，学员可通过电话、QQ、微信等方式联系助教答疑解惑。集训期间晚上安排自习课，安排助教进班辅导，查缺补漏。</w:t>
            </w:r>
          </w:p>
          <w:p>
            <w:pPr>
              <w:widowControl/>
              <w:numPr>
                <w:ilvl w:val="0"/>
                <w:numId w:val="0"/>
              </w:numPr>
              <w:spacing w:line="400" w:lineRule="exact"/>
              <w:ind w:firstLine="0" w:firstLineChars="0"/>
              <w:jc w:val="left"/>
              <w:rPr>
                <w:rFonts w:hint="eastAsia"/>
                <w:color w:val="auto"/>
                <w:sz w:val="22"/>
                <w:szCs w:val="22"/>
                <w:highlight w:val="none"/>
              </w:rPr>
            </w:pPr>
            <w:r>
              <w:rPr>
                <w:rFonts w:hint="eastAsia"/>
                <w:color w:val="auto"/>
                <w:sz w:val="22"/>
                <w:szCs w:val="22"/>
                <w:highlight w:val="none"/>
              </w:rPr>
              <w:t>志愿填报：考前安排专业人员对学生进行志愿填报1对1指导。</w:t>
            </w:r>
          </w:p>
          <w:p>
            <w:pPr>
              <w:widowControl/>
              <w:spacing w:line="400" w:lineRule="exact"/>
              <w:ind w:firstLine="0" w:firstLineChars="0"/>
              <w:jc w:val="left"/>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、挂钩结对：按照“机构学院结对、学生自愿选择”的原则，中标供应商一对一负责结对二级学院学生专升本辅导培训工作，学生根据自身需要，自愿、自主地进行选择。</w:t>
            </w:r>
          </w:p>
          <w:p>
            <w:pPr>
              <w:widowControl/>
              <w:spacing w:line="400" w:lineRule="exact"/>
              <w:jc w:val="left"/>
              <w:rPr>
                <w:color w:val="auto"/>
                <w:sz w:val="22"/>
                <w:szCs w:val="22"/>
                <w:highlight w:val="none"/>
              </w:rPr>
            </w:pPr>
            <w:r>
              <w:rPr>
                <w:rFonts w:hint="eastAsia"/>
                <w:color w:val="auto"/>
                <w:sz w:val="22"/>
                <w:szCs w:val="22"/>
                <w:highlight w:val="none"/>
              </w:rPr>
              <w:t>（三）取消中标供应商资格情形</w:t>
            </w:r>
          </w:p>
          <w:p>
            <w:pPr>
              <w:widowControl/>
              <w:spacing w:line="400" w:lineRule="exact"/>
              <w:ind w:firstLine="0" w:firstLineChars="0"/>
              <w:jc w:val="left"/>
              <w:rPr>
                <w:color w:val="auto"/>
                <w:sz w:val="22"/>
                <w:szCs w:val="22"/>
                <w:highlight w:val="none"/>
              </w:rPr>
            </w:pPr>
            <w:r>
              <w:rPr>
                <w:rFonts w:hint="eastAsia"/>
                <w:color w:val="auto"/>
                <w:sz w:val="22"/>
                <w:szCs w:val="22"/>
                <w:highlight w:val="none"/>
              </w:rPr>
              <w:t>1、</w:t>
            </w:r>
            <w:r>
              <w:rPr>
                <w:rFonts w:hint="eastAsia"/>
                <w:color w:val="auto"/>
                <w:sz w:val="22"/>
                <w:szCs w:val="22"/>
                <w:highlight w:val="none"/>
                <w:u w:val="single"/>
              </w:rPr>
              <w:t>▲本项目执行过程中，学生人员数量、营业收入等相关数据必须真实，如有虚假一经发现将取消中标供应商</w:t>
            </w:r>
            <w:r>
              <w:rPr>
                <w:rFonts w:hint="eastAsia"/>
                <w:color w:val="auto"/>
                <w:sz w:val="22"/>
                <w:szCs w:val="22"/>
                <w:highlight w:val="none"/>
                <w:u w:val="single"/>
                <w:lang w:eastAsia="zh-CN"/>
              </w:rPr>
              <w:t>入围</w:t>
            </w:r>
            <w:r>
              <w:rPr>
                <w:rFonts w:hint="eastAsia"/>
                <w:color w:val="auto"/>
                <w:sz w:val="22"/>
                <w:szCs w:val="22"/>
                <w:highlight w:val="none"/>
                <w:u w:val="single"/>
              </w:rPr>
              <w:t>资格</w:t>
            </w:r>
          </w:p>
          <w:p>
            <w:pPr>
              <w:widowControl/>
              <w:spacing w:line="400" w:lineRule="exact"/>
              <w:ind w:firstLine="0" w:firstLineChars="0"/>
              <w:jc w:val="left"/>
              <w:rPr>
                <w:rFonts w:hint="eastAsia"/>
                <w:color w:val="auto"/>
                <w:sz w:val="22"/>
                <w:szCs w:val="22"/>
                <w:highlight w:val="none"/>
              </w:rPr>
            </w:pPr>
            <w:r>
              <w:rPr>
                <w:rFonts w:hint="eastAsia"/>
                <w:color w:val="auto"/>
                <w:sz w:val="22"/>
                <w:szCs w:val="22"/>
                <w:highlight w:val="none"/>
              </w:rPr>
              <w:t>2、项目执行中，与学生发生重大纠纷，损害学生利益、影响学校声誉，情节恶劣的，取消中标供应商相关资格。</w:t>
            </w:r>
          </w:p>
          <w:p>
            <w:pPr>
              <w:widowControl/>
              <w:spacing w:line="400" w:lineRule="exact"/>
              <w:ind w:firstLine="0" w:firstLineChars="0"/>
              <w:jc w:val="left"/>
              <w:rPr>
                <w:rFonts w:hint="eastAsia"/>
                <w:color w:val="auto"/>
                <w:sz w:val="22"/>
                <w:szCs w:val="22"/>
                <w:highlight w:val="none"/>
              </w:rPr>
            </w:pPr>
            <w:r>
              <w:rPr>
                <w:rFonts w:hint="eastAsia"/>
                <w:color w:val="auto"/>
                <w:sz w:val="22"/>
                <w:szCs w:val="22"/>
                <w:highlight w:val="none"/>
              </w:rPr>
              <w:t>3、项目执行中，将学生输送到其他非中标供应商机构，损害学校利益的，一经发现取消中标供应商相关资格。</w:t>
            </w:r>
          </w:p>
          <w:p>
            <w:pPr>
              <w:widowControl/>
              <w:spacing w:line="400" w:lineRule="exact"/>
              <w:jc w:val="left"/>
              <w:rPr>
                <w:rFonts w:hint="eastAsia"/>
                <w:color w:val="auto"/>
                <w:sz w:val="22"/>
                <w:szCs w:val="22"/>
                <w:highlight w:val="none"/>
              </w:rPr>
            </w:pPr>
            <w:r>
              <w:rPr>
                <w:rFonts w:hint="eastAsia"/>
                <w:color w:val="auto"/>
                <w:sz w:val="22"/>
                <w:szCs w:val="22"/>
                <w:highlight w:val="none"/>
              </w:rPr>
              <w:t xml:space="preserve">（四）学校提供内容 </w:t>
            </w:r>
          </w:p>
          <w:p>
            <w:pPr>
              <w:widowControl/>
              <w:spacing w:line="400" w:lineRule="exact"/>
              <w:ind w:firstLine="0" w:firstLineChars="0"/>
              <w:jc w:val="left"/>
              <w:rPr>
                <w:rFonts w:hint="eastAsia"/>
                <w:color w:val="auto"/>
                <w:sz w:val="22"/>
                <w:szCs w:val="22"/>
                <w:highlight w:val="none"/>
              </w:rPr>
            </w:pPr>
            <w:r>
              <w:rPr>
                <w:rFonts w:hint="eastAsia"/>
                <w:color w:val="auto"/>
                <w:sz w:val="22"/>
                <w:szCs w:val="22"/>
                <w:highlight w:val="none"/>
                <w:lang w:val="en-US" w:eastAsia="zh-CN"/>
              </w:rPr>
              <w:t>1</w:t>
            </w:r>
            <w:r>
              <w:rPr>
                <w:rFonts w:hint="eastAsia"/>
                <w:color w:val="auto"/>
                <w:sz w:val="22"/>
                <w:szCs w:val="22"/>
                <w:highlight w:val="none"/>
              </w:rPr>
              <w:t>、支持中标单位招生宣传工作，视情况安排老师协助。</w:t>
            </w:r>
          </w:p>
          <w:p>
            <w:pPr>
              <w:widowControl/>
              <w:spacing w:line="400" w:lineRule="exact"/>
              <w:ind w:firstLine="0" w:firstLineChars="0"/>
              <w:jc w:val="left"/>
              <w:rPr>
                <w:rFonts w:hint="eastAsia"/>
                <w:color w:val="auto"/>
                <w:sz w:val="22"/>
                <w:szCs w:val="22"/>
                <w:highlight w:val="none"/>
              </w:rPr>
            </w:pPr>
            <w:r>
              <w:rPr>
                <w:rFonts w:hint="eastAsia"/>
                <w:color w:val="auto"/>
                <w:sz w:val="22"/>
                <w:szCs w:val="22"/>
                <w:highlight w:val="none"/>
                <w:lang w:val="en-US" w:eastAsia="zh-CN"/>
              </w:rPr>
              <w:t xml:space="preserve">2、在学校条件允许情况下，免费提供满足培训要求的教学实操场地、多媒体教室（可共用）、办公室（使用面积不超过25平方米）及配套的宽带网络和水电等。如甲方无法提供满足培训要求的教学实操场地，由乙方在校外建设培训报名服务点以及教学服务点。  </w:t>
            </w:r>
            <w:r>
              <w:rPr>
                <w:rFonts w:hint="eastAsia"/>
                <w:color w:val="auto"/>
                <w:sz w:val="22"/>
                <w:szCs w:val="22"/>
                <w:highlight w:val="none"/>
              </w:rPr>
              <w:t xml:space="preserve"> </w:t>
            </w:r>
          </w:p>
          <w:p>
            <w:pPr>
              <w:widowControl/>
              <w:spacing w:line="400" w:lineRule="exact"/>
              <w:ind w:firstLine="0"/>
              <w:jc w:val="left"/>
              <w:rPr>
                <w:rFonts w:hint="eastAsia" w:ascii="Times New Roman" w:hAnsi="Times New Roman" w:eastAsia="宋体" w:cs="Times New Roman"/>
                <w:color w:val="auto"/>
                <w:sz w:val="22"/>
                <w:szCs w:val="22"/>
                <w:highlight w:val="none"/>
                <w:u w:val="single"/>
                <w:lang w:val="en-US" w:eastAsia="zh-CN"/>
              </w:rPr>
            </w:pPr>
            <w:r>
              <w:rPr>
                <w:rFonts w:hint="eastAsia"/>
                <w:color w:val="auto"/>
                <w:sz w:val="22"/>
                <w:szCs w:val="22"/>
                <w:highlight w:val="none"/>
              </w:rPr>
              <w:t>（</w:t>
            </w:r>
            <w:r>
              <w:rPr>
                <w:rFonts w:hint="eastAsia"/>
                <w:color w:val="auto"/>
                <w:sz w:val="22"/>
                <w:szCs w:val="22"/>
                <w:highlight w:val="none"/>
                <w:lang w:eastAsia="zh-CN"/>
              </w:rPr>
              <w:t>五</w:t>
            </w:r>
            <w:r>
              <w:rPr>
                <w:rFonts w:hint="eastAsia"/>
                <w:color w:val="auto"/>
                <w:sz w:val="22"/>
                <w:szCs w:val="22"/>
                <w:highlight w:val="none"/>
              </w:rPr>
              <w:t>）</w:t>
            </w:r>
            <w:r>
              <w:rPr>
                <w:rFonts w:hint="eastAsia" w:ascii="Times New Roman" w:hAnsi="Times New Roman" w:eastAsia="宋体" w:cs="Times New Roman"/>
                <w:color w:val="auto"/>
                <w:sz w:val="22"/>
                <w:szCs w:val="22"/>
                <w:highlight w:val="none"/>
                <w:u w:val="single"/>
              </w:rPr>
              <w:t>▲普通全日制专升本考前辅导机构收费</w:t>
            </w:r>
            <w:r>
              <w:rPr>
                <w:rFonts w:hint="eastAsia" w:ascii="Times New Roman" w:hAnsi="Times New Roman" w:eastAsia="宋体" w:cs="Times New Roman"/>
                <w:color w:val="auto"/>
                <w:sz w:val="22"/>
                <w:szCs w:val="22"/>
                <w:highlight w:val="none"/>
                <w:u w:val="single"/>
                <w:lang w:eastAsia="zh-CN"/>
              </w:rPr>
              <w:t>最高不得超35800元</w:t>
            </w:r>
            <w:r>
              <w:rPr>
                <w:rFonts w:hint="eastAsia" w:ascii="Times New Roman" w:hAnsi="Times New Roman" w:eastAsia="宋体" w:cs="Times New Roman"/>
                <w:color w:val="auto"/>
                <w:sz w:val="22"/>
                <w:szCs w:val="22"/>
                <w:highlight w:val="none"/>
                <w:u w:val="single"/>
                <w:lang w:val="en-US" w:eastAsia="zh-CN"/>
              </w:rPr>
              <w:t>/人。</w:t>
            </w:r>
          </w:p>
          <w:p>
            <w:pPr>
              <w:widowControl/>
              <w:spacing w:line="400" w:lineRule="exact"/>
              <w:ind w:firstLine="0"/>
              <w:jc w:val="left"/>
              <w:rPr>
                <w:rFonts w:hint="eastAsia" w:ascii="Times New Roman" w:hAnsi="Times New Roman" w:eastAsia="宋体" w:cs="Times New Roman"/>
                <w:color w:val="auto"/>
                <w:sz w:val="22"/>
                <w:szCs w:val="22"/>
                <w:highlight w:val="none"/>
                <w:u w:val="single"/>
                <w:lang w:val="en-US" w:eastAsia="zh-CN"/>
              </w:rPr>
            </w:pPr>
            <w:r>
              <w:rPr>
                <w:rFonts w:hint="eastAsia" w:ascii="Times New Roman" w:hAnsi="Times New Roman" w:eastAsia="宋体" w:cs="Times New Roman"/>
                <w:color w:val="auto"/>
                <w:sz w:val="22"/>
                <w:szCs w:val="22"/>
                <w:highlight w:val="none"/>
                <w:u w:val="single"/>
                <w:lang w:val="en-US" w:eastAsia="zh-CN"/>
              </w:rPr>
              <w:t>▲1、质量保障：入围供应商须保证所培训学生参加当年浙江省普通高校专升本考试的通过率高于学生所参加大类考试的浙江省平均通过率，低于取消中标供应商第二年入围资格。</w:t>
            </w:r>
          </w:p>
          <w:p>
            <w:pPr>
              <w:widowControl/>
              <w:spacing w:line="400" w:lineRule="exact"/>
              <w:ind w:firstLine="0"/>
              <w:jc w:val="left"/>
              <w:rPr>
                <w:rFonts w:hint="eastAsia"/>
                <w:color w:val="auto"/>
                <w:sz w:val="22"/>
                <w:szCs w:val="22"/>
                <w:highlight w:val="none"/>
                <w:lang w:val="en-US" w:eastAsia="zh-CN"/>
              </w:rPr>
            </w:pPr>
            <w:r>
              <w:rPr>
                <w:rFonts w:hint="eastAsia" w:ascii="Times New Roman" w:hAnsi="Times New Roman" w:eastAsia="宋体" w:cs="Times New Roman"/>
                <w:color w:val="auto"/>
                <w:sz w:val="22"/>
                <w:szCs w:val="22"/>
                <w:highlight w:val="none"/>
                <w:u w:val="single"/>
                <w:lang w:val="en-US" w:eastAsia="zh-CN"/>
              </w:rPr>
              <w:t>▲2、项目执行中，入围供应商第一年招生人数不足100人的，取消中标供应商第二年入围资格。</w:t>
            </w:r>
          </w:p>
        </w:tc>
      </w:tr>
    </w:tbl>
    <w:p>
      <w:pPr>
        <w:pStyle w:val="2"/>
        <w:rPr>
          <w:rFonts w:hint="eastAsia"/>
          <w:color w:val="auto"/>
          <w:highlight w:val="none"/>
        </w:rPr>
      </w:pPr>
    </w:p>
    <w:p>
      <w:pPr>
        <w:numPr>
          <w:ilvl w:val="0"/>
          <w:numId w:val="2"/>
        </w:numPr>
        <w:snapToGrid w:val="0"/>
        <w:spacing w:line="360" w:lineRule="exact"/>
        <w:rPr>
          <w:rFonts w:ascii="宋体" w:hAnsi="宋体" w:cs="宋体"/>
          <w:b/>
          <w:color w:val="auto"/>
          <w:spacing w:val="-6"/>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color w:val="auto"/>
          <w:spacing w:val="-6"/>
          <w:sz w:val="22"/>
          <w:szCs w:val="22"/>
          <w:highlight w:val="none"/>
        </w:rPr>
        <w:t>其他</w:t>
      </w:r>
    </w:p>
    <w:p>
      <w:pPr>
        <w:spacing w:line="360" w:lineRule="exact"/>
        <w:ind w:firstLine="313" w:firstLineChars="15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snapToGrid w:val="0"/>
        <w:spacing w:line="360" w:lineRule="exact"/>
        <w:ind w:firstLine="418" w:firstLineChars="200"/>
        <w:jc w:val="left"/>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3.如技术部分中未特别注明需执行的国家相关标准、行业标准、地方标准或者其他标准、规范，则统一执行最新标准、规范。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3951C00E"/>
    <w:multiLevelType w:val="singleLevel"/>
    <w:tmpl w:val="3951C00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3750035A"/>
    <w:rsid w:val="37601AE8"/>
    <w:rsid w:val="45BD2990"/>
    <w:rsid w:val="5D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00" w:lineRule="atLeast"/>
      <w:ind w:firstLine="510"/>
      <w:textAlignment w:val="baseline"/>
    </w:pPr>
    <w:rPr>
      <w:rFonts w:eastAsia="微软雅黑"/>
      <w:kern w:val="0"/>
      <w:sz w:val="24"/>
    </w:rPr>
  </w:style>
  <w:style w:type="paragraph" w:styleId="4">
    <w:name w:val="Body Text"/>
    <w:basedOn w:val="1"/>
    <w:next w:val="1"/>
    <w:qFormat/>
    <w:uiPriority w:val="0"/>
    <w:pPr>
      <w:spacing w:after="120"/>
    </w:pPr>
  </w:style>
  <w:style w:type="paragraph" w:styleId="5">
    <w:name w:val="Body Text Indent"/>
    <w:basedOn w:val="1"/>
    <w:next w:val="1"/>
    <w:qFormat/>
    <w:uiPriority w:val="0"/>
    <w:pPr>
      <w:adjustRightInd w:val="0"/>
      <w:spacing w:line="360" w:lineRule="auto"/>
      <w:ind w:firstLine="490"/>
      <w:jc w:val="left"/>
    </w:pPr>
    <w:rPr>
      <w:rFonts w:ascii="宋体" w:hAnsi="宋体"/>
      <w:sz w:val="24"/>
    </w:rPr>
  </w:style>
  <w:style w:type="paragraph" w:styleId="6">
    <w:name w:val="Body Text First Indent 2"/>
    <w:basedOn w:val="5"/>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customStyle="1" w:styleId="9">
    <w:name w:val="无间隔1"/>
    <w:qFormat/>
    <w:uiPriority w:val="1"/>
    <w:pPr>
      <w:widowControl w:val="0"/>
      <w:snapToGrid w:val="0"/>
      <w:jc w:val="both"/>
    </w:pPr>
    <w:rPr>
      <w:rFonts w:ascii="Times New Roman" w:hAnsi="Times New Roman" w:eastAsia="宋体" w:cs="Times New Roman"/>
      <w:kern w:val="2"/>
      <w:sz w:val="21"/>
      <w:szCs w:val="24"/>
      <w:lang w:val="en-US" w:eastAsia="zh-CN" w:bidi="ar-SA"/>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18137</Words>
  <Characters>19000</Characters>
  <Lines>0</Lines>
  <Paragraphs>0</Paragraphs>
  <TotalTime>0</TotalTime>
  <ScaleCrop>false</ScaleCrop>
  <LinksUpToDate>false</LinksUpToDate>
  <CharactersWithSpaces>19089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2022-05-05T01:25:07Z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881EF052A2584084BEFA30C60D5068D4</vt:lpwstr>
  </property>
</Properties>
</file>