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采购需求</w:t>
      </w:r>
    </w:p>
    <w:p>
      <w:pPr>
        <w:snapToGrid w:val="0"/>
        <w:spacing w:line="360" w:lineRule="exact"/>
        <w:rPr>
          <w:rFonts w:hint="eastAsia" w:ascii="宋体" w:hAnsi="宋体" w:cs="宋体"/>
          <w:b/>
          <w:bCs/>
          <w:color w:val="auto"/>
          <w:spacing w:val="-6"/>
          <w:sz w:val="22"/>
          <w:szCs w:val="22"/>
          <w:highlight w:val="none"/>
        </w:rPr>
      </w:pPr>
      <w:r>
        <w:rPr>
          <w:rFonts w:hint="eastAsia" w:ascii="宋体" w:hAnsi="宋体" w:cs="宋体"/>
          <w:b/>
          <w:bCs/>
          <w:color w:val="auto"/>
          <w:spacing w:val="-6"/>
          <w:sz w:val="22"/>
          <w:szCs w:val="22"/>
          <w:highlight w:val="none"/>
        </w:rPr>
        <w:t>一、采购内容及数量</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8"/>
        <w:gridCol w:w="3484"/>
        <w:gridCol w:w="1418"/>
        <w:gridCol w:w="1721"/>
        <w:gridCol w:w="2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38" w:type="dxa"/>
            <w:noWrap w:val="0"/>
            <w:tcMar>
              <w:top w:w="0" w:type="dxa"/>
              <w:left w:w="108" w:type="dxa"/>
              <w:bottom w:w="0" w:type="dxa"/>
              <w:right w:w="108" w:type="dxa"/>
            </w:tcMar>
            <w:vAlign w:val="center"/>
          </w:tcPr>
          <w:p>
            <w:pPr>
              <w:spacing w:line="37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序号</w:t>
            </w:r>
          </w:p>
        </w:tc>
        <w:tc>
          <w:tcPr>
            <w:tcW w:w="3484" w:type="dxa"/>
            <w:noWrap w:val="0"/>
            <w:tcMar>
              <w:top w:w="0" w:type="dxa"/>
              <w:left w:w="108" w:type="dxa"/>
              <w:bottom w:w="0" w:type="dxa"/>
              <w:right w:w="108" w:type="dxa"/>
            </w:tcMar>
            <w:vAlign w:val="center"/>
          </w:tcPr>
          <w:p>
            <w:pPr>
              <w:spacing w:line="34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项目内容</w:t>
            </w:r>
          </w:p>
        </w:tc>
        <w:tc>
          <w:tcPr>
            <w:tcW w:w="1418" w:type="dxa"/>
            <w:noWrap w:val="0"/>
            <w:tcMar>
              <w:top w:w="0" w:type="dxa"/>
              <w:left w:w="108" w:type="dxa"/>
              <w:bottom w:w="0" w:type="dxa"/>
              <w:right w:w="108" w:type="dxa"/>
            </w:tcMar>
            <w:vAlign w:val="center"/>
          </w:tcPr>
          <w:p>
            <w:pPr>
              <w:spacing w:line="3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数量</w:t>
            </w:r>
          </w:p>
        </w:tc>
        <w:tc>
          <w:tcPr>
            <w:tcW w:w="1721" w:type="dxa"/>
            <w:noWrap w:val="0"/>
            <w:tcMar>
              <w:top w:w="0" w:type="dxa"/>
              <w:left w:w="108" w:type="dxa"/>
              <w:bottom w:w="0" w:type="dxa"/>
              <w:right w:w="108" w:type="dxa"/>
            </w:tcMar>
            <w:vAlign w:val="center"/>
          </w:tcPr>
          <w:p>
            <w:pPr>
              <w:spacing w:line="37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预算金额(元)</w:t>
            </w:r>
          </w:p>
        </w:tc>
        <w:tc>
          <w:tcPr>
            <w:tcW w:w="2093" w:type="dxa"/>
            <w:noWrap w:val="0"/>
            <w:tcMar>
              <w:top w:w="0" w:type="dxa"/>
              <w:left w:w="108" w:type="dxa"/>
              <w:bottom w:w="0" w:type="dxa"/>
              <w:right w:w="108" w:type="dxa"/>
            </w:tcMar>
            <w:vAlign w:val="center"/>
          </w:tcPr>
          <w:p>
            <w:pPr>
              <w:spacing w:line="37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1038" w:type="dxa"/>
            <w:noWrap w:val="0"/>
            <w:tcMar>
              <w:top w:w="0" w:type="dxa"/>
              <w:left w:w="108" w:type="dxa"/>
              <w:bottom w:w="0" w:type="dxa"/>
              <w:right w:w="108" w:type="dxa"/>
            </w:tcMar>
            <w:vAlign w:val="center"/>
          </w:tcPr>
          <w:p>
            <w:pPr>
              <w:spacing w:line="34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3484" w:type="dxa"/>
            <w:noWrap w:val="0"/>
            <w:tcMar>
              <w:top w:w="0" w:type="dxa"/>
              <w:left w:w="108" w:type="dxa"/>
              <w:bottom w:w="0" w:type="dxa"/>
              <w:right w:w="108" w:type="dxa"/>
            </w:tcMar>
            <w:vAlign w:val="center"/>
          </w:tcPr>
          <w:p>
            <w:pPr>
              <w:spacing w:line="34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数字商贸综合教学实践中心建设</w:t>
            </w:r>
          </w:p>
        </w:tc>
        <w:tc>
          <w:tcPr>
            <w:tcW w:w="1418" w:type="dxa"/>
            <w:noWrap w:val="0"/>
            <w:tcMar>
              <w:top w:w="0" w:type="dxa"/>
              <w:left w:w="108" w:type="dxa"/>
              <w:bottom w:w="0" w:type="dxa"/>
              <w:right w:w="108" w:type="dxa"/>
            </w:tcMar>
            <w:vAlign w:val="center"/>
          </w:tcPr>
          <w:p>
            <w:pPr>
              <w:spacing w:line="3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1批</w:t>
            </w:r>
          </w:p>
        </w:tc>
        <w:tc>
          <w:tcPr>
            <w:tcW w:w="1721" w:type="dxa"/>
            <w:noWrap w:val="0"/>
            <w:tcMar>
              <w:top w:w="0" w:type="dxa"/>
              <w:left w:w="108" w:type="dxa"/>
              <w:bottom w:w="0" w:type="dxa"/>
              <w:right w:w="108" w:type="dxa"/>
            </w:tcMar>
            <w:vAlign w:val="center"/>
          </w:tcPr>
          <w:p>
            <w:pPr>
              <w:spacing w:line="34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425500.00</w:t>
            </w:r>
          </w:p>
        </w:tc>
        <w:tc>
          <w:tcPr>
            <w:tcW w:w="2093" w:type="dxa"/>
            <w:noWrap w:val="0"/>
            <w:tcMar>
              <w:top w:w="0" w:type="dxa"/>
              <w:left w:w="108" w:type="dxa"/>
              <w:bottom w:w="0" w:type="dxa"/>
              <w:right w:w="108" w:type="dxa"/>
            </w:tcMar>
            <w:vAlign w:val="center"/>
          </w:tcPr>
          <w:p>
            <w:pPr>
              <w:spacing w:line="370" w:lineRule="exact"/>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rPr>
              <w:t xml:space="preserve"> </w:t>
            </w:r>
          </w:p>
        </w:tc>
      </w:tr>
    </w:tbl>
    <w:p>
      <w:pPr>
        <w:numPr>
          <w:ilvl w:val="0"/>
          <w:numId w:val="1"/>
        </w:numPr>
        <w:snapToGrid w:val="0"/>
        <w:spacing w:line="360" w:lineRule="exact"/>
        <w:outlineLvl w:val="0"/>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商务要求（技术要求里另有注明A的以技术要求为准）</w:t>
      </w:r>
    </w:p>
    <w:tbl>
      <w:tblPr>
        <w:tblStyle w:val="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1"/>
        <w:gridCol w:w="8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bCs/>
                <w:color w:val="auto"/>
                <w:sz w:val="22"/>
                <w:szCs w:val="22"/>
                <w:highlight w:val="none"/>
                <w:u w:val="single"/>
              </w:rPr>
            </w:pPr>
            <w:r>
              <w:rPr>
                <w:rFonts w:hint="eastAsia" w:ascii="宋体" w:hAnsi="宋体" w:cs="宋体"/>
                <w:bCs/>
                <w:color w:val="auto"/>
                <w:spacing w:val="-6"/>
                <w:sz w:val="22"/>
                <w:szCs w:val="22"/>
                <w:highlight w:val="none"/>
                <w:u w:val="single"/>
              </w:rPr>
              <w:t>▲履约保证金及</w:t>
            </w:r>
            <w:r>
              <w:rPr>
                <w:rFonts w:hint="eastAsia" w:ascii="宋体" w:hAnsi="宋体" w:cs="宋体"/>
                <w:bCs/>
                <w:color w:val="auto"/>
                <w:sz w:val="22"/>
                <w:szCs w:val="22"/>
                <w:highlight w:val="none"/>
                <w:u w:val="single"/>
              </w:rPr>
              <w:t>付款条件</w:t>
            </w:r>
          </w:p>
        </w:tc>
        <w:tc>
          <w:tcPr>
            <w:tcW w:w="8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cs="宋体"/>
                <w:bCs/>
                <w:snapToGrid w:val="0"/>
                <w:color w:val="auto"/>
                <w:kern w:val="0"/>
                <w:sz w:val="22"/>
                <w:szCs w:val="22"/>
                <w:highlight w:val="none"/>
                <w:u w:val="single"/>
              </w:rPr>
            </w:pPr>
            <w:r>
              <w:rPr>
                <w:rFonts w:hint="eastAsia" w:ascii="宋体" w:hAnsi="宋体" w:cs="宋体"/>
                <w:bCs/>
                <w:snapToGrid w:val="0"/>
                <w:color w:val="auto"/>
                <w:kern w:val="0"/>
                <w:sz w:val="22"/>
                <w:szCs w:val="22"/>
                <w:highlight w:val="none"/>
                <w:u w:val="single"/>
              </w:rPr>
              <w:t>履约保证金：乙方在合同签订后7个工作日内，向甲方提交合同总金额1%履约保证金（接受银行转账、支票、汇票、本票、履约保函等多种非现金形式），履约保证金自项目验收合格之日起7个工作日内无息退还。</w:t>
            </w:r>
          </w:p>
          <w:p>
            <w:pPr>
              <w:spacing w:line="360" w:lineRule="auto"/>
              <w:jc w:val="left"/>
              <w:rPr>
                <w:rFonts w:hint="eastAsia" w:ascii="宋体" w:hAnsi="宋体" w:cs="宋体"/>
                <w:bCs/>
                <w:color w:val="auto"/>
                <w:sz w:val="22"/>
                <w:szCs w:val="22"/>
                <w:highlight w:val="none"/>
                <w:u w:val="single"/>
              </w:rPr>
            </w:pPr>
            <w:r>
              <w:rPr>
                <w:rFonts w:hint="eastAsia" w:ascii="宋体" w:hAnsi="宋体" w:cs="宋体"/>
                <w:bCs/>
                <w:snapToGrid w:val="0"/>
                <w:color w:val="auto"/>
                <w:kern w:val="0"/>
                <w:sz w:val="22"/>
                <w:szCs w:val="22"/>
                <w:highlight w:val="none"/>
                <w:u w:val="single"/>
              </w:rPr>
              <w:t>付款条件：合同生效以及具备实施条件后7个工作日内，甲方向乙方支付合同总额的40%作为预付款；项目验收合格后自收到发票后7个工作日内，甲方向乙方支付合同总额的60%合同款。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质保期</w:t>
            </w:r>
          </w:p>
        </w:tc>
        <w:tc>
          <w:tcPr>
            <w:tcW w:w="8080" w:type="dxa"/>
            <w:tcBorders>
              <w:top w:val="single" w:color="auto" w:sz="4" w:space="0"/>
              <w:left w:val="single" w:color="auto" w:sz="4" w:space="0"/>
              <w:bottom w:val="single" w:color="auto" w:sz="4" w:space="0"/>
              <w:right w:val="single" w:color="auto" w:sz="4" w:space="0"/>
            </w:tcBorders>
            <w:noWrap w:val="0"/>
            <w:vAlign w:val="center"/>
          </w:tcPr>
          <w:p>
            <w:pPr>
              <w:spacing w:line="370" w:lineRule="exact"/>
              <w:rPr>
                <w:rFonts w:ascii="宋体" w:hAnsi="宋体"/>
                <w:color w:val="auto"/>
                <w:sz w:val="22"/>
                <w:szCs w:val="22"/>
                <w:highlight w:val="none"/>
              </w:rPr>
            </w:pPr>
            <w:r>
              <w:rPr>
                <w:rFonts w:hint="eastAsia" w:ascii="宋体" w:hAnsi="宋体" w:cs="宋体"/>
                <w:bCs/>
                <w:color w:val="auto"/>
                <w:sz w:val="22"/>
                <w:szCs w:val="22"/>
                <w:highlight w:val="none"/>
              </w:rPr>
              <w:t>验收合格日起</w:t>
            </w:r>
            <w:r>
              <w:rPr>
                <w:rFonts w:hint="eastAsia" w:ascii="宋体" w:hAnsi="宋体" w:cs="宋体"/>
                <w:bCs/>
                <w:color w:val="auto"/>
                <w:sz w:val="22"/>
                <w:szCs w:val="22"/>
                <w:highlight w:val="none"/>
                <w:lang w:eastAsia="zh-CN"/>
              </w:rPr>
              <w:t>2</w:t>
            </w:r>
            <w:r>
              <w:rPr>
                <w:rFonts w:hint="eastAsia" w:ascii="宋体" w:hAnsi="宋体" w:cs="宋体"/>
                <w:bCs/>
                <w:color w:val="auto"/>
                <w:sz w:val="22"/>
                <w:szCs w:val="22"/>
                <w:highlight w:val="none"/>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宋体"/>
                <w:bCs/>
                <w:color w:val="auto"/>
                <w:sz w:val="22"/>
                <w:szCs w:val="22"/>
                <w:highlight w:val="none"/>
              </w:rPr>
            </w:pPr>
            <w:r>
              <w:rPr>
                <w:rFonts w:hint="eastAsia" w:ascii="宋体" w:hAnsi="宋体" w:cs="宋体"/>
                <w:bCs/>
                <w:color w:val="auto"/>
                <w:sz w:val="22"/>
                <w:szCs w:val="22"/>
                <w:highlight w:val="none"/>
              </w:rPr>
              <w:t>交付时间</w:t>
            </w:r>
          </w:p>
        </w:tc>
        <w:tc>
          <w:tcPr>
            <w:tcW w:w="8080" w:type="dxa"/>
            <w:tcBorders>
              <w:top w:val="single" w:color="auto" w:sz="4" w:space="0"/>
              <w:left w:val="single" w:color="auto" w:sz="4" w:space="0"/>
              <w:bottom w:val="single" w:color="auto" w:sz="4" w:space="0"/>
              <w:right w:val="single" w:color="auto" w:sz="4" w:space="0"/>
            </w:tcBorders>
            <w:noWrap w:val="0"/>
            <w:vAlign w:val="center"/>
          </w:tcPr>
          <w:p>
            <w:pPr>
              <w:spacing w:line="370" w:lineRule="exact"/>
              <w:rPr>
                <w:rFonts w:hint="eastAsia" w:ascii="宋体" w:hAnsi="宋体" w:eastAsia="宋体" w:cs="宋体"/>
                <w:bCs/>
                <w:color w:val="auto"/>
                <w:sz w:val="22"/>
                <w:szCs w:val="22"/>
                <w:highlight w:val="none"/>
                <w:lang w:eastAsia="zh-CN"/>
              </w:rPr>
            </w:pPr>
            <w:r>
              <w:rPr>
                <w:rFonts w:hint="eastAsia" w:ascii="宋体" w:hAnsi="宋体"/>
                <w:color w:val="auto"/>
                <w:sz w:val="22"/>
                <w:szCs w:val="22"/>
                <w:highlight w:val="none"/>
                <w:lang w:val="en-US" w:eastAsia="zh-CN"/>
              </w:rPr>
              <w:t>2022年8月30日前完成项目</w:t>
            </w:r>
            <w:r>
              <w:rPr>
                <w:rFonts w:hint="eastAsia" w:ascii="宋体" w:hAnsi="宋体"/>
                <w:color w:val="auto"/>
                <w:sz w:val="22"/>
                <w:szCs w:val="22"/>
                <w:highlight w:val="none"/>
              </w:rPr>
              <w:t>交付</w:t>
            </w:r>
            <w:r>
              <w:rPr>
                <w:rFonts w:hint="eastAsia" w:ascii="宋体" w:hAnsi="宋体"/>
                <w:color w:val="auto"/>
                <w:sz w:val="22"/>
                <w:szCs w:val="22"/>
                <w:highlight w:val="none"/>
                <w:lang w:eastAsia="zh-CN"/>
              </w:rPr>
              <w:t>并能正常使用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7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交付地点</w:t>
            </w:r>
          </w:p>
        </w:tc>
        <w:tc>
          <w:tcPr>
            <w:tcW w:w="8080" w:type="dxa"/>
            <w:tcBorders>
              <w:top w:val="single" w:color="auto" w:sz="4" w:space="0"/>
              <w:left w:val="single" w:color="auto" w:sz="4" w:space="0"/>
              <w:bottom w:val="single" w:color="auto" w:sz="4" w:space="0"/>
              <w:right w:val="single" w:color="auto" w:sz="4" w:space="0"/>
            </w:tcBorders>
            <w:noWrap w:val="0"/>
            <w:vAlign w:val="center"/>
          </w:tcPr>
          <w:p>
            <w:pPr>
              <w:spacing w:line="370" w:lineRule="exact"/>
              <w:rPr>
                <w:rFonts w:hint="eastAsia" w:ascii="宋体" w:hAnsi="宋体" w:cs="宋体"/>
                <w:color w:val="auto"/>
                <w:kern w:val="0"/>
                <w:sz w:val="22"/>
                <w:szCs w:val="22"/>
                <w:highlight w:val="none"/>
              </w:rPr>
            </w:pPr>
            <w:r>
              <w:rPr>
                <w:rFonts w:hint="eastAsia" w:ascii="宋体" w:hAnsi="宋体" w:cs="宋体"/>
                <w:bCs/>
                <w:snapToGrid w:val="0"/>
                <w:color w:val="auto"/>
                <w:kern w:val="0"/>
                <w:sz w:val="22"/>
                <w:szCs w:val="22"/>
                <w:highlight w:val="none"/>
              </w:rPr>
              <w:t>甲方</w:t>
            </w:r>
            <w:r>
              <w:rPr>
                <w:rFonts w:hint="eastAsia" w:ascii="宋体" w:hAnsi="宋体"/>
                <w:color w:val="auto"/>
                <w:sz w:val="22"/>
                <w:szCs w:val="22"/>
                <w:highlight w:val="none"/>
              </w:rPr>
              <w:t>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验收要求</w:t>
            </w:r>
          </w:p>
        </w:tc>
        <w:tc>
          <w:tcPr>
            <w:tcW w:w="8080" w:type="dxa"/>
            <w:tcBorders>
              <w:top w:val="single" w:color="auto" w:sz="4" w:space="0"/>
              <w:left w:val="single" w:color="auto" w:sz="4" w:space="0"/>
              <w:bottom w:val="single" w:color="auto" w:sz="4" w:space="0"/>
              <w:right w:val="single" w:color="auto" w:sz="4" w:space="0"/>
            </w:tcBorders>
            <w:noWrap w:val="0"/>
            <w:vAlign w:val="center"/>
          </w:tcPr>
          <w:p>
            <w:pPr>
              <w:overflowPunct w:val="0"/>
              <w:topLinePunct/>
              <w:snapToGrid w:val="0"/>
              <w:spacing w:line="360" w:lineRule="exact"/>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验收应按照</w:t>
            </w:r>
            <w:r>
              <w:rPr>
                <w:rFonts w:hint="eastAsia" w:ascii="宋体" w:hAnsi="宋体" w:cs="宋体"/>
                <w:bCs/>
                <w:snapToGrid w:val="0"/>
                <w:color w:val="auto"/>
                <w:kern w:val="0"/>
                <w:sz w:val="22"/>
                <w:szCs w:val="22"/>
                <w:highlight w:val="none"/>
              </w:rPr>
              <w:t>甲方</w:t>
            </w:r>
            <w:r>
              <w:rPr>
                <w:rFonts w:hint="eastAsia" w:ascii="宋体" w:hAnsi="宋体" w:cs="宋体"/>
                <w:bCs/>
                <w:color w:val="auto"/>
                <w:sz w:val="22"/>
                <w:szCs w:val="22"/>
                <w:highlight w:val="none"/>
              </w:rPr>
              <w:t>确认的验收要求进行，全过程必须由</w:t>
            </w:r>
            <w:r>
              <w:rPr>
                <w:rFonts w:hint="eastAsia" w:ascii="宋体" w:hAnsi="宋体" w:cs="宋体"/>
                <w:bCs/>
                <w:snapToGrid w:val="0"/>
                <w:color w:val="auto"/>
                <w:kern w:val="0"/>
                <w:sz w:val="22"/>
                <w:szCs w:val="22"/>
                <w:highlight w:val="none"/>
              </w:rPr>
              <w:t>甲方</w:t>
            </w:r>
            <w:r>
              <w:rPr>
                <w:rFonts w:hint="eastAsia" w:ascii="宋体" w:hAnsi="宋体" w:cs="宋体"/>
                <w:bCs/>
                <w:color w:val="auto"/>
                <w:sz w:val="22"/>
                <w:szCs w:val="22"/>
                <w:highlight w:val="none"/>
              </w:rPr>
              <w:t>在场见证。</w:t>
            </w:r>
          </w:p>
          <w:p>
            <w:pPr>
              <w:numPr>
                <w:ilvl w:val="0"/>
                <w:numId w:val="2"/>
              </w:numPr>
              <w:spacing w:line="360" w:lineRule="exact"/>
              <w:ind w:left="0"/>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如项目后期需代理组织校外人员验收，验收费用5000元由乙方支付给代理公司。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bCs/>
                <w:color w:val="auto"/>
                <w:sz w:val="22"/>
                <w:szCs w:val="22"/>
                <w:highlight w:val="none"/>
              </w:rPr>
            </w:pPr>
            <w:r>
              <w:rPr>
                <w:rFonts w:hint="eastAsia" w:ascii="宋体" w:hAnsi="宋体"/>
                <w:color w:val="auto"/>
                <w:sz w:val="22"/>
                <w:szCs w:val="22"/>
                <w:highlight w:val="none"/>
              </w:rPr>
              <w:t>售后服务要求</w:t>
            </w:r>
          </w:p>
        </w:tc>
        <w:tc>
          <w:tcPr>
            <w:tcW w:w="8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cs="宋体"/>
                <w:bCs/>
                <w:color w:val="auto"/>
                <w:sz w:val="22"/>
                <w:szCs w:val="22"/>
                <w:highlight w:val="none"/>
              </w:rPr>
            </w:pPr>
            <w:r>
              <w:rPr>
                <w:rFonts w:hint="eastAsia" w:ascii="宋体" w:hAnsi="宋体"/>
                <w:color w:val="auto"/>
                <w:sz w:val="22"/>
                <w:szCs w:val="22"/>
                <w:highlight w:val="none"/>
              </w:rPr>
              <w:t>中标供应商应对提供的产品，免费部署，免费培训，并提供免费咨询服务。</w:t>
            </w:r>
          </w:p>
        </w:tc>
      </w:tr>
    </w:tbl>
    <w:p>
      <w:pPr>
        <w:numPr>
          <w:ilvl w:val="0"/>
          <w:numId w:val="3"/>
        </w:numPr>
        <w:snapToGrid w:val="0"/>
        <w:spacing w:line="360" w:lineRule="exact"/>
        <w:rPr>
          <w:rFonts w:hint="eastAsia" w:ascii="宋体" w:hAnsi="宋体" w:cs="宋体"/>
          <w:b/>
          <w:bCs/>
          <w:color w:val="auto"/>
          <w:spacing w:val="-6"/>
          <w:sz w:val="22"/>
          <w:szCs w:val="22"/>
          <w:highlight w:val="none"/>
        </w:rPr>
      </w:pPr>
      <w:r>
        <w:rPr>
          <w:rFonts w:hint="eastAsia" w:ascii="宋体" w:hAnsi="宋体" w:cs="宋体"/>
          <w:b/>
          <w:bCs/>
          <w:color w:val="auto"/>
          <w:spacing w:val="-6"/>
          <w:sz w:val="22"/>
          <w:szCs w:val="22"/>
          <w:highlight w:val="none"/>
        </w:rPr>
        <w:t>技术要求</w:t>
      </w:r>
    </w:p>
    <w:tbl>
      <w:tblPr>
        <w:tblStyle w:val="4"/>
        <w:tblW w:w="99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8"/>
        <w:gridCol w:w="1477"/>
        <w:gridCol w:w="5653"/>
        <w:gridCol w:w="562"/>
        <w:gridCol w:w="663"/>
        <w:gridCol w:w="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设备名称</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参数</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单位</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数量</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一、虚拟直播间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直播间一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绿幕</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1、绿色地拉幕布</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2、2.5米*2.5米</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摄像机</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1.镜头</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滤镜直径 62</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2.功能参数</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取景器 光学取景器</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传感器尺寸  1/3.13 英寸</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防抖功能  光学防抖</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传感器类型  CMOS</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音效模式  内置麦克风</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对焦方式  自动</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电池类型  可重复充电电池（V系列）</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3.基本参数</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存储方式 闪存标清</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画幅 全画幅</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动态有效像素 400万及以上</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静态有效像素  600万以上</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光学变焦倍数 15-30倍</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灯光组</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EFLLL-150LED影视灯*1 EFLLL-200LED影视灯*1 65球型柔光罩*1 JB-280摄影灯架*2 M-70X100柔光箱*1</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直播桌</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 1600*600*750mm，按需求可以微调；</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2、桌面：实木、板材厚度为25mm                                                                                                                                                                                                                                                                                                                                                                                                                   3、甲醛释放含量:小于1.5mg/L；可溶性铅&lt;9mg/kg。                                                                                                            4、五金配件：优质五金配件，均经过酸洗、磷洗等防锈处理。</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设备操控桌椅（兼选品台）</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 1600*600*750mm，按需求可以微调；</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2、桌面：板材厚度为25mm                                                                                                                                                                                                                                                                                                                                                                                                                   3、甲醛释放含量:小于1.5mg/L；可溶性铅&lt;9mg/kg。                                                                                                            4、五金配件：品牌优质五金配件，均经过酸洗、磷洗等防锈处理。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5、配一张椅子</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直播椅</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1、简约舒适型</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2、五星脚材质: 尼龙脚</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3、符合人体工学、透气干爽、固定扶手</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多功能活动课桌</w:t>
            </w:r>
          </w:p>
        </w:tc>
        <w:tc>
          <w:tcPr>
            <w:tcW w:w="5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·可倾仰靠背·扶手前后调节·可翻动座板·原生尼龙料加玻纤椅身1.2厚桉树弯板，铝合金连接件·颐达特网+弹力防尘布</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·一次性发泡定型海绵、带防尘坐壳</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·直径25管2.0厚电镀架·φ50MMPU尼龙轮、外包软质PU面与地面接触、不伤地板46cm*57cm*81cm</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r>
              <w:rPr>
                <w:color w:val="auto"/>
                <w:highlight w:val="none"/>
              </w:rPr>
              <w:drawing>
                <wp:inline distT="0" distB="0" distL="114300" distR="114300">
                  <wp:extent cx="276860" cy="404495"/>
                  <wp:effectExtent l="0" t="0" r="889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76860" cy="4044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w:t>
            </w:r>
          </w:p>
        </w:tc>
        <w:tc>
          <w:tcPr>
            <w:tcW w:w="14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高清采集卡</w:t>
            </w:r>
          </w:p>
        </w:tc>
        <w:tc>
          <w:tcPr>
            <w:tcW w:w="56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1、可采集1路高清视频信号或1路标清信号。</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2、高清输入视频信号最高可达1920x1080@60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3、标清输入视频信号最高可达PAL制768x576@25和NTSC制720x480@30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4、视频输入包括：HDMI、DVI、VGA、YPbPr、CVBS、S-Video</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5、可支持大部分Windows上的多媒体视频软件或流媒体软件。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6、提供SDK二次开发支持VC++/.NET/VB</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w:t>
            </w:r>
          </w:p>
        </w:tc>
        <w:tc>
          <w:tcPr>
            <w:tcW w:w="1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外置USB声卡</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1、功耗: &lt;2W,  (5V,400mA)</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2、信噪比: &gt;105dB(音乐输入)≥85dB(话筒输入)</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3、输出功率：800mW（耳机输出）</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4、典型录音规格：16bit/48kHz</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5、产品规格: 110*108*35毫米</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6、配备乐器输入接口，该接口支持搭配无线麦克风系统或无线耳麦进行卡拉OK、录音等用途配备伴奏音乐输入接口，便于本地进行卡拉OK唱歌具备话筒高中低音调节电路，可提供高度准确的话音效果</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7、提供两个动圈话筒接口和单驻极体耳麦接口</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w:t>
            </w:r>
          </w:p>
        </w:tc>
        <w:tc>
          <w:tcPr>
            <w:tcW w:w="1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云台三脚架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节数4节 最大管径23MM 收缩48CM 最高可达150CM 三脚架低带有防滑橡胶 稳定不抖动</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w:t>
            </w:r>
          </w:p>
        </w:tc>
        <w:tc>
          <w:tcPr>
            <w:tcW w:w="1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落地支架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落地式手机+麦克风一体支架 高度以及角度可以更具需求调节</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w:t>
            </w:r>
          </w:p>
        </w:tc>
        <w:tc>
          <w:tcPr>
            <w:tcW w:w="1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麦克风</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采访麦克风采用钢化音头，高质，拾音佳。采用背极式驻极体电容传声器，使用多个极头，通过电路对每个极头分别处理，得到极好的超心型指向性极心型指向性，两种指向性通过开关转换，可适用于不同场合需求。麦克风本体为铝材质，表面喷漆处理，旋出本体下段即可更换电池，使用方便</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安装调试</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安装调试</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顶面白色乳胶漆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1.封闭底涂料一道；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2.涂面漆二道；</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83</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顶面石膏板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1.C50轻钢龙骨基层</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2.9.5mm厚纸面石膏板基层</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3.板缝贴胶带、点锈</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83</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墙面隔音板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1、附墙木龙骨基层 断面7.5cm2以内 平均中距30cm以内</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2、墙面木夹板基层^细木工板 δ18</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68</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踢脚线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1、1.2mm厚黑色哑光不锈钢；</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2、包括制作、安装、运输、切割等；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18</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折叠门</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1、门锁、门碰头、合页等专业五金配件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2、含制作、安装、运输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19</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电路铺设（包含开关、灯具）</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1、含制作、安装、运输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67</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20</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展示架贮藏一体柜</w:t>
            </w:r>
          </w:p>
        </w:tc>
        <w:tc>
          <w:tcPr>
            <w:tcW w:w="56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1、含制作、安装、运输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2、门锁、门碰头、合页等专业五金配件                                           3、材料环保颗粒板 。尺寸2.5米*2米                                                     </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新媒体营销实战学习课程</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1、100学时相关课程安排</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2、抖音短视频带货理论基础和实操（免费提供热销商品供应链）</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3、抖音直播带货理论基础和实操（免费提供热销商品供应链）</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4、提供相应师资资源</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直播间二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手机</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5G手机8GB+128GB，前置主摄像头2000万以上像素</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高清采集卡</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1、可采集1路高清视频信号或1路标清信号。</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2、高清输入视频信号最高可达1920x1080@60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3、标清输入视频信号最高可达PAL制768x576@25和NTSC制720x480@30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4、视频输入包括：HDMI、DVI、VGA、YPbPr、CVBS、S-Video</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5、可支持大部分Windows上的多媒体视频软件或流媒体软件。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6、提供SDK二次开发支持VC++/.NET/VB</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外置USB声卡</w:t>
            </w:r>
          </w:p>
        </w:tc>
        <w:tc>
          <w:tcPr>
            <w:tcW w:w="565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客所思S10 外置USB声卡，可以直连电脑免驱使用，使麦克风有效降低噪音 底噪、有效防止爆麦，亦可通过灵活的电脑端控制面板，可轻松实现外放、内放的控制。另外为产品设计了接地端子，在个别情况下可解决大楼或房间电源系统未可靠接地硬气的噪音问题</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无线AP</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千兆无线ap，产品内置IEEE 802.11 a/b/g/n/ac无线模块，支持MIMO架构；支持AP自动发现；支持对AP发射功率调整；支持对AP信道调整</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直播摄影灯</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高1.7米 20cm美颜灯</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环形补光灯</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285w三色可调色温 适用直播场景 可调节亮度</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摄像机</w:t>
            </w:r>
          </w:p>
        </w:tc>
        <w:tc>
          <w:tcPr>
            <w:tcW w:w="565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全高清摄像机1920*1080p60，支持设置10个预设位 340度左右旋转 上下90度垂直翻转 微距拍摄 摄像机镜头前置对焦 微距效果展示有所提升 固件版本为最新版本可调节的参数比较丰富 光圈、快门、白平衡、亮度等参数…</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云台三脚架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节数4节 最大管径23MM 收缩48CM 最高可达150CM 三脚架低带有防滑橡胶 稳定不抖动</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落地支架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落地式手机+麦克风一体支架 高度以及角度可以更具需求调节</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麦克风</w:t>
            </w:r>
          </w:p>
        </w:tc>
        <w:tc>
          <w:tcPr>
            <w:tcW w:w="565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采访麦克风采用钢化音头，高质，拾音佳。采用背极式驻极体电容传声器，使用多个极头，通过电路对每个极头分别处理，得到极好的超心型指向性极心型指向性，两种指向性通过开关转换，可适用于不同场合需求。麦克风本体为铝材质，表面喷漆处理，旋出本体下段即可更换电池，使用方便</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直播桌</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 1600*600*750mm，按需求可以微调；</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2、桌面：实木、板材厚度为25mm                                                                                                                                                                                                                                                                                                                                                                                                                   3、甲醛释放含量:小于1.5mg/L；可溶性铅&lt;9mg/kg。                                                                                                            4、五金配件：品牌优质五金配件，均经过酸洗、磷洗等防锈处理。</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设备操控桌椅（兼选品台）</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 1600*600*750mm，按需求可以微调；</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2、桌面：板材厚度为25mm                                                                                                                                                                                                                                                                                                                                                                                                                   3、甲醛释放含量:小于1.5mg/L；可溶性铅&lt;9mg/kg。                                                                                                            4、五金配件：品牌优质五金配件，均经过酸洗、磷洗等防锈处理。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5、配一张椅子</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直播椅</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1、简约舒适型</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2、五星脚材质: 尼龙脚</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3、符合人体工学、透气干爽、固定扶手</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展示架贮藏一体柜</w:t>
            </w:r>
          </w:p>
        </w:tc>
        <w:tc>
          <w:tcPr>
            <w:tcW w:w="56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1、含制作、安装、运输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2、门锁、门碰头、合页等专业五金配件                                           3、材料环保颗粒板 。尺寸2.5米*2米                                                     </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挂衣架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服装成列架  规格长2m*高1.6m，可定制</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布线施工及辅材</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强弱电布线、射灯安装、高清线、排插等</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背景布置</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背景文化屏风</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二、电脑房（实训室）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电脑房基础设备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教师讲桌</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包安装.包运费</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r>
              <w:rPr>
                <w:color w:val="auto"/>
                <w:highlight w:val="none"/>
              </w:rPr>
              <w:drawing>
                <wp:inline distT="0" distB="0" distL="114300" distR="114300">
                  <wp:extent cx="527685" cy="475615"/>
                  <wp:effectExtent l="0" t="0" r="571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7685" cy="4756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上课椅子</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冷轧钢架三聚氰胺板面</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r>
              <w:rPr>
                <w:color w:val="auto"/>
                <w:highlight w:val="none"/>
              </w:rPr>
              <w:drawing>
                <wp:inline distT="0" distB="0" distL="114300" distR="114300">
                  <wp:extent cx="393065" cy="489585"/>
                  <wp:effectExtent l="0" t="0" r="698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393065" cy="4895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上课桌子</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六角桌，1.0冷扎钢，防火桌面</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r>
              <w:rPr>
                <w:color w:val="auto"/>
                <w:highlight w:val="none"/>
              </w:rPr>
              <w:drawing>
                <wp:inline distT="0" distB="0" distL="114300" distR="114300">
                  <wp:extent cx="449580" cy="360045"/>
                  <wp:effectExtent l="0" t="0" r="762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449580" cy="3600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上课桌子</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实木颗粒版桌面 带主机箱 钢制桌角</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r>
              <w:rPr>
                <w:color w:val="auto"/>
                <w:highlight w:val="none"/>
              </w:rPr>
              <w:drawing>
                <wp:inline distT="0" distB="0" distL="114300" distR="114300">
                  <wp:extent cx="478155" cy="380365"/>
                  <wp:effectExtent l="0" t="0" r="17145"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78155" cy="3803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顶面灰色乳胶漆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1.封闭底涂料一道；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2.涂面漆二道；</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踢脚线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1、1.2mm厚黑色哑光不锈钢；</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2、包括制作、安装、运输、切割等；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45</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墙面乳胶漆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1.封闭底涂料一道；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2.涂面漆二道；</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94</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电路铺设（包含开关、灯具）</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1、含制作、安装、运输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顶面铝方通</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1、规格为80mm*80mm*0.45mm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2、采用专用龙骨，铝方通吊件；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3、φ8膨胀螺栓，φ8全丝吊杆；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地面防静电地板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1、规格为600mm*600mm*30mm；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2、包括制作、安装、运输、切割等；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背景布置</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墙面文化材料</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吊麦扩声系统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数字音频处理器</w:t>
            </w:r>
          </w:p>
        </w:tc>
        <w:tc>
          <w:tcPr>
            <w:tcW w:w="5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一、硬件部分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★1、机架式设备，高度≥1U，音频处理部分和功率放大器集成到一个机箱内，采用DSP嵌入式音频处理算法（需提供DSP嵌入式音频处理算法软件的计算机软件著作权登记证书复印件）。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2、前面板具有音量指示灯和≥3寸液晶显示屏，用于显示各项参数指标，为了便于调试，要求前面板具有不低于5个物理按键（需提供投标设备的实物图片予以证明）。</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3、前面板需具有一键静音按键（需提供投标设备的实物图片予以证明）。</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4、产品通过国家3C认证证书（提供国家3C认证证书复印件）。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二、软件部分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1、反馈抑制（AFC）：传声增益提升幅度：≥15dB（需提供第三方检测报告复印件）。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2、自动增益控制（AGC）：增益控制幅度：-12dB - +12dB。自适应背景降噪（ANS）：信噪比提升≥18dB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3、信噪比：≥95dB，信号处理延时&lt;8ms （提供第三方检测机构出具的检测报告复印件）。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4、所有音频处理部分的频率响应： 20Hz-20kHz（±3dB）（提供第三方检测机构出具的检测报告复印件）。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5、具备噪声消除、混音处理、回声抵消功能（需提供对应计算机软件著作权登记证书复印件）。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6、功率放大器的最大输出功率：≥2*100W（需提供第三方检测机构出具的检测报告复印件予以佐证）。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7、调试控制接口：支持串口或网口调试（提供音频矩阵调试软件的计算机软件著作权登记证书复印件）。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8、本地扩声声场不均匀度小于5dB（需提供第三方检测机构出具的检测报告复印件并加盖原厂公章予以佐证）。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9、内置 DSP 处理器，具有高低通、32 段参量均衡，精准调节声场均衡（要求提供 32 段均衡调节软件调试界面图片）。</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10、通过一只吊装麦克风实现本地扩音和远程互动，本地扩音和远程互动能同时进行，并且相互不影响效果；本地扩音要求扩出来的声音清晰响亮、无啸叫，混响时间小于1秒；远程互动要求声音清晰、无噪声和回声，双端同时讲话无卡音、丢字、声音变小和失真现象（需提供演示视频或彩页予以佐证）。</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 11、具有有效过滤教室内的空调、电风扇等发出的噪音干扰功能，过滤噪声不影响扩声效果。 </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麦克风</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1、频率范围：20Hz-20KHz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2、灵敏度：≥-35dB（18mV/Pa）。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3、指向性：超心型。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4、最大声压级：≥135dB。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5、信噪比：≥75dB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6、供电电压：48V幻象电源供电。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7、抗手机、电磁、高频干扰。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8、内部嵌入数字麦克风软件（提供数字麦克风嵌入式软件的计算机软件著作权登记证书复印件）。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★9、本产品须与数字音频处理器同一品牌。</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支</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音箱</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1、频率响应：120Hz-20KHz（±3dB）。</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2、额定阻抗：4-8Ω。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3、灵 敏 度：85-90dB。</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4、匹配功率：15W-80W。</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5、高音单元：1×1吋“丝膜高音”,低频单元：1×4.5吋。</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6、接线端子：单线分音。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★7、本产品须与数字音频处理器同一品牌。</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吊杆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可伸缩：0.7-1.2m。</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线材</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秋叶原麦克风线</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和林音箱线。</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三、设备间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设备间基础设备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网线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1.依据标准YD/T 1019，同时符合标准ISO/IEC 11801、ANSI/TIA-568-C.2</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2.护套材料：PVC</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3.绝缘层材料：PE</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4.结构：十字骨架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5.铜导体直径：φ0.57±0.02 mm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6.燃烧性能：通过YD/T 1019中规定的单根电缆火焰垂直蔓延试验</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7.单根导体直流电阻：≤7.5Ω/100m at 20℃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8.直流电阻不平衡：≤2%(线对内两导体间)  ≤4%(线对与线对间)</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9.绝缘电阻：≥5000MΩ·km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10.线对对地电容不平衡：≤160pF/100m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11.特性阻抗：100±15Ω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12.安装温度： 0℃～50℃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13.工作温度：  -20℃～60℃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14、要求提供第三方出具的单项产品检测报告、信息产业部出具的六类非屏蔽信道及永久链路检测报告、六节点信道及永久链路检测报告、短链路信道及永久链路检测报告</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4000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桥架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规格：50mm*100mm，含盖板、伸缩节、三通、弯头、接地等</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150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水晶头</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六类</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盒</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机柜</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1、材料：优质冷轧钢板</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2、规格：600*600*1600mm(宽*深*高)</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2、执行标准： ANSI/EIA RS-310-D</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3、19英寸设计;</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4、机柜采用优质冷轧钢板，钢板经脱脂、酸洗、磷化和静电喷塑</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  前玻璃后全钢门机柜可以满足顶部桥架走线和底部地板下走线两种方式;</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5、机柜立柱可调节</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6、机柜可同时安装脚轮和支脚;</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7、机柜具有可方便拆卸的左右侧门和前后门;</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8、标配风扇、六位三孔电源插座、浮动螺母、脚轮和支撑脚</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9、承重不小于600kg</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10、网孔门通风率约60%</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交换机</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1、端口及硬件要求：≥48个10/100/1000Base-T电口(包含两个uplink口，可作为上行口)；≥2个10GBase-XSFP+光口。</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2、交换容量：≥136bps。</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3、包转发速率：≥101.4Mpps。</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4、MAC地址：16K。</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5、产品尺寸：440mmX210mmX44mm。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6、产品资质：检测报告/CCC证书。</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路由器</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1、★接口特性：≥2千兆WAN口，≥3千兆LAN口，支持LAN/WAN接口切换，设备具备Reset按钮，支持WAN口自动/手动负载均衡模式。</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2、性能指标：转发能力≥186Mpps,包转发容量≥128Mbps，（不开流控）建议适用带宽≤500M，建议带机量≤250人。</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3、AP管理：支持一键切换设备路由模式/纯AC模式，路由模式管理AP数量≥32个，纯AC模式管理AP≥200个.</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4、接入方式：支持PPPoE接入，DHCPClient，静态地址，路由模式（一句静态路由表转发）等多种接入方式。</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VPN特性：支持IPSecVPN，IPSecVPN隧道数量≥50个，转发速率≥26.9Mbps；支持AH&amp;ESP协议，手工模式&amp;IKE，IKE主模式，IKE野蛮模式，NAT穿越，DDNS(域名方式的IPSecVPN)，DVPN，IPSecVPNHub&amp;Spoke；支持L2TP，最大隧道数、用户数≥20条；</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6、★防火墙：支持免费开启防火墙功能，支持针对源/目的接口、IP地址、端口、协议类型、时间进行出/入站通信策略管理；支持设置MAC地址过滤、源IPMAC过滤，符合条件的主机才可访问外网。</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7、ARP防护：设备支持ARP功能，可记性ARP报文合法性检查，丢弃源MAC地址不合法/不一致的ARP报文；设备支持免费发送ARP报文，防止LAN或WAN主机收到攻击和欺骗，ARP时间的发送间隔可设置。</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8、QOS：支持基于端口、基于内网IP的流量统计；支持对设备上下行流量进行限速，可基于IP地址范围、带宽共享方式、限速接口、限速方向、生效时间点等进行详细策略的管理；支持绿色专用通道用于将特定的保障数据业务流通过绿色通道转发，支持限制专用通道，将特定的不重要的大流量数据业务流通过限制通道转发；支持异常流量防护，可手动/自动设置流量阈值，并可进行一键优化。</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9、用户上网行为管理：支持对内网计算机访问外网资源的行为进行统一策略管理，可以设置包括适用用户组、适用时间段、IM软件、QQ特权号码、网站过滤和文件过滤。</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10、★入侵检测：支持能够阻断包括但不限于WAN口Ping、短包、碎片包、TearDrop、PingofDeath、Land攻击、TCP空连接、SynFlood、UDPflood、ICMPFlood、Smarf攻击、WinNuke攻击、TCPSYN扫描、UDP扫描、StealthFINXmasTreeNull扫描、IPSpoofing、Fraggle等攻击。</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11、网络诊断：设备支持ping、Tracet等网络诊断管理。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12、物理特性：设备功耗≤25W,设备采用自然散热方式，适用温度0~40℃。</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13、设备尺寸（长*宽*高）：440mmX173mmX44mm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14、产品资质：提供检测报告、入网许可证、CCC证书</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理线架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1、架体为冷轧钢板</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2、19英寸设计，占机柜1U空间</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交换机</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1、★端口类型：≥24个10/100/1000M以太网电接口；≥4个100/1000Base-XSFP端口。</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2、交换容量：≥240Gbps(如官网有多个参数，以最小值为准)。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3、★转发性能：≥78Mpps(如官网有多个参数，以最小值为准)。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4、MAC地址表：最多支持MAC（MediaAccessControl）地址：8K；支持手工配置静态MAC：512项。</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以太网特性：静态MAC配置；支持MAC地址学习数目限制；支持端口镜像和流镜像功能；支持端口聚合；支持端口隔离；支持STP/RSTP/MSTP；支持IEEE802.3ad（动态链路聚合）、静态端口聚合；流控(802.3x)；绿色以太网（EEE）；端口自动节能；电缆诊断；TCsnooping；BPDU保护/根保护/环回保护/防TC-BPDU攻击保护功能。</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6、VLAN：支持802.1Q(最大4K个VLAN)；支持基于端口的VLAN。</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7、DHCP：支持DHCPRelay；支持DHCPClient；支持DHCPSnooping；支持DHCPSnoopingOption82。</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8、★安全性：支持用户分级管理和口令保护；支持SSHv2，为用户登录提供安全加密通道；支持SSL，保障数据传输安全；支持防止ARP、未知组播报文、广播报文、未知单播报文、本机网段路由扫描报文、TTL=1报文、协议报文等攻击功能；支持防Dos攻击；支持MAC地址限制；支持IEEE802.1x；支持SAVI源地址有效性验证；支持安全网管SNMPv3；支持广播报文抑制。</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9、配置和管理：支持WEB页面配置；支持FTP、TFTP、Xmodem文件上下载管理。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10、防雷等级：6KV</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11、资质认证：CCC/入网证书/进网检测报告</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录像机</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1.视频参数：</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视频分辨率 4MP/3MP/1080p/UXGA/720p/VGA/4CIF/DCIF/2CIF/CIF/QCIF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2.录像管理：</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录像方式 手动录像，定时录像，移动侦测录像，报警录像，动测或报警录像，动测和报警录像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录像回放 支持4路同步回放</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回放模式：即时回放，常规回放，事件回放，标签回放，外部文件回放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备份方式 常规备份，事件备份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3.I/O接口：</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视频输入 4路，接入带宽40/60Mbps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视频输出 1路VGA输出，1路HDMI输出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其它接口 2个USB 2.0（后），5个RJ45 10M/100M自适应以太网口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4.其它参数：</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语音对讲 1个，RCA接口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网络协议 IPv6，UPnP（即插即用），NTP（网络校时），SADP（设备网络搜索），DHCP（自动获取IP地址）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本地存储 1个SATA接口，每个接口支持容量最大6TB的硬盘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其它参数 视频解码格式：H.265/Smart 265/H.264/Smart 264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5.电力规格：</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 xml:space="preserve">电源电压 DC 48V </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电源功率 ≤36W</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交换机</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8个10/100/ 1000BASE-T,2个SFP,支持 AC110/220V</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摄像头</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1、半球网络摄像机：200万1/2.7”CMOS ICR日夜型半球型网络摄像机;</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2、视频压缩标准h.265 / H. 264 / MQPEG;最小照度 0.01 Lux @(F1.2, AGC 0E), 0 Luxwith IR;快门1/3秒至1/100, 00秒;镜头2. 8mm,水平视场角:113. 5° (4m, 6mm, 8m可选);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3、存储功能: HAS (NFS, ShB/CIFS均支持);</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4、智能报警:越界侦则,区域入侵侦测场景变更侦则，人脸侦测，虚焦侦测;物品遗留侦测,物品拾取侦测,非法停车侦测,人员聚集侦测,徘徊侦测,快速移动帧测,进入区域侦则离开区域侦测;</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5、支持智能后检索，配合WK支持事件的二二次检索分析;</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6、诵讯接口1个 RT45 10M / 100M 自话应以太网口，电源供应DC12V+ 25%</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硬盘</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监控级硬盘 3.5英寸6TB IntelliPower 64M SATA3</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块</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调试安装费</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含网络施工监控安装</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石膏板乳胶漆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1.C50轻钢龙骨基层</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2.9.5mm厚纸面石膏板基层</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3.板缝贴胶带、点锈</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墙面乳胶漆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1、腻子一道；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2、白色乳胶漆两遍；</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电路铺设（包含开关、灯具）</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1、含制作、安装、运输</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地面防静电地板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1、规格为600mm*600mm*30mm；</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2、包括制作、安装、运输、切割等；</w:t>
            </w:r>
            <w:r>
              <w:rPr>
                <w:rFonts w:hint="eastAsia" w:ascii="微软雅黑" w:hAnsi="微软雅黑" w:eastAsia="微软雅黑" w:cs="微软雅黑"/>
                <w:i w:val="0"/>
                <w:iCs w:val="0"/>
                <w:color w:val="auto"/>
                <w:kern w:val="0"/>
                <w:sz w:val="20"/>
                <w:szCs w:val="20"/>
                <w:highlight w:val="none"/>
                <w:u w:val="none"/>
                <w:lang w:val="en-US" w:eastAsia="zh-CN" w:bidi="ar"/>
              </w:rPr>
              <w:br w:type="textWrapping"/>
            </w:r>
            <w:r>
              <w:rPr>
                <w:rFonts w:hint="eastAsia" w:ascii="微软雅黑" w:hAnsi="微软雅黑" w:eastAsia="微软雅黑" w:cs="微软雅黑"/>
                <w:i w:val="0"/>
                <w:iCs w:val="0"/>
                <w:color w:val="auto"/>
                <w:kern w:val="0"/>
                <w:sz w:val="20"/>
                <w:szCs w:val="20"/>
                <w:highlight w:val="none"/>
                <w:u w:val="none"/>
                <w:lang w:val="en-US" w:eastAsia="zh-CN" w:bidi="ar"/>
              </w:rPr>
              <w:t>3、详见图纸；</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153"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小计E</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四、其他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垃圾外运包含清理</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施工图范围内所设计到的地面、吊顶、墙面、装修、灯具、管线、水管拆除以及拆除后的垃圾外运</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1.00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材料搬运</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施工图范围内所设计到的地面、吊顶、墙面、装修、灯具、管线、水管材料搬运</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1.00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脚手架</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脚手架 ~施工图范围内的天棚饰面脚手架</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1.00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砌墙</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蒸压加气混凝土砌块 墙厚150mm以内^DM M7.5（砂浆）</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54.00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木门</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1.材料防火木门2、木门样式根据建筑其它样式相同。</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扇</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1.00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电缆拉线</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实训室需重新拉电缆</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19.00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w:t>
            </w:r>
          </w:p>
        </w:tc>
        <w:tc>
          <w:tcPr>
            <w:tcW w:w="14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其他</w:t>
            </w:r>
          </w:p>
        </w:tc>
        <w:tc>
          <w:tcPr>
            <w:tcW w:w="56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项目管理费、保险费、运费、效果图制作、设计费、税费等其他费用均包含在本次报价内</w:t>
            </w:r>
          </w:p>
        </w:tc>
        <w:tc>
          <w:tcPr>
            <w:tcW w:w="5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项</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1.00 </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微软雅黑" w:hAnsi="微软雅黑" w:eastAsia="微软雅黑" w:cs="微软雅黑"/>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953" w:type="dxa"/>
            <w:gridSpan w:val="6"/>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微软雅黑" w:hAnsi="微软雅黑" w:eastAsia="微软雅黑" w:cs="微软雅黑"/>
                <w:i w:val="0"/>
                <w:iCs w:val="0"/>
                <w:color w:val="auto"/>
                <w:sz w:val="20"/>
                <w:szCs w:val="20"/>
                <w:highlight w:val="none"/>
                <w:u w:val="none"/>
              </w:rPr>
            </w:pPr>
            <w:r>
              <w:rPr>
                <w:rFonts w:hint="eastAsia"/>
                <w:color w:val="auto"/>
                <w:sz w:val="22"/>
                <w:szCs w:val="22"/>
                <w:highlight w:val="none"/>
              </w:rPr>
              <w:t>注意：具体辅材数量以上表格仅为业主方评估数值，具体按实际</w:t>
            </w:r>
            <w:r>
              <w:rPr>
                <w:rFonts w:hint="eastAsia"/>
                <w:color w:val="auto"/>
                <w:sz w:val="22"/>
                <w:szCs w:val="22"/>
                <w:highlight w:val="none"/>
                <w:lang w:eastAsia="zh-CN"/>
              </w:rPr>
              <w:t>需求</w:t>
            </w:r>
            <w:r>
              <w:rPr>
                <w:rFonts w:hint="eastAsia"/>
                <w:color w:val="auto"/>
                <w:sz w:val="22"/>
                <w:szCs w:val="22"/>
                <w:highlight w:val="none"/>
              </w:rPr>
              <w:t>为准，供应商响应前应充分勘查现场并且提供设备的安装方案，充分了解项目实际要求,以做出准确报价。因现场勘查不充分导致的报价缺失及安装方案的不全面均由供应商自行承担，采购人不再另行支付费用。现场勘查所产生的一切费用和风险由供应商自行承担。</w:t>
            </w:r>
          </w:p>
        </w:tc>
      </w:tr>
    </w:tbl>
    <w:p>
      <w:pPr>
        <w:rPr>
          <w:rFonts w:hint="eastAsia"/>
          <w:color w:val="auto"/>
          <w:highlight w:val="none"/>
        </w:rPr>
      </w:pPr>
    </w:p>
    <w:p>
      <w:pPr>
        <w:pStyle w:val="2"/>
        <w:jc w:val="center"/>
        <w:rPr>
          <w:rFonts w:hint="eastAsia" w:eastAsia="宋体"/>
          <w:color w:val="auto"/>
          <w:highlight w:val="none"/>
          <w:lang w:eastAsia="zh-CN"/>
        </w:rPr>
      </w:pPr>
      <w:r>
        <w:rPr>
          <w:rFonts w:hint="eastAsia" w:eastAsia="宋体"/>
          <w:color w:val="auto"/>
          <w:highlight w:val="none"/>
          <w:lang w:eastAsia="zh-CN"/>
        </w:rPr>
        <w:t>拆墙平面图</w:t>
      </w:r>
      <w:r>
        <w:rPr>
          <w:rFonts w:hint="eastAsia"/>
          <w:color w:val="auto"/>
          <w:highlight w:val="none"/>
          <w:lang w:eastAsia="zh-CN"/>
        </w:rPr>
        <w:t>如下</w:t>
      </w:r>
    </w:p>
    <w:p>
      <w:pPr>
        <w:rPr>
          <w:rFonts w:hint="eastAsia"/>
          <w:color w:val="auto"/>
          <w:highlight w:val="none"/>
        </w:rPr>
      </w:pPr>
    </w:p>
    <w:p>
      <w:pPr>
        <w:pStyle w:val="2"/>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115685" cy="3402965"/>
            <wp:effectExtent l="0" t="0" r="18415" b="6985"/>
            <wp:docPr id="2" name="图片 6" descr="59006d47fa3380143ff1fff40e50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59006d47fa3380143ff1fff40e50b53"/>
                    <pic:cNvPicPr>
                      <a:picLocks noChangeAspect="1"/>
                    </pic:cNvPicPr>
                  </pic:nvPicPr>
                  <pic:blipFill>
                    <a:blip r:embed="rId9"/>
                    <a:stretch>
                      <a:fillRect/>
                    </a:stretch>
                  </pic:blipFill>
                  <pic:spPr>
                    <a:xfrm>
                      <a:off x="0" y="0"/>
                      <a:ext cx="6115685" cy="3402965"/>
                    </a:xfrm>
                    <a:prstGeom prst="rect">
                      <a:avLst/>
                    </a:prstGeom>
                    <a:noFill/>
                    <a:ln>
                      <a:noFill/>
                    </a:ln>
                  </pic:spPr>
                </pic:pic>
              </a:graphicData>
            </a:graphic>
          </wp:inline>
        </w:drawing>
      </w:r>
    </w:p>
    <w:p>
      <w:pP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r>
        <w:rPr>
          <w:rFonts w:hint="eastAsia"/>
          <w:color w:val="auto"/>
          <w:highlight w:val="none"/>
          <w:lang w:eastAsia="zh-CN"/>
        </w:rPr>
        <w:t>砌墙平面图如下</w:t>
      </w:r>
    </w:p>
    <w:p>
      <w:pPr>
        <w:rPr>
          <w:rFonts w:hint="eastAsia"/>
          <w:color w:val="auto"/>
          <w:highlight w:val="none"/>
          <w:lang w:eastAsia="zh-CN"/>
        </w:rPr>
      </w:pPr>
    </w:p>
    <w:p>
      <w:pPr>
        <w:pStyle w:val="2"/>
        <w:rPr>
          <w:rFonts w:hint="eastAsia"/>
          <w:color w:val="auto"/>
          <w:highlight w:val="none"/>
          <w:lang w:eastAsia="zh-CN"/>
        </w:rPr>
      </w:pPr>
      <w:r>
        <w:rPr>
          <w:rFonts w:hint="eastAsia"/>
          <w:color w:val="auto"/>
          <w:highlight w:val="none"/>
          <w:lang w:eastAsia="zh-CN"/>
        </w:rPr>
        <w:drawing>
          <wp:inline distT="0" distB="0" distL="114300" distR="114300">
            <wp:extent cx="6109970" cy="3618865"/>
            <wp:effectExtent l="0" t="0" r="5080" b="635"/>
            <wp:docPr id="1" name="图片 7" descr="1ea36fb89d028a3bab0a00b2011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ea36fb89d028a3bab0a00b201180b3"/>
                    <pic:cNvPicPr>
                      <a:picLocks noChangeAspect="1"/>
                    </pic:cNvPicPr>
                  </pic:nvPicPr>
                  <pic:blipFill>
                    <a:blip r:embed="rId10"/>
                    <a:stretch>
                      <a:fillRect/>
                    </a:stretch>
                  </pic:blipFill>
                  <pic:spPr>
                    <a:xfrm>
                      <a:off x="0" y="0"/>
                      <a:ext cx="6109970" cy="3618865"/>
                    </a:xfrm>
                    <a:prstGeom prst="rect">
                      <a:avLst/>
                    </a:prstGeom>
                    <a:noFill/>
                    <a:ln>
                      <a:noFill/>
                    </a:ln>
                  </pic:spPr>
                </pic:pic>
              </a:graphicData>
            </a:graphic>
          </wp:inline>
        </w:drawing>
      </w:r>
    </w:p>
    <w:p>
      <w:pPr>
        <w:rPr>
          <w:rFonts w:hint="eastAsia"/>
          <w:color w:val="auto"/>
          <w:highlight w:val="none"/>
          <w:lang w:eastAsia="zh-CN"/>
        </w:rPr>
      </w:pPr>
    </w:p>
    <w:p>
      <w:pPr>
        <w:pStyle w:val="2"/>
        <w:rPr>
          <w:rFonts w:hint="eastAsia"/>
          <w:color w:val="auto"/>
          <w:highlight w:val="none"/>
          <w:lang w:eastAsia="zh-CN"/>
        </w:rPr>
      </w:pPr>
    </w:p>
    <w:p>
      <w:pPr>
        <w:jc w:val="center"/>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t>地面布置图如下</w:t>
      </w:r>
    </w:p>
    <w:p>
      <w:pPr>
        <w:pStyle w:val="2"/>
        <w:rPr>
          <w:rFonts w:hint="eastAsia" w:ascii="Times New Roman" w:hAnsi="Times New Roman" w:eastAsia="宋体" w:cs="Times New Roman"/>
          <w:color w:val="auto"/>
          <w:highlight w:val="none"/>
          <w:lang w:eastAsia="zh-CN"/>
        </w:rPr>
      </w:pPr>
    </w:p>
    <w:p>
      <w:pPr>
        <w:rPr>
          <w:rFonts w:hint="eastAsia"/>
          <w:color w:val="auto"/>
          <w:highlight w:val="none"/>
          <w:lang w:eastAsia="zh-CN"/>
        </w:rPr>
      </w:pPr>
      <w:r>
        <w:rPr>
          <w:rFonts w:hint="eastAsia"/>
          <w:color w:val="auto"/>
          <w:highlight w:val="none"/>
          <w:lang w:eastAsia="zh-CN"/>
        </w:rPr>
        <w:drawing>
          <wp:inline distT="0" distB="0" distL="114300" distR="114300">
            <wp:extent cx="6115685" cy="3322955"/>
            <wp:effectExtent l="0" t="0" r="18415" b="10795"/>
            <wp:docPr id="11" name="图片 8" descr="9c7d8f3ba522949b1c2463f8658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9c7d8f3ba522949b1c2463f86583876"/>
                    <pic:cNvPicPr>
                      <a:picLocks noChangeAspect="1"/>
                    </pic:cNvPicPr>
                  </pic:nvPicPr>
                  <pic:blipFill>
                    <a:blip r:embed="rId11"/>
                    <a:stretch>
                      <a:fillRect/>
                    </a:stretch>
                  </pic:blipFill>
                  <pic:spPr>
                    <a:xfrm>
                      <a:off x="0" y="0"/>
                      <a:ext cx="6115685" cy="3322955"/>
                    </a:xfrm>
                    <a:prstGeom prst="rect">
                      <a:avLst/>
                    </a:prstGeom>
                    <a:noFill/>
                    <a:ln>
                      <a:noFill/>
                    </a:ln>
                  </pic:spPr>
                </pic:pic>
              </a:graphicData>
            </a:graphic>
          </wp:inline>
        </w:drawing>
      </w: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jc w:val="center"/>
        <w:rPr>
          <w:rFonts w:hint="eastAsia"/>
          <w:color w:val="auto"/>
          <w:highlight w:val="none"/>
          <w:lang w:eastAsia="zh-CN"/>
        </w:rPr>
      </w:pPr>
      <w:r>
        <w:rPr>
          <w:rFonts w:hint="eastAsia"/>
          <w:color w:val="auto"/>
          <w:highlight w:val="none"/>
          <w:lang w:eastAsia="zh-CN"/>
        </w:rPr>
        <w:t>天花版布置图如下</w:t>
      </w:r>
    </w:p>
    <w:p>
      <w:pPr>
        <w:pStyle w:val="2"/>
        <w:jc w:val="center"/>
        <w:rPr>
          <w:rFonts w:hint="eastAsia"/>
          <w:color w:val="auto"/>
          <w:highlight w:val="none"/>
          <w:lang w:eastAsia="zh-CN"/>
        </w:rPr>
      </w:pPr>
      <w:r>
        <w:rPr>
          <w:rFonts w:hint="eastAsia"/>
          <w:color w:val="auto"/>
          <w:highlight w:val="none"/>
          <w:lang w:eastAsia="zh-CN"/>
        </w:rPr>
        <w:drawing>
          <wp:inline distT="0" distB="0" distL="114300" distR="114300">
            <wp:extent cx="6114415" cy="3742690"/>
            <wp:effectExtent l="0" t="0" r="635" b="10160"/>
            <wp:docPr id="7" name="图片 9" descr="6201c2b1360163fd5a6fdda5902a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6201c2b1360163fd5a6fdda5902ade5"/>
                    <pic:cNvPicPr>
                      <a:picLocks noChangeAspect="1"/>
                    </pic:cNvPicPr>
                  </pic:nvPicPr>
                  <pic:blipFill>
                    <a:blip r:embed="rId12"/>
                    <a:stretch>
                      <a:fillRect/>
                    </a:stretch>
                  </pic:blipFill>
                  <pic:spPr>
                    <a:xfrm>
                      <a:off x="0" y="0"/>
                      <a:ext cx="6114415" cy="3742690"/>
                    </a:xfrm>
                    <a:prstGeom prst="rect">
                      <a:avLst/>
                    </a:prstGeom>
                    <a:noFill/>
                    <a:ln>
                      <a:noFill/>
                    </a:ln>
                  </pic:spPr>
                </pic:pic>
              </a:graphicData>
            </a:graphic>
          </wp:inline>
        </w:drawing>
      </w: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r>
        <w:rPr>
          <w:rFonts w:hint="eastAsia"/>
          <w:color w:val="auto"/>
          <w:highlight w:val="none"/>
          <w:lang w:eastAsia="zh-CN"/>
        </w:rPr>
        <w:t>灯具布置图如下</w:t>
      </w:r>
    </w:p>
    <w:p>
      <w:pPr>
        <w:pStyle w:val="2"/>
        <w:jc w:val="center"/>
        <w:rPr>
          <w:rFonts w:hint="eastAsia"/>
          <w:color w:val="auto"/>
          <w:highlight w:val="none"/>
          <w:lang w:eastAsia="zh-CN"/>
        </w:rPr>
      </w:pPr>
      <w:r>
        <w:rPr>
          <w:rFonts w:hint="eastAsia"/>
          <w:color w:val="auto"/>
          <w:highlight w:val="none"/>
          <w:lang w:eastAsia="zh-CN"/>
        </w:rPr>
        <w:drawing>
          <wp:inline distT="0" distB="0" distL="114300" distR="114300">
            <wp:extent cx="6114415" cy="3383280"/>
            <wp:effectExtent l="0" t="0" r="635" b="7620"/>
            <wp:docPr id="8" name="图片 10" descr="2f13ebe13e54a5558a92099e12a8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2f13ebe13e54a5558a92099e12a82d6"/>
                    <pic:cNvPicPr>
                      <a:picLocks noChangeAspect="1"/>
                    </pic:cNvPicPr>
                  </pic:nvPicPr>
                  <pic:blipFill>
                    <a:blip r:embed="rId13"/>
                    <a:stretch>
                      <a:fillRect/>
                    </a:stretch>
                  </pic:blipFill>
                  <pic:spPr>
                    <a:xfrm>
                      <a:off x="0" y="0"/>
                      <a:ext cx="6114415" cy="3383280"/>
                    </a:xfrm>
                    <a:prstGeom prst="rect">
                      <a:avLst/>
                    </a:prstGeom>
                    <a:noFill/>
                    <a:ln>
                      <a:noFill/>
                    </a:ln>
                  </pic:spPr>
                </pic:pic>
              </a:graphicData>
            </a:graphic>
          </wp:inline>
        </w:drawing>
      </w: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p>
    <w:p>
      <w:pPr>
        <w:pStyle w:val="2"/>
        <w:jc w:val="center"/>
        <w:rPr>
          <w:rFonts w:hint="eastAsia"/>
          <w:color w:val="auto"/>
          <w:highlight w:val="none"/>
          <w:lang w:eastAsia="zh-CN"/>
        </w:rPr>
      </w:pPr>
      <w:r>
        <w:rPr>
          <w:rFonts w:hint="eastAsia"/>
          <w:color w:val="auto"/>
          <w:highlight w:val="none"/>
          <w:lang w:eastAsia="zh-CN"/>
        </w:rPr>
        <w:t>踢脚线</w:t>
      </w:r>
    </w:p>
    <w:p>
      <w:pPr>
        <w:pStyle w:val="2"/>
        <w:jc w:val="center"/>
        <w:rPr>
          <w:rFonts w:hint="eastAsia"/>
          <w:color w:val="auto"/>
          <w:highlight w:val="none"/>
          <w:lang w:eastAsia="zh-CN"/>
        </w:rPr>
      </w:pPr>
    </w:p>
    <w:p>
      <w:pPr>
        <w:pStyle w:val="2"/>
        <w:jc w:val="center"/>
        <w:rPr>
          <w:rFonts w:hint="eastAsia"/>
          <w:color w:val="auto"/>
          <w:highlight w:val="none"/>
          <w:lang w:eastAsia="zh-CN"/>
        </w:rPr>
      </w:pPr>
      <w:r>
        <w:rPr>
          <w:rFonts w:hint="eastAsia"/>
          <w:color w:val="auto"/>
          <w:highlight w:val="none"/>
          <w:lang w:eastAsia="zh-CN"/>
        </w:rPr>
        <w:drawing>
          <wp:inline distT="0" distB="0" distL="114300" distR="114300">
            <wp:extent cx="6110605" cy="1849120"/>
            <wp:effectExtent l="0" t="0" r="4445" b="17780"/>
            <wp:docPr id="9" name="图片 11" descr="08d83a653574b356e5a0c6a36e43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08d83a653574b356e5a0c6a36e430a4"/>
                    <pic:cNvPicPr>
                      <a:picLocks noChangeAspect="1"/>
                    </pic:cNvPicPr>
                  </pic:nvPicPr>
                  <pic:blipFill>
                    <a:blip r:embed="rId14"/>
                    <a:stretch>
                      <a:fillRect/>
                    </a:stretch>
                  </pic:blipFill>
                  <pic:spPr>
                    <a:xfrm>
                      <a:off x="0" y="0"/>
                      <a:ext cx="6110605" cy="1849120"/>
                    </a:xfrm>
                    <a:prstGeom prst="rect">
                      <a:avLst/>
                    </a:prstGeom>
                    <a:noFill/>
                    <a:ln>
                      <a:noFill/>
                    </a:ln>
                  </pic:spPr>
                </pic:pic>
              </a:graphicData>
            </a:graphic>
          </wp:inline>
        </w:drawing>
      </w:r>
    </w:p>
    <w:p>
      <w:pPr>
        <w:pStyle w:val="2"/>
        <w:ind w:leftChars="0"/>
        <w:jc w:val="both"/>
        <w:rPr>
          <w:rFonts w:hint="eastAsia"/>
          <w:color w:val="auto"/>
          <w:highlight w:val="none"/>
          <w:lang w:eastAsia="zh-CN"/>
        </w:rPr>
      </w:pPr>
    </w:p>
    <w:p>
      <w:pPr>
        <w:pStyle w:val="2"/>
        <w:jc w:val="center"/>
        <w:rPr>
          <w:rFonts w:hint="eastAsia"/>
          <w:color w:val="auto"/>
          <w:highlight w:val="none"/>
          <w:lang w:eastAsia="zh-CN"/>
        </w:rPr>
      </w:pPr>
    </w:p>
    <w:p>
      <w:pPr>
        <w:numPr>
          <w:ilvl w:val="0"/>
          <w:numId w:val="3"/>
        </w:numPr>
        <w:snapToGrid w:val="0"/>
        <w:spacing w:line="360" w:lineRule="exact"/>
        <w:rPr>
          <w:rFonts w:ascii="宋体" w:hAnsi="宋体" w:cs="宋体"/>
          <w:b/>
          <w:color w:val="auto"/>
          <w:spacing w:val="-6"/>
          <w:sz w:val="22"/>
          <w:szCs w:val="22"/>
          <w:highlight w:val="none"/>
        </w:rPr>
      </w:pPr>
      <w:r>
        <w:rPr>
          <w:rFonts w:hint="eastAsia" w:ascii="宋体" w:hAnsi="宋体" w:cs="宋体"/>
          <w:color w:val="auto"/>
          <w:sz w:val="22"/>
          <w:szCs w:val="22"/>
          <w:highlight w:val="none"/>
        </w:rPr>
        <w:t xml:space="preserve"> </w:t>
      </w:r>
      <w:r>
        <w:rPr>
          <w:rFonts w:hint="eastAsia" w:ascii="宋体" w:hAnsi="宋体" w:cs="宋体"/>
          <w:b/>
          <w:color w:val="auto"/>
          <w:spacing w:val="-6"/>
          <w:sz w:val="22"/>
          <w:szCs w:val="22"/>
          <w:highlight w:val="none"/>
        </w:rPr>
        <w:t>其他</w:t>
      </w:r>
    </w:p>
    <w:p>
      <w:pPr>
        <w:spacing w:line="360" w:lineRule="exact"/>
        <w:ind w:firstLine="313" w:firstLineChars="150"/>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1、标“▲且加下划线”的有关技术和商务要求为实质性条款，响应方必须做出实质性响应</w:t>
      </w:r>
      <w:r>
        <w:rPr>
          <w:rFonts w:hint="eastAsia" w:ascii="宋体" w:hAnsi="宋体" w:cs="宋体"/>
          <w:b/>
          <w:bCs/>
          <w:color w:val="auto"/>
          <w:spacing w:val="-6"/>
          <w:sz w:val="22"/>
          <w:szCs w:val="22"/>
          <w:highlight w:val="none"/>
        </w:rPr>
        <w:t>，否则视为无效响应文件。</w:t>
      </w:r>
      <w:r>
        <w:rPr>
          <w:rFonts w:hint="eastAsia" w:ascii="宋体" w:hAnsi="宋体" w:cs="宋体"/>
          <w:b/>
          <w:color w:val="auto"/>
          <w:spacing w:val="-6"/>
          <w:sz w:val="22"/>
          <w:szCs w:val="22"/>
          <w:highlight w:val="none"/>
        </w:rPr>
        <w:t>除此之外其余的指标、服务要求以及合同条款可在磋商现场，根据磋商小组与供应商的磋商进行变动。</w:t>
      </w:r>
    </w:p>
    <w:p>
      <w:pPr>
        <w:spacing w:line="360" w:lineRule="exact"/>
        <w:ind w:firstLine="418" w:firstLineChars="200"/>
        <w:rPr>
          <w:rFonts w:hint="eastAsia" w:ascii="宋体" w:hAnsi="宋体" w:cs="宋体"/>
          <w:b/>
          <w:bCs/>
          <w:color w:val="auto"/>
          <w:kern w:val="0"/>
          <w:sz w:val="22"/>
          <w:szCs w:val="22"/>
          <w:highlight w:val="none"/>
        </w:rPr>
      </w:pPr>
      <w:r>
        <w:rPr>
          <w:rFonts w:hint="eastAsia" w:ascii="宋体" w:hAnsi="宋体" w:cs="宋体"/>
          <w:b/>
          <w:color w:val="auto"/>
          <w:spacing w:val="-6"/>
          <w:sz w:val="22"/>
          <w:szCs w:val="22"/>
          <w:highlight w:val="none"/>
        </w:rPr>
        <w:t>2、除磋商文件中所明确的采购需求规格外，欢迎其他能满足本项目采购需求且性能相当于或高于所明确的产品参加磋商报价。同时在采购需求偏离表中作出详细对比说明</w:t>
      </w:r>
      <w:r>
        <w:rPr>
          <w:rFonts w:hint="eastAsia" w:ascii="宋体" w:hAnsi="宋体" w:cs="宋体"/>
          <w:b/>
          <w:bCs/>
          <w:color w:val="auto"/>
          <w:kern w:val="0"/>
          <w:sz w:val="22"/>
          <w:szCs w:val="22"/>
          <w:highlight w:val="none"/>
        </w:rPr>
        <w:t>。</w:t>
      </w:r>
    </w:p>
    <w:p>
      <w:pPr>
        <w:snapToGrid w:val="0"/>
        <w:spacing w:line="360" w:lineRule="exact"/>
        <w:ind w:firstLine="418" w:firstLineChars="200"/>
        <w:jc w:val="left"/>
        <w:rPr>
          <w:rFonts w:ascii="宋体" w:hAnsi="宋体" w:cs="宋体"/>
          <w:b/>
          <w:color w:val="auto"/>
          <w:spacing w:val="-6"/>
          <w:sz w:val="22"/>
          <w:szCs w:val="22"/>
          <w:highlight w:val="none"/>
        </w:rPr>
      </w:pPr>
      <w:r>
        <w:rPr>
          <w:rFonts w:hint="eastAsia" w:ascii="宋体" w:hAnsi="宋体" w:cs="宋体"/>
          <w:b/>
          <w:color w:val="auto"/>
          <w:spacing w:val="-6"/>
          <w:sz w:val="22"/>
          <w:szCs w:val="22"/>
          <w:highlight w:val="none"/>
        </w:rPr>
        <w:t>3.如技术部分中未特别注明需执行的国家相关标准、行业标准、地方标准或者其他标准、规范，则统一执行最新标准、规范。</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2BFD4"/>
    <w:multiLevelType w:val="singleLevel"/>
    <w:tmpl w:val="EF82BFD4"/>
    <w:lvl w:ilvl="0" w:tentative="0">
      <w:start w:val="3"/>
      <w:numFmt w:val="chineseCounting"/>
      <w:suff w:val="nothing"/>
      <w:lvlText w:val="%1、"/>
      <w:lvlJc w:val="left"/>
      <w:rPr>
        <w:rFonts w:hint="eastAsia"/>
      </w:rPr>
    </w:lvl>
  </w:abstractNum>
  <w:abstractNum w:abstractNumId="1">
    <w:nsid w:val="3951C00E"/>
    <w:multiLevelType w:val="singleLevel"/>
    <w:tmpl w:val="3951C00E"/>
    <w:lvl w:ilvl="0" w:tentative="0">
      <w:start w:val="2"/>
      <w:numFmt w:val="chineseCounting"/>
      <w:suff w:val="nothing"/>
      <w:lvlText w:val="%1、"/>
      <w:lvlJc w:val="left"/>
      <w:rPr>
        <w:rFonts w:hint="eastAsia"/>
      </w:rPr>
    </w:lvl>
  </w:abstractNum>
  <w:abstractNum w:abstractNumId="2">
    <w:nsid w:val="7BBB0D8E"/>
    <w:multiLevelType w:val="multilevel"/>
    <w:tmpl w:val="7BBB0D8E"/>
    <w:lvl w:ilvl="0" w:tentative="0">
      <w:start w:val="1"/>
      <w:numFmt w:val="decimal"/>
      <w:lvlText w:val="（%1）"/>
      <w:lvlJc w:val="left"/>
      <w:pPr>
        <w:ind w:left="1140" w:hanging="720"/>
      </w:pPr>
      <w:rPr>
        <w:rFonts w:hint="default" w:cs="Times New Roman"/>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5MWJhYWQ4M2M4N2RhMTM0YTg1OGJjZWZmNjAxODIifQ=="/>
  </w:docVars>
  <w:rsids>
    <w:rsidRoot w:val="00000000"/>
    <w:rsid w:val="54E55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2"/>
    <w:basedOn w:val="1"/>
    <w:next w:val="1"/>
    <w:uiPriority w:val="39"/>
    <w:pPr>
      <w:tabs>
        <w:tab w:val="right" w:leader="dot" w:pos="8302"/>
      </w:tabs>
      <w:ind w:leftChars="200"/>
    </w:pPr>
    <w:rPr>
      <w:b/>
      <w:sz w:val="24"/>
    </w:rPr>
  </w:style>
  <w:style w:type="paragraph" w:styleId="3">
    <w:name w:val="Plain Text"/>
    <w:basedOn w:val="1"/>
    <w:next w:val="1"/>
    <w:qFormat/>
    <w:uiPriority w:val="0"/>
    <w:rPr>
      <w:rFonts w:ascii="宋体" w:hAnsi="Courier New" w:cs="Courier New"/>
      <w:snapToGrid w:val="0"/>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博文</cp:lastModifiedBy>
  <dcterms:modified xsi:type="dcterms:W3CDTF">2022-07-25T00:59:34Z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2ACCBD8C0D274BF993289B1E55FDDD41</vt:lpwstr>
  </property>
</Properties>
</file>