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采购需求</w:t>
      </w:r>
    </w:p>
    <w:p>
      <w:pPr>
        <w:spacing w:line="360" w:lineRule="exac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一、采购内容及数量</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8"/>
        <w:gridCol w:w="3484"/>
        <w:gridCol w:w="1418"/>
        <w:gridCol w:w="1721"/>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8" w:type="dxa"/>
            <w:tcBorders>
              <w:tl2br w:val="nil"/>
              <w:tr2bl w:val="nil"/>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3484" w:type="dxa"/>
            <w:tcBorders>
              <w:tl2br w:val="nil"/>
              <w:tr2bl w:val="nil"/>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项目内容</w:t>
            </w:r>
          </w:p>
        </w:tc>
        <w:tc>
          <w:tcPr>
            <w:tcW w:w="1418" w:type="dxa"/>
            <w:tcBorders>
              <w:tl2br w:val="nil"/>
              <w:tr2bl w:val="nil"/>
            </w:tcBorders>
            <w:noWrap w:val="0"/>
            <w:tcMar>
              <w:top w:w="0" w:type="dxa"/>
              <w:left w:w="108" w:type="dxa"/>
              <w:bottom w:w="0" w:type="dxa"/>
              <w:right w:w="108" w:type="dxa"/>
            </w:tcMar>
            <w:vAlign w:val="center"/>
          </w:tcPr>
          <w:p>
            <w:pPr>
              <w:spacing w:line="3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数量</w:t>
            </w:r>
          </w:p>
        </w:tc>
        <w:tc>
          <w:tcPr>
            <w:tcW w:w="1721" w:type="dxa"/>
            <w:tcBorders>
              <w:tl2br w:val="nil"/>
              <w:tr2bl w:val="nil"/>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预算金额(元)</w:t>
            </w:r>
          </w:p>
        </w:tc>
        <w:tc>
          <w:tcPr>
            <w:tcW w:w="2093" w:type="dxa"/>
            <w:tcBorders>
              <w:tl2br w:val="nil"/>
              <w:tr2bl w:val="nil"/>
            </w:tcBorders>
            <w:noWrap w:val="0"/>
            <w:tcMar>
              <w:top w:w="0" w:type="dxa"/>
              <w:left w:w="108" w:type="dxa"/>
              <w:bottom w:w="0" w:type="dxa"/>
              <w:right w:w="108" w:type="dxa"/>
            </w:tcMar>
            <w:vAlign w:val="center"/>
          </w:tcPr>
          <w:p>
            <w:pPr>
              <w:spacing w:line="37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038" w:type="dxa"/>
            <w:tcBorders>
              <w:tl2br w:val="nil"/>
              <w:tr2bl w:val="nil"/>
            </w:tcBorders>
            <w:noWrap w:val="0"/>
            <w:tcMar>
              <w:top w:w="0" w:type="dxa"/>
              <w:left w:w="108" w:type="dxa"/>
              <w:bottom w:w="0" w:type="dxa"/>
              <w:right w:w="108" w:type="dxa"/>
            </w:tcMar>
            <w:vAlign w:val="center"/>
          </w:tcPr>
          <w:p>
            <w:pPr>
              <w:spacing w:line="3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484" w:type="dxa"/>
            <w:tcBorders>
              <w:tl2br w:val="nil"/>
              <w:tr2bl w:val="nil"/>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kern w:val="0"/>
                <w:sz w:val="22"/>
                <w:highlight w:val="none"/>
                <w:lang w:val="zh-CN"/>
              </w:rPr>
              <w:t>边缘计算实训室</w:t>
            </w:r>
          </w:p>
        </w:tc>
        <w:tc>
          <w:tcPr>
            <w:tcW w:w="1418" w:type="dxa"/>
            <w:tcBorders>
              <w:tl2br w:val="nil"/>
              <w:tr2bl w:val="nil"/>
            </w:tcBorders>
            <w:noWrap w:val="0"/>
            <w:tcMar>
              <w:top w:w="0" w:type="dxa"/>
              <w:left w:w="108" w:type="dxa"/>
              <w:bottom w:w="0" w:type="dxa"/>
              <w:right w:w="108" w:type="dxa"/>
            </w:tcMar>
            <w:vAlign w:val="center"/>
          </w:tcPr>
          <w:p>
            <w:pPr>
              <w:spacing w:line="3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1批</w:t>
            </w:r>
          </w:p>
        </w:tc>
        <w:tc>
          <w:tcPr>
            <w:tcW w:w="1721" w:type="dxa"/>
            <w:tcBorders>
              <w:tl2br w:val="nil"/>
              <w:tr2bl w:val="nil"/>
            </w:tcBorders>
            <w:noWrap w:val="0"/>
            <w:tcMar>
              <w:top w:w="0" w:type="dxa"/>
              <w:left w:w="108" w:type="dxa"/>
              <w:bottom w:w="0" w:type="dxa"/>
              <w:right w:w="108" w:type="dxa"/>
            </w:tcMar>
            <w:vAlign w:val="center"/>
          </w:tcPr>
          <w:p>
            <w:pPr>
              <w:spacing w:line="34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490000.00</w:t>
            </w:r>
          </w:p>
        </w:tc>
        <w:tc>
          <w:tcPr>
            <w:tcW w:w="2093" w:type="dxa"/>
            <w:tcBorders>
              <w:tl2br w:val="nil"/>
              <w:tr2bl w:val="nil"/>
            </w:tcBorders>
            <w:noWrap w:val="0"/>
            <w:tcMar>
              <w:top w:w="0" w:type="dxa"/>
              <w:left w:w="108" w:type="dxa"/>
              <w:bottom w:w="0" w:type="dxa"/>
              <w:right w:w="108" w:type="dxa"/>
            </w:tcMar>
            <w:vAlign w:val="center"/>
          </w:tcPr>
          <w:p>
            <w:pPr>
              <w:spacing w:line="370" w:lineRule="exact"/>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p>
        </w:tc>
      </w:tr>
    </w:tbl>
    <w:p>
      <w:pPr>
        <w:spacing w:line="360" w:lineRule="exact"/>
        <w:outlineLvl w:val="0"/>
        <w:rPr>
          <w:rFonts w:hint="eastAsia" w:ascii="宋体" w:hAnsi="宋体" w:eastAsia="宋体" w:cs="宋体"/>
          <w:b/>
          <w:color w:val="auto"/>
          <w:spacing w:val="-6"/>
          <w:sz w:val="22"/>
          <w:szCs w:val="22"/>
          <w:highlight w:val="none"/>
        </w:rPr>
      </w:pPr>
      <w:r>
        <w:rPr>
          <w:rFonts w:hint="eastAsia" w:ascii="宋体" w:hAnsi="宋体" w:eastAsia="宋体" w:cs="宋体"/>
          <w:b/>
          <w:bCs/>
          <w:color w:val="auto"/>
          <w:sz w:val="22"/>
          <w:szCs w:val="22"/>
          <w:highlight w:val="none"/>
        </w:rPr>
        <w:t>二、</w:t>
      </w:r>
      <w:r>
        <w:rPr>
          <w:rFonts w:hint="eastAsia" w:ascii="宋体" w:hAnsi="宋体" w:eastAsia="宋体" w:cs="宋体"/>
          <w:b/>
          <w:color w:val="auto"/>
          <w:spacing w:val="-6"/>
          <w:sz w:val="22"/>
          <w:szCs w:val="22"/>
          <w:highlight w:val="none"/>
        </w:rPr>
        <w:t>商务要求（技术要求里另有注明的以技术要求为准）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bCs/>
                <w:color w:val="auto"/>
                <w:sz w:val="22"/>
                <w:szCs w:val="22"/>
                <w:highlight w:val="none"/>
                <w:u w:val="single"/>
              </w:rPr>
            </w:pPr>
            <w:r>
              <w:rPr>
                <w:rFonts w:hint="eastAsia" w:ascii="宋体" w:hAnsi="宋体" w:cs="宋体"/>
                <w:bCs/>
                <w:color w:val="auto"/>
                <w:spacing w:val="-6"/>
                <w:sz w:val="22"/>
                <w:szCs w:val="22"/>
                <w:highlight w:val="none"/>
                <w:u w:val="single"/>
              </w:rPr>
              <w:t>▲履约保证金及</w:t>
            </w:r>
            <w:r>
              <w:rPr>
                <w:rFonts w:hint="eastAsia" w:ascii="宋体" w:hAnsi="宋体" w:cs="宋体"/>
                <w:bCs/>
                <w:color w:val="auto"/>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bCs/>
                <w:snapToGrid w:val="0"/>
                <w:color w:val="auto"/>
                <w:kern w:val="0"/>
                <w:sz w:val="22"/>
                <w:szCs w:val="22"/>
                <w:highlight w:val="none"/>
                <w:u w:val="single"/>
              </w:rPr>
            </w:pPr>
            <w:r>
              <w:rPr>
                <w:rFonts w:hint="eastAsia" w:ascii="宋体" w:hAnsi="宋体" w:cs="宋体"/>
                <w:bCs/>
                <w:snapToGrid w:val="0"/>
                <w:color w:val="auto"/>
                <w:kern w:val="0"/>
                <w:sz w:val="22"/>
                <w:szCs w:val="22"/>
                <w:highlight w:val="none"/>
                <w:u w:val="single"/>
              </w:rPr>
              <w:t>履约保证金：乙方在合同签订后7个工作日内，向甲方提交合同总金额1%履约保证金（接受银行转账、支票、汇票、本票、履约保函等多种非现金形式），履约保证金自项目验收合格之日起7个工作日内无息退还。</w:t>
            </w:r>
          </w:p>
          <w:p>
            <w:pPr>
              <w:spacing w:line="360" w:lineRule="auto"/>
              <w:jc w:val="left"/>
              <w:rPr>
                <w:rFonts w:hint="eastAsia" w:ascii="宋体" w:hAnsi="宋体" w:cs="宋体"/>
                <w:bCs/>
                <w:color w:val="auto"/>
                <w:sz w:val="22"/>
                <w:szCs w:val="22"/>
                <w:highlight w:val="none"/>
                <w:u w:val="single"/>
              </w:rPr>
            </w:pPr>
            <w:r>
              <w:rPr>
                <w:rFonts w:hint="eastAsia" w:ascii="宋体" w:hAnsi="宋体" w:cs="宋体"/>
                <w:bCs/>
                <w:snapToGrid w:val="0"/>
                <w:color w:val="auto"/>
                <w:kern w:val="0"/>
                <w:sz w:val="22"/>
                <w:szCs w:val="22"/>
                <w:highlight w:val="none"/>
                <w:u w:val="single"/>
              </w:rPr>
              <w:t>付款条件：全部设备到货，安装、调试、验收合格后，甲方待财政资金下达后向乙方支付全部合同款。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70" w:lineRule="exact"/>
              <w:rPr>
                <w:rFonts w:ascii="宋体" w:hAnsi="宋体"/>
                <w:color w:val="auto"/>
                <w:sz w:val="22"/>
                <w:szCs w:val="22"/>
                <w:highlight w:val="none"/>
              </w:rPr>
            </w:pPr>
            <w:r>
              <w:rPr>
                <w:rFonts w:hint="eastAsia" w:ascii="宋体" w:hAnsi="宋体" w:cs="宋体"/>
                <w:bCs/>
                <w:color w:val="auto"/>
                <w:sz w:val="22"/>
                <w:szCs w:val="22"/>
                <w:highlight w:val="none"/>
              </w:rPr>
              <w:t>验收合格日起</w:t>
            </w:r>
            <w:r>
              <w:rPr>
                <w:rFonts w:hint="eastAsia" w:ascii="宋体" w:hAnsi="宋体" w:cs="宋体"/>
                <w:bCs/>
                <w:color w:val="auto"/>
                <w:sz w:val="22"/>
                <w:szCs w:val="22"/>
                <w:highlight w:val="none"/>
                <w:lang w:val="en-US" w:eastAsia="zh-CN"/>
              </w:rPr>
              <w:t>1</w:t>
            </w:r>
            <w:r>
              <w:rPr>
                <w:rFonts w:hint="eastAsia" w:ascii="宋体" w:hAnsi="宋体" w:cs="宋体"/>
                <w:bCs/>
                <w:color w:val="auto"/>
                <w:sz w:val="22"/>
                <w:szCs w:val="22"/>
                <w:highlight w:val="none"/>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bCs/>
                <w:color w:val="auto"/>
                <w:sz w:val="22"/>
                <w:szCs w:val="22"/>
                <w:highlight w:val="none"/>
              </w:rPr>
            </w:pPr>
            <w:r>
              <w:rPr>
                <w:rFonts w:hint="eastAsia" w:ascii="宋体" w:hAnsi="宋体" w:cs="宋体"/>
                <w:bCs/>
                <w:color w:val="auto"/>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70" w:lineRule="exact"/>
              <w:rPr>
                <w:rFonts w:hint="eastAsia" w:ascii="宋体" w:hAnsi="宋体" w:eastAsia="宋体" w:cs="宋体"/>
                <w:bCs/>
                <w:color w:val="auto"/>
                <w:sz w:val="22"/>
                <w:szCs w:val="22"/>
                <w:highlight w:val="none"/>
                <w:lang w:eastAsia="zh-CN"/>
              </w:rPr>
            </w:pPr>
            <w:r>
              <w:rPr>
                <w:rFonts w:hint="eastAsia" w:ascii="宋体" w:hAnsi="宋体"/>
                <w:color w:val="auto"/>
                <w:sz w:val="22"/>
                <w:szCs w:val="22"/>
                <w:highlight w:val="none"/>
                <w:lang w:val="en-US" w:eastAsia="zh-CN"/>
              </w:rPr>
              <w:t>成交通知书发出后10日内完成项目</w:t>
            </w:r>
            <w:r>
              <w:rPr>
                <w:rFonts w:hint="eastAsia" w:ascii="宋体" w:hAnsi="宋体"/>
                <w:color w:val="auto"/>
                <w:sz w:val="22"/>
                <w:szCs w:val="22"/>
                <w:highlight w:val="none"/>
              </w:rPr>
              <w:t>交付</w:t>
            </w:r>
            <w:r>
              <w:rPr>
                <w:rFonts w:hint="eastAsia" w:ascii="宋体" w:hAnsi="宋体"/>
                <w:color w:val="auto"/>
                <w:sz w:val="22"/>
                <w:szCs w:val="22"/>
                <w:highlight w:val="none"/>
                <w:lang w:eastAsia="zh-CN"/>
              </w:rPr>
              <w:t>并能正常使用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7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70" w:lineRule="exact"/>
              <w:rPr>
                <w:rFonts w:hint="eastAsia" w:ascii="宋体" w:hAnsi="宋体" w:cs="宋体"/>
                <w:color w:val="auto"/>
                <w:kern w:val="0"/>
                <w:sz w:val="22"/>
                <w:szCs w:val="22"/>
                <w:highlight w:val="none"/>
              </w:rPr>
            </w:pPr>
            <w:r>
              <w:rPr>
                <w:rFonts w:hint="eastAsia" w:ascii="宋体" w:hAnsi="宋体" w:cs="宋体"/>
                <w:bCs/>
                <w:snapToGrid w:val="0"/>
                <w:color w:val="auto"/>
                <w:kern w:val="0"/>
                <w:sz w:val="22"/>
                <w:szCs w:val="22"/>
                <w:highlight w:val="none"/>
              </w:rPr>
              <w:t>甲方</w:t>
            </w:r>
            <w:r>
              <w:rPr>
                <w:rFonts w:hint="eastAsia" w:ascii="宋体" w:hAnsi="宋体"/>
                <w:color w:val="auto"/>
                <w:sz w:val="22"/>
                <w:szCs w:val="22"/>
                <w:highlight w:val="none"/>
              </w:rPr>
              <w:t>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验收要求</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snapToGrid w:val="0"/>
              <w:spacing w:line="360" w:lineRule="exact"/>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验收应按照</w:t>
            </w:r>
            <w:r>
              <w:rPr>
                <w:rFonts w:hint="eastAsia" w:ascii="宋体" w:hAnsi="宋体" w:cs="宋体"/>
                <w:bCs/>
                <w:snapToGrid w:val="0"/>
                <w:color w:val="auto"/>
                <w:kern w:val="0"/>
                <w:sz w:val="22"/>
                <w:szCs w:val="22"/>
                <w:highlight w:val="none"/>
              </w:rPr>
              <w:t>甲方</w:t>
            </w:r>
            <w:r>
              <w:rPr>
                <w:rFonts w:hint="eastAsia" w:ascii="宋体" w:hAnsi="宋体" w:cs="宋体"/>
                <w:bCs/>
                <w:color w:val="auto"/>
                <w:sz w:val="22"/>
                <w:szCs w:val="22"/>
                <w:highlight w:val="none"/>
              </w:rPr>
              <w:t>确认的验收要求进行，全过程必须由</w:t>
            </w:r>
            <w:r>
              <w:rPr>
                <w:rFonts w:hint="eastAsia" w:ascii="宋体" w:hAnsi="宋体" w:cs="宋体"/>
                <w:bCs/>
                <w:snapToGrid w:val="0"/>
                <w:color w:val="auto"/>
                <w:kern w:val="0"/>
                <w:sz w:val="22"/>
                <w:szCs w:val="22"/>
                <w:highlight w:val="none"/>
              </w:rPr>
              <w:t>甲方</w:t>
            </w:r>
            <w:r>
              <w:rPr>
                <w:rFonts w:hint="eastAsia" w:ascii="宋体" w:hAnsi="宋体" w:cs="宋体"/>
                <w:bCs/>
                <w:color w:val="auto"/>
                <w:sz w:val="22"/>
                <w:szCs w:val="22"/>
                <w:highlight w:val="none"/>
              </w:rPr>
              <w:t>在场见证。</w:t>
            </w:r>
          </w:p>
          <w:p>
            <w:pPr>
              <w:numPr>
                <w:ilvl w:val="0"/>
                <w:numId w:val="1"/>
              </w:numPr>
              <w:spacing w:line="360" w:lineRule="exact"/>
              <w:ind w:left="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如项目后期需代理组织校外人员验收，验收费用5000元由乙方支付给代理公司。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bCs/>
                <w:color w:val="auto"/>
                <w:sz w:val="22"/>
                <w:szCs w:val="22"/>
                <w:highlight w:val="none"/>
              </w:rPr>
            </w:pPr>
            <w:r>
              <w:rPr>
                <w:rFonts w:hint="eastAsia" w:ascii="宋体" w:hAnsi="宋体"/>
                <w:color w:val="auto"/>
                <w:sz w:val="22"/>
                <w:szCs w:val="22"/>
                <w:highlight w:val="none"/>
              </w:rPr>
              <w:t>售后服务要求</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bCs/>
                <w:color w:val="auto"/>
                <w:sz w:val="22"/>
                <w:szCs w:val="22"/>
                <w:highlight w:val="none"/>
              </w:rPr>
            </w:pPr>
            <w:r>
              <w:rPr>
                <w:rFonts w:hint="eastAsia" w:ascii="宋体" w:hAnsi="宋体"/>
                <w:color w:val="auto"/>
                <w:sz w:val="22"/>
                <w:szCs w:val="22"/>
                <w:highlight w:val="none"/>
              </w:rPr>
              <w:t>中标供应商应对提供的产品，免费部署，免费培训，并提供免费咨询服务。</w:t>
            </w:r>
          </w:p>
        </w:tc>
      </w:tr>
    </w:tbl>
    <w:p>
      <w:pPr>
        <w:numPr>
          <w:ilvl w:val="0"/>
          <w:numId w:val="2"/>
        </w:numPr>
        <w:spacing w:line="360" w:lineRule="exac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技术要求</w:t>
      </w:r>
    </w:p>
    <w:p>
      <w:pPr>
        <w:pStyle w:val="2"/>
        <w:jc w:val="center"/>
        <w:rPr>
          <w:rFonts w:hint="eastAsia"/>
          <w:color w:val="auto"/>
          <w:sz w:val="21"/>
          <w:szCs w:val="21"/>
          <w:highlight w:val="none"/>
        </w:rPr>
      </w:pPr>
      <w:r>
        <w:rPr>
          <w:rFonts w:hint="eastAsia"/>
          <w:color w:val="auto"/>
          <w:sz w:val="21"/>
          <w:szCs w:val="21"/>
          <w:highlight w:val="none"/>
          <w:lang w:val="en-US" w:eastAsia="zh-CN"/>
        </w:rPr>
        <w:t>第一点：</w:t>
      </w:r>
      <w:r>
        <w:rPr>
          <w:rFonts w:hint="eastAsia"/>
          <w:color w:val="auto"/>
          <w:sz w:val="21"/>
          <w:szCs w:val="21"/>
          <w:highlight w:val="none"/>
        </w:rPr>
        <w:t>采购内容</w:t>
      </w:r>
    </w:p>
    <w:tbl>
      <w:tblPr>
        <w:tblStyle w:val="5"/>
        <w:tblW w:w="9891" w:type="dxa"/>
        <w:jc w:val="center"/>
        <w:tblLayout w:type="fixed"/>
        <w:tblCellMar>
          <w:top w:w="0" w:type="dxa"/>
          <w:left w:w="108" w:type="dxa"/>
          <w:bottom w:w="0" w:type="dxa"/>
          <w:right w:w="108" w:type="dxa"/>
        </w:tblCellMar>
      </w:tblPr>
      <w:tblGrid>
        <w:gridCol w:w="1369"/>
        <w:gridCol w:w="4296"/>
        <w:gridCol w:w="1445"/>
        <w:gridCol w:w="1828"/>
        <w:gridCol w:w="953"/>
      </w:tblGrid>
      <w:tr>
        <w:tblPrEx>
          <w:tblCellMar>
            <w:top w:w="0" w:type="dxa"/>
            <w:left w:w="108" w:type="dxa"/>
            <w:bottom w:w="0" w:type="dxa"/>
            <w:right w:w="108" w:type="dxa"/>
          </w:tblCellMar>
        </w:tblPrEx>
        <w:trPr>
          <w:trHeight w:val="9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9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开支内容</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953"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备注</w:t>
            </w:r>
          </w:p>
        </w:tc>
      </w:tr>
      <w:tr>
        <w:tblPrEx>
          <w:tblCellMar>
            <w:top w:w="0" w:type="dxa"/>
            <w:left w:w="108" w:type="dxa"/>
            <w:bottom w:w="0" w:type="dxa"/>
            <w:right w:w="108" w:type="dxa"/>
          </w:tblCellMar>
        </w:tblPrEx>
        <w:trPr>
          <w:trHeight w:val="9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2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color w:val="auto"/>
                <w:kern w:val="0"/>
                <w:szCs w:val="21"/>
                <w:highlight w:val="none"/>
                <w:lang w:bidi="ar"/>
              </w:rPr>
              <w:t>人工智能边缘计算实验箱</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16</w:t>
            </w:r>
          </w:p>
        </w:tc>
        <w:tc>
          <w:tcPr>
            <w:tcW w:w="95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9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2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人工智能算法SDK工具</w:t>
            </w:r>
            <w:r>
              <w:rPr>
                <w:rFonts w:hint="eastAsia" w:ascii="宋体" w:hAnsi="宋体" w:cs="宋体"/>
                <w:b/>
                <w:bCs/>
                <w:color w:val="auto"/>
                <w:kern w:val="0"/>
                <w:szCs w:val="21"/>
                <w:highlight w:val="none"/>
              </w:rPr>
              <w:t xml:space="preserve"> </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16</w:t>
            </w:r>
          </w:p>
        </w:tc>
        <w:tc>
          <w:tcPr>
            <w:tcW w:w="95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9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2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边缘计算与视觉基础应用实训包（公有云）</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年</w:t>
            </w:r>
          </w:p>
        </w:tc>
        <w:tc>
          <w:tcPr>
            <w:tcW w:w="1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53"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auto"/>
                <w:kern w:val="0"/>
                <w:szCs w:val="21"/>
                <w:highlight w:val="none"/>
              </w:rPr>
            </w:pPr>
          </w:p>
        </w:tc>
      </w:tr>
    </w:tbl>
    <w:p>
      <w:pPr>
        <w:rPr>
          <w:color w:val="auto"/>
          <w:highlight w:val="none"/>
        </w:rPr>
      </w:pPr>
    </w:p>
    <w:p>
      <w:pPr>
        <w:pStyle w:val="2"/>
        <w:jc w:val="center"/>
        <w:rPr>
          <w:rFonts w:hint="eastAsia" w:eastAsia="宋体"/>
          <w:color w:val="auto"/>
          <w:sz w:val="24"/>
          <w:szCs w:val="24"/>
          <w:highlight w:val="none"/>
          <w:lang w:eastAsia="zh-CN"/>
        </w:rPr>
      </w:pPr>
      <w:r>
        <w:rPr>
          <w:rFonts w:hint="eastAsia"/>
          <w:color w:val="auto"/>
          <w:sz w:val="24"/>
          <w:szCs w:val="24"/>
          <w:highlight w:val="none"/>
          <w:lang w:val="en-US" w:eastAsia="zh-CN"/>
        </w:rPr>
        <w:t>第二点：具体</w:t>
      </w:r>
      <w:r>
        <w:rPr>
          <w:rFonts w:hint="eastAsia"/>
          <w:color w:val="auto"/>
          <w:sz w:val="24"/>
          <w:szCs w:val="24"/>
          <w:highlight w:val="none"/>
        </w:rPr>
        <w:t>参数</w:t>
      </w:r>
      <w:r>
        <w:rPr>
          <w:rFonts w:hint="eastAsia"/>
          <w:color w:val="auto"/>
          <w:sz w:val="24"/>
          <w:szCs w:val="24"/>
          <w:highlight w:val="none"/>
          <w:lang w:val="en-US" w:eastAsia="zh-CN"/>
        </w:rPr>
        <w:t>要求</w:t>
      </w:r>
    </w:p>
    <w:tbl>
      <w:tblPr>
        <w:tblStyle w:val="5"/>
        <w:tblW w:w="5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360"/>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tcPr>
          <w:p>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序号</w:t>
            </w:r>
          </w:p>
        </w:tc>
        <w:tc>
          <w:tcPr>
            <w:tcW w:w="744" w:type="pct"/>
          </w:tcPr>
          <w:p>
            <w:pPr>
              <w:widowControl/>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产品名称</w:t>
            </w:r>
          </w:p>
        </w:tc>
        <w:tc>
          <w:tcPr>
            <w:tcW w:w="3979" w:type="pct"/>
            <w:vAlign w:val="center"/>
          </w:tcPr>
          <w:p>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restart"/>
          </w:tcPr>
          <w:p>
            <w:pPr>
              <w:widowControl/>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744" w:type="pct"/>
            <w:vMerge w:val="restart"/>
          </w:tcPr>
          <w:p>
            <w:pPr>
              <w:widowControl/>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人工智能边缘计算实验箱</w:t>
            </w:r>
          </w:p>
        </w:tc>
        <w:tc>
          <w:tcPr>
            <w:tcW w:w="3979" w:type="pct"/>
          </w:tcPr>
          <w:p>
            <w:pPr>
              <w:widowControl/>
              <w:shd w:val="clear" w:color="auto" w:fill="FFFFFF"/>
              <w:spacing w:line="252" w:lineRule="atLeast"/>
              <w:jc w:val="left"/>
              <w:rPr>
                <w:rFonts w:ascii="Segoe UI" w:hAnsi="Segoe UI" w:cs="Segoe UI"/>
                <w:color w:val="auto"/>
                <w:kern w:val="0"/>
                <w:szCs w:val="21"/>
                <w:highlight w:val="none"/>
              </w:rPr>
            </w:pPr>
            <w:r>
              <w:rPr>
                <w:rFonts w:hint="eastAsia"/>
                <w:color w:val="auto"/>
                <w:szCs w:val="21"/>
                <w:highlight w:val="none"/>
              </w:rPr>
              <w:t>1.投标产品须提供具有自主知识产权的相关系统软件，系统软件基于Linux操作系统，提供</w:t>
            </w:r>
            <w:r>
              <w:rPr>
                <w:rFonts w:hint="eastAsia"/>
                <w:color w:val="auto"/>
                <w:szCs w:val="21"/>
                <w:highlight w:val="none"/>
                <w:lang w:val="en-US" w:eastAsia="zh-CN"/>
              </w:rPr>
              <w:t>相关证书</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2.体积不超过 450*350*180mm金属铝箱；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ascii="Segoe UI" w:hAnsi="Segoe UI" w:cs="Segoe UI"/>
                <w:color w:val="auto"/>
                <w:kern w:val="0"/>
                <w:szCs w:val="21"/>
                <w:highlight w:val="none"/>
              </w:rPr>
              <w:t>3</w:t>
            </w:r>
            <w:r>
              <w:rPr>
                <w:rFonts w:hint="eastAsia"/>
                <w:color w:val="auto"/>
                <w:szCs w:val="21"/>
                <w:highlight w:val="none"/>
              </w:rPr>
              <w:t>.核心处理器应为Jetson Nano，便于学校的教学活动使用；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4.可以运行多个神经网络，从而实现图像分类，物体检测、分割和语音处理等应用；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5.支持NVIDIA CUDA，cuDNN软件库，用于深度学习、计算机视觉、GPU计算，多媒体处理等；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6.算力不低于 0.5 TFLOPS (FP16)；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7.CPU数量不低于四核；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8.配置内存≥4GB；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9.配置TF卡，存储空间≥64GB；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10.实验箱功耗要求小于70W；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11.配置1块屏幕，尺寸≥13.3寸，且支持触摸屏功能，分辨率要求≥1920*1080；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12.配置双目摄像头，像素不低于800万像素，要求固定在实验箱上；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eastAsia="宋体" w:cs="Times New Roman"/>
                <w:color w:val="auto"/>
                <w:szCs w:val="21"/>
                <w:highlight w:val="none"/>
                <w:lang w:val="en-US" w:eastAsia="zh-CN"/>
              </w:rPr>
              <w:t>★</w:t>
            </w:r>
            <w:r>
              <w:rPr>
                <w:rFonts w:hint="eastAsia"/>
                <w:color w:val="auto"/>
                <w:szCs w:val="21"/>
                <w:highlight w:val="none"/>
              </w:rPr>
              <w:t>13.配置单目摄像头，像素不低于100万像素，要求固定在实验箱上，要求能实时捕获摄像头画面，并在实验箱屏幕上呈现；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14.单目摄像头支持舵机云台，支持双自由度180度旋转，陀机云台上搭载摄像头；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15.配置麦克风，支持360度拾音麦克风进行声音采集；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16.麦克风声音采集距离不低于2.5m；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17.麦克风支持音频处理，声纹识别，关键词语音识别，NLP自然语言处理、ASR实时语音识别等算法，可以应用于智能家居、语音控制、语音输入等场景；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18.支持环境传感器可以采集环境有机挥发气体、温度、湿度、气压等环境数据，可以用于环境检测场景；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19.支持电容式土壤湿度传感器可以获取土壤水分含量，可以用于土壤分析；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20.支持光亮度传感器可以获取环境光亮度，可以用于环境监测场景；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eastAsia="宋体" w:cs="Times New Roman"/>
                <w:color w:val="auto"/>
                <w:szCs w:val="21"/>
                <w:highlight w:val="none"/>
                <w:lang w:val="en-US" w:eastAsia="zh-CN"/>
              </w:rPr>
              <w:t>★</w:t>
            </w:r>
            <w:r>
              <w:rPr>
                <w:rFonts w:hint="eastAsia"/>
                <w:color w:val="auto"/>
                <w:szCs w:val="21"/>
                <w:highlight w:val="none"/>
              </w:rPr>
              <w:t>21.支持NFC读卡器可以读取近场通讯的NFC卡，可以用于模拟刷卡场景；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22.配置不少于4个USB3.0扩展口，可用于扩展其他USB设备，如摄像头、USB开发板，Wi-Fi模块等；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23.支持360度舵机可以用于动力输出，可以用于模拟智能窗帘、闸机等场景；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24.支持IO扩展板可以用于连接以上传感器，如果以上传感器不能满足需求，还可以自行扩展；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eastAsia="宋体" w:cs="Times New Roman"/>
                <w:color w:val="auto"/>
                <w:szCs w:val="21"/>
                <w:highlight w:val="none"/>
                <w:lang w:val="en-US" w:eastAsia="zh-CN"/>
              </w:rPr>
              <w:t>★</w:t>
            </w:r>
            <w:r>
              <w:rPr>
                <w:rFonts w:hint="eastAsia"/>
                <w:color w:val="auto"/>
                <w:szCs w:val="21"/>
                <w:highlight w:val="none"/>
              </w:rPr>
              <w:t>25.支持以USB方式连接电脑，并且支持通过云平台进行在线编程和调试，并能在云平台上查看实验箱状态包含显示CPU个数以及每个CPU占用率、内存容量以及内存占用率，提供视频证明；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color w:val="auto"/>
                <w:szCs w:val="21"/>
                <w:highlight w:val="none"/>
              </w:rPr>
              <w:t>26.支持通过云平台进行设备文件和文件夹从代码区和个人空间拷贝到设备文件中；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eastAsia="宋体" w:cs="Times New Roman"/>
                <w:color w:val="auto"/>
                <w:szCs w:val="21"/>
                <w:highlight w:val="none"/>
                <w:lang w:val="en-US" w:eastAsia="zh-CN"/>
              </w:rPr>
              <w:t>★</w:t>
            </w:r>
            <w:r>
              <w:rPr>
                <w:rFonts w:hint="eastAsia"/>
                <w:color w:val="auto"/>
                <w:szCs w:val="21"/>
                <w:highlight w:val="none"/>
              </w:rPr>
              <w:t>27.支持个人电脑中的文件或者文件夹上传到设备中，提供视频证明；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rFonts w:ascii="宋体" w:hAnsi="宋体" w:cs="宋体"/>
                <w:color w:val="auto"/>
                <w:kern w:val="0"/>
                <w:szCs w:val="21"/>
                <w:highlight w:val="none"/>
                <w:lang w:bidi="ar"/>
              </w:rPr>
            </w:pPr>
            <w:r>
              <w:rPr>
                <w:rFonts w:hint="eastAsia" w:eastAsia="宋体" w:cs="Times New Roman"/>
                <w:color w:val="auto"/>
                <w:szCs w:val="21"/>
                <w:highlight w:val="none"/>
                <w:lang w:val="en-US" w:eastAsia="zh-CN"/>
              </w:rPr>
              <w:t>★</w:t>
            </w:r>
            <w:r>
              <w:rPr>
                <w:rFonts w:hint="eastAsia"/>
                <w:color w:val="auto"/>
                <w:szCs w:val="21"/>
                <w:highlight w:val="none"/>
              </w:rPr>
              <w:t>28.支持设备文件和文件夹的查看和删除，提供视频证明；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lang w:bidi="ar"/>
              </w:rPr>
            </w:pPr>
          </w:p>
        </w:tc>
        <w:tc>
          <w:tcPr>
            <w:tcW w:w="3979" w:type="pct"/>
          </w:tcPr>
          <w:p>
            <w:pPr>
              <w:widowControl/>
              <w:textAlignment w:val="center"/>
              <w:rPr>
                <w:color w:val="auto"/>
                <w:szCs w:val="21"/>
                <w:highlight w:val="none"/>
              </w:rPr>
            </w:pPr>
            <w:r>
              <w:rPr>
                <w:rFonts w:hint="eastAsia" w:ascii="宋体" w:hAnsi="宋体" w:cs="宋体"/>
                <w:color w:val="auto"/>
                <w:kern w:val="0"/>
                <w:szCs w:val="21"/>
                <w:highlight w:val="none"/>
                <w:lang w:bidi="ar"/>
              </w:rPr>
              <w:t>29.该套设备支持人工智能边缘计算实训教学，支持基于智慧社区，智慧医疗，智慧文娱等场景进行人工智能应用开发，支持作为人工智能工程技术人员专业能力培养设备使用；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restart"/>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744" w:type="pct"/>
            <w:vMerge w:val="restart"/>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rPr>
              <w:t>人工智能算法SDK工具</w:t>
            </w:r>
          </w:p>
        </w:tc>
        <w:tc>
          <w:tcPr>
            <w:tcW w:w="3979" w:type="pct"/>
          </w:tcPr>
          <w:p>
            <w:pPr>
              <w:widowControl/>
              <w:jc w:val="left"/>
              <w:textAlignment w:val="center"/>
              <w:rPr>
                <w:rFonts w:ascii="宋体" w:hAnsi="宋体" w:cs="宋体"/>
                <w:color w:val="auto"/>
                <w:kern w:val="0"/>
                <w:szCs w:val="21"/>
                <w:highlight w:val="none"/>
                <w:lang w:bidi="ar"/>
              </w:rPr>
            </w:pPr>
            <w:r>
              <w:rPr>
                <w:rFonts w:hint="eastAsia"/>
                <w:color w:val="auto"/>
                <w:szCs w:val="21"/>
                <w:highlight w:val="none"/>
              </w:rPr>
              <w:t>1.人脸检测：快速检测图片中的人脸并标记出人脸坐标；支持同时检测多张人脸；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rFonts w:ascii="宋体" w:hAnsi="宋体" w:cs="宋体"/>
                <w:color w:val="auto"/>
                <w:kern w:val="0"/>
                <w:szCs w:val="21"/>
                <w:highlight w:val="none"/>
              </w:rPr>
            </w:pPr>
            <w:r>
              <w:rPr>
                <w:rFonts w:hint="eastAsia"/>
                <w:color w:val="auto"/>
                <w:szCs w:val="21"/>
                <w:highlight w:val="none"/>
              </w:rPr>
              <w:t>2.人脸关键点检测：精准定位包括脸颊、眉、眼、口、鼻等人脸五官及轮廓的 106 个关键点；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rFonts w:ascii="宋体" w:hAnsi="宋体" w:cs="宋体"/>
                <w:color w:val="auto"/>
                <w:kern w:val="0"/>
                <w:szCs w:val="21"/>
                <w:highlight w:val="none"/>
              </w:rPr>
            </w:pPr>
            <w:r>
              <w:rPr>
                <w:rFonts w:hint="eastAsia"/>
                <w:color w:val="auto"/>
                <w:szCs w:val="21"/>
                <w:highlight w:val="none"/>
              </w:rPr>
              <w:t>3.人体检测：快速检测图片中的人体并标记出人体坐标；支持同时检测多张人体；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rFonts w:ascii="宋体" w:hAnsi="宋体" w:cs="宋体"/>
                <w:color w:val="auto"/>
                <w:kern w:val="0"/>
                <w:szCs w:val="21"/>
                <w:highlight w:val="none"/>
              </w:rPr>
            </w:pPr>
            <w:r>
              <w:rPr>
                <w:rFonts w:hint="eastAsia"/>
                <w:color w:val="auto"/>
                <w:szCs w:val="21"/>
                <w:highlight w:val="none"/>
              </w:rPr>
              <w:t>4.人体关键点检测：精准定位人体的 14 个关键点；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rFonts w:ascii="宋体" w:hAnsi="宋体" w:cs="宋体"/>
                <w:color w:val="auto"/>
                <w:kern w:val="0"/>
                <w:szCs w:val="21"/>
                <w:highlight w:val="none"/>
              </w:rPr>
            </w:pPr>
            <w:r>
              <w:rPr>
                <w:rFonts w:hint="eastAsia"/>
                <w:color w:val="auto"/>
                <w:szCs w:val="21"/>
                <w:highlight w:val="none"/>
              </w:rPr>
              <w:t>5.人脸特征提取：提取人脸特征信息；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rFonts w:ascii="宋体" w:hAnsi="宋体" w:cs="宋体"/>
                <w:color w:val="auto"/>
                <w:kern w:val="0"/>
                <w:szCs w:val="21"/>
                <w:highlight w:val="none"/>
              </w:rPr>
            </w:pPr>
            <w:r>
              <w:rPr>
                <w:rFonts w:hint="eastAsia"/>
                <w:color w:val="auto"/>
                <w:szCs w:val="21"/>
                <w:highlight w:val="none"/>
              </w:rPr>
              <w:t>6.手部检测：检测图像中的所有手部；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rFonts w:ascii="宋体" w:hAnsi="宋体" w:cs="宋体"/>
                <w:color w:val="auto"/>
                <w:kern w:val="0"/>
                <w:szCs w:val="21"/>
                <w:highlight w:val="none"/>
              </w:rPr>
            </w:pPr>
            <w:r>
              <w:rPr>
                <w:rFonts w:hint="eastAsia"/>
                <w:color w:val="auto"/>
                <w:szCs w:val="21"/>
                <w:highlight w:val="none"/>
              </w:rPr>
              <w:t>7.手部关键点检测：精准定位手部手指的 5个主要关键点；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rFonts w:ascii="宋体" w:hAnsi="宋体" w:cs="宋体"/>
                <w:color w:val="auto"/>
                <w:kern w:val="0"/>
                <w:szCs w:val="21"/>
                <w:highlight w:val="none"/>
              </w:rPr>
            </w:pPr>
            <w:r>
              <w:rPr>
                <w:rFonts w:hint="eastAsia" w:eastAsia="宋体" w:cs="Times New Roman"/>
                <w:color w:val="auto"/>
                <w:szCs w:val="21"/>
                <w:highlight w:val="none"/>
                <w:lang w:val="en-US" w:eastAsia="zh-CN"/>
              </w:rPr>
              <w:t>★</w:t>
            </w:r>
            <w:r>
              <w:rPr>
                <w:rFonts w:hint="eastAsia"/>
                <w:color w:val="auto"/>
                <w:szCs w:val="21"/>
                <w:highlight w:val="none"/>
              </w:rPr>
              <w:t>8.手部动作识别：识别多种手势的动作和方向，可识别的动作包括 V 字、点赞、五指、拳头、 666 等手势的平移（上下左右），提供视频证明；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rFonts w:ascii="宋体" w:hAnsi="宋体" w:cs="宋体"/>
                <w:color w:val="auto"/>
                <w:kern w:val="0"/>
                <w:szCs w:val="21"/>
                <w:highlight w:val="none"/>
              </w:rPr>
            </w:pPr>
            <w:r>
              <w:rPr>
                <w:rFonts w:hint="eastAsia"/>
                <w:color w:val="auto"/>
                <w:szCs w:val="21"/>
                <w:highlight w:val="none"/>
              </w:rPr>
              <w:t>9.通用特征提取：精准提取图像的通用特征；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rFonts w:ascii="宋体" w:hAnsi="宋体" w:cs="宋体"/>
                <w:color w:val="auto"/>
                <w:kern w:val="0"/>
                <w:szCs w:val="21"/>
                <w:highlight w:val="none"/>
              </w:rPr>
            </w:pPr>
            <w:r>
              <w:rPr>
                <w:rFonts w:hint="eastAsia"/>
                <w:color w:val="auto"/>
                <w:szCs w:val="21"/>
                <w:highlight w:val="none"/>
              </w:rPr>
              <w:t>10.将照片渲染成有艺术风格的画作，支持的风格转换包括 Wave、Sketch、Mononoke等；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restart"/>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744" w:type="pct"/>
            <w:vMerge w:val="restart"/>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边缘计算与视觉基础应用实训包（公有云1年）</w:t>
            </w:r>
          </w:p>
        </w:tc>
        <w:tc>
          <w:tcPr>
            <w:tcW w:w="3979" w:type="pct"/>
          </w:tcPr>
          <w:p>
            <w:pPr>
              <w:widowControl/>
              <w:jc w:val="left"/>
              <w:textAlignment w:val="center"/>
              <w:rPr>
                <w:color w:val="auto"/>
                <w:szCs w:val="21"/>
                <w:highlight w:val="none"/>
              </w:rPr>
            </w:pPr>
            <w:r>
              <w:rPr>
                <w:rFonts w:hint="eastAsia"/>
                <w:color w:val="auto"/>
                <w:highlight w:val="none"/>
              </w:rPr>
              <w:t>1.包含边缘计算实验箱的使用实验实验，能够了解边缘计算实验箱的产品配置和使用；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2.包含边缘计算实验箱的使用实验实验，能够正确使用云台摄像头、双目摄像头和编程按钮；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3.包含边缘计算实验箱的使用实验实验，能够使用编程按钮来控制云台摄像头和双目摄像头；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4.包含图像处理的基本操作实验，能够使用matplotlib的绘图功能显示图像；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5.包含图像处理的基本操作实验，能够学习图像的颜色空间包括RGB、RGBA和HSV；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6.包含图像处理的基本操作实验，能够使用Pillow软件包中的Image类来实现利用透明通道合成图像的任务；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7.包含图像处理的基本操作实验，能够使用OpenCV中的GaussianBlur实现图像的高斯模糊；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8.包含图像处理的基本操作实验，能够使用OpenCV实现图像的锐化；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9.包含相机畸变矫正和姿态估计实验，能够学习相机模型和畸变模型的基本概念；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10.包含相机畸变矫正和姿态估计实验，能够基于OpenCV实现相机的矫正；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11.包含相机畸变矫正和姿态估计实验，能够基于OpenCV实现相机的姿态估计；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12.包含人脸检测实验，能够学习人脸检测的概念和人脸检测算法的评价指标；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13.包含人脸检测实验，能够了解人脸关键点检测的发展与应用领域；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14.包含人脸检测实验，能够了解传统方法中人脸关键点的检测过程；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15.包含人脸检测实验，能够学习基于深度学习的人脸关键点检测模型；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16.包含人脸检测实验，能够使用FaceDetector实现人脸检测功能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szCs w:val="21"/>
                <w:highlight w:val="none"/>
              </w:rPr>
            </w:pPr>
            <w:r>
              <w:rPr>
                <w:rFonts w:hint="eastAsia"/>
                <w:color w:val="auto"/>
                <w:highlight w:val="none"/>
              </w:rPr>
              <w:t>17.包含人脸检测实验，能够使用FaceAligner实现人脸关键点检测功能。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 w:type="pct"/>
            <w:vMerge w:val="continue"/>
          </w:tcPr>
          <w:p>
            <w:pPr>
              <w:widowControl/>
              <w:jc w:val="left"/>
              <w:textAlignment w:val="center"/>
              <w:rPr>
                <w:rFonts w:ascii="宋体" w:hAnsi="宋体" w:cs="宋体"/>
                <w:color w:val="auto"/>
                <w:kern w:val="0"/>
                <w:szCs w:val="21"/>
                <w:highlight w:val="none"/>
                <w:lang w:bidi="ar"/>
              </w:rPr>
            </w:pPr>
          </w:p>
        </w:tc>
        <w:tc>
          <w:tcPr>
            <w:tcW w:w="744" w:type="pct"/>
            <w:vMerge w:val="continue"/>
          </w:tcPr>
          <w:p>
            <w:pPr>
              <w:widowControl/>
              <w:jc w:val="left"/>
              <w:textAlignment w:val="center"/>
              <w:rPr>
                <w:rFonts w:ascii="宋体" w:hAnsi="宋体" w:cs="宋体"/>
                <w:color w:val="auto"/>
                <w:kern w:val="0"/>
                <w:szCs w:val="21"/>
                <w:highlight w:val="none"/>
              </w:rPr>
            </w:pPr>
          </w:p>
        </w:tc>
        <w:tc>
          <w:tcPr>
            <w:tcW w:w="3979" w:type="pct"/>
          </w:tcPr>
          <w:p>
            <w:pPr>
              <w:widowControl/>
              <w:jc w:val="left"/>
              <w:textAlignment w:val="center"/>
              <w:rPr>
                <w:color w:val="auto"/>
                <w:highlight w:val="none"/>
              </w:rPr>
            </w:pPr>
            <w:r>
              <w:rPr>
                <w:rFonts w:hint="eastAsia"/>
                <w:color w:val="auto"/>
                <w:highlight w:val="none"/>
              </w:rPr>
              <w:t>1</w:t>
            </w:r>
            <w:r>
              <w:rPr>
                <w:color w:val="auto"/>
                <w:highlight w:val="none"/>
              </w:rPr>
              <w:t>8.</w:t>
            </w:r>
            <w:r>
              <w:rPr>
                <w:rFonts w:hint="eastAsia"/>
                <w:color w:val="auto"/>
                <w:highlight w:val="none"/>
              </w:rPr>
              <w:t>提供1年公有云服务，提供5</w:t>
            </w:r>
            <w:r>
              <w:rPr>
                <w:color w:val="auto"/>
                <w:highlight w:val="none"/>
              </w:rPr>
              <w:t>0</w:t>
            </w:r>
            <w:r>
              <w:rPr>
                <w:rFonts w:hint="eastAsia"/>
                <w:color w:val="auto"/>
                <w:highlight w:val="none"/>
              </w:rPr>
              <w:t>并发和1</w:t>
            </w:r>
            <w:r>
              <w:rPr>
                <w:color w:val="auto"/>
                <w:highlight w:val="none"/>
              </w:rPr>
              <w:t>000</w:t>
            </w:r>
            <w:r>
              <w:rPr>
                <w:rFonts w:hint="eastAsia"/>
                <w:color w:val="auto"/>
                <w:highlight w:val="none"/>
              </w:rPr>
              <w:t>账号</w:t>
            </w:r>
          </w:p>
        </w:tc>
      </w:tr>
    </w:tbl>
    <w:p>
      <w:pPr>
        <w:pStyle w:val="4"/>
        <w:rPr>
          <w:rFonts w:hint="eastAsia"/>
          <w:color w:val="auto"/>
          <w:highlight w:val="none"/>
        </w:rPr>
      </w:pPr>
    </w:p>
    <w:p>
      <w:pPr>
        <w:spacing w:line="36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 xml:space="preserve"> </w:t>
      </w:r>
      <w:r>
        <w:rPr>
          <w:rFonts w:hint="eastAsia" w:ascii="宋体" w:hAnsi="宋体" w:cs="宋体"/>
          <w:b/>
          <w:color w:val="auto"/>
          <w:spacing w:val="-6"/>
          <w:sz w:val="22"/>
          <w:szCs w:val="22"/>
          <w:highlight w:val="none"/>
          <w:lang w:eastAsia="zh-CN"/>
        </w:rPr>
        <w:t>四、</w:t>
      </w:r>
      <w:r>
        <w:rPr>
          <w:rFonts w:hint="eastAsia" w:ascii="宋体" w:hAnsi="宋体" w:eastAsia="宋体" w:cs="宋体"/>
          <w:b/>
          <w:color w:val="auto"/>
          <w:spacing w:val="-6"/>
          <w:sz w:val="22"/>
          <w:szCs w:val="22"/>
          <w:highlight w:val="none"/>
        </w:rPr>
        <w:t>其他</w:t>
      </w:r>
    </w:p>
    <w:p>
      <w:pPr>
        <w:numPr>
          <w:ilvl w:val="0"/>
          <w:numId w:val="3"/>
        </w:numPr>
        <w:spacing w:line="360" w:lineRule="exact"/>
        <w:ind w:firstLine="313" w:firstLineChars="150"/>
        <w:rPr>
          <w:rFonts w:hint="eastAsia" w:ascii="宋体" w:hAnsi="宋体" w:eastAsia="宋体" w:cs="宋体"/>
          <w:b/>
          <w:bCs/>
          <w:color w:val="auto"/>
          <w:spacing w:val="-6"/>
          <w:sz w:val="22"/>
          <w:szCs w:val="22"/>
          <w:highlight w:val="none"/>
        </w:rPr>
      </w:pPr>
      <w:r>
        <w:rPr>
          <w:rFonts w:hint="eastAsia" w:ascii="宋体" w:hAnsi="宋体" w:eastAsia="宋体" w:cs="宋体"/>
          <w:b/>
          <w:color w:val="auto"/>
          <w:spacing w:val="-6"/>
          <w:sz w:val="22"/>
          <w:szCs w:val="22"/>
          <w:highlight w:val="none"/>
        </w:rPr>
        <w:t>标“▲且加下划线”的有关技术和商务要求为实质性条款，响应方必须做出实质性响应</w:t>
      </w:r>
      <w:r>
        <w:rPr>
          <w:rFonts w:hint="eastAsia" w:ascii="宋体" w:hAnsi="宋体" w:eastAsia="宋体" w:cs="宋体"/>
          <w:b/>
          <w:bCs/>
          <w:color w:val="auto"/>
          <w:spacing w:val="-6"/>
          <w:sz w:val="22"/>
          <w:szCs w:val="22"/>
          <w:highlight w:val="none"/>
        </w:rPr>
        <w:t>，否则视为无效投标文件</w:t>
      </w:r>
      <w:r>
        <w:rPr>
          <w:rFonts w:hint="eastAsia" w:ascii="宋体" w:hAnsi="宋体" w:eastAsia="宋体" w:cs="宋体"/>
          <w:b/>
          <w:color w:val="auto"/>
          <w:spacing w:val="-6"/>
          <w:sz w:val="22"/>
          <w:szCs w:val="22"/>
          <w:highlight w:val="none"/>
          <w:lang w:val="en-US" w:eastAsia="zh-CN"/>
        </w:rPr>
        <w:t>；标★条款为需供应商进行演示内容，如负偏离按扣分处理</w:t>
      </w:r>
      <w:r>
        <w:rPr>
          <w:rFonts w:hint="eastAsia" w:ascii="宋体" w:hAnsi="宋体" w:eastAsia="宋体" w:cs="宋体"/>
          <w:b/>
          <w:color w:val="auto"/>
          <w:spacing w:val="-6"/>
          <w:sz w:val="22"/>
          <w:szCs w:val="22"/>
          <w:highlight w:val="none"/>
        </w:rPr>
        <w:t>。</w:t>
      </w:r>
    </w:p>
    <w:p>
      <w:pPr>
        <w:numPr>
          <w:ilvl w:val="0"/>
          <w:numId w:val="3"/>
        </w:numPr>
        <w:spacing w:line="360" w:lineRule="exact"/>
        <w:ind w:firstLine="313" w:firstLineChars="150"/>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除招标文件中所明确的采购需求规格外，欢迎其他能满足本项目采购需求且性能相当于或高于所明确的产品参加投标报价。同时在采购需求偏离表中作出详细对比说明</w:t>
      </w:r>
      <w:r>
        <w:rPr>
          <w:rFonts w:hint="eastAsia" w:ascii="宋体" w:hAnsi="宋体" w:eastAsia="宋体" w:cs="宋体"/>
          <w:b/>
          <w:bCs/>
          <w:color w:val="auto"/>
          <w:sz w:val="22"/>
          <w:szCs w:val="22"/>
          <w:highlight w:val="none"/>
        </w:rPr>
        <w:t>。</w:t>
      </w:r>
    </w:p>
    <w:p>
      <w:pPr>
        <w:numPr>
          <w:ilvl w:val="0"/>
          <w:numId w:val="3"/>
        </w:numPr>
        <w:spacing w:line="360" w:lineRule="exact"/>
        <w:ind w:firstLine="313" w:firstLineChars="150"/>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如技术部分中未特别注明需执行的国家相关标准、行业标准、地方标准或者其他标准、规范，则统一执行最新标准、规范。</w:t>
      </w:r>
    </w:p>
    <w:p>
      <w:pPr>
        <w:snapToGrid w:val="0"/>
        <w:spacing w:line="400" w:lineRule="exact"/>
        <w:jc w:val="center"/>
        <w:rPr>
          <w:rFonts w:hint="eastAsia" w:ascii="宋体" w:hAnsi="宋体" w:eastAsia="宋体" w:cs="宋体"/>
          <w:b/>
          <w:color w:val="auto"/>
          <w:sz w:val="32"/>
          <w:highlight w:val="none"/>
        </w:rPr>
      </w:pPr>
    </w:p>
    <w:p>
      <w:pPr>
        <w:pStyle w:val="2"/>
        <w:rPr>
          <w:rFonts w:hint="eastAsia" w:ascii="宋体" w:hAnsi="宋体" w:eastAsia="宋体" w:cs="宋体"/>
          <w:color w:val="auto"/>
          <w:sz w:val="32"/>
          <w:highlight w:val="none"/>
        </w:rPr>
      </w:pPr>
    </w:p>
    <w:p>
      <w:pPr>
        <w:rPr>
          <w:rFonts w:hint="eastAsia" w:ascii="宋体" w:hAnsi="宋体" w:eastAsia="宋体" w:cs="宋体"/>
          <w:b/>
          <w:color w:val="auto"/>
          <w:sz w:val="32"/>
          <w:highlight w:val="none"/>
        </w:rPr>
      </w:pPr>
    </w:p>
    <w:p>
      <w:pPr>
        <w:snapToGrid w:val="0"/>
        <w:spacing w:line="400" w:lineRule="exact"/>
        <w:jc w:val="center"/>
        <w:rPr>
          <w:rFonts w:hint="eastAsia" w:ascii="宋体" w:hAnsi="宋体" w:eastAsia="宋体" w:cs="宋体"/>
          <w:b/>
          <w:color w:val="auto"/>
          <w:sz w:val="32"/>
          <w:highlight w:val="none"/>
        </w:rPr>
      </w:pPr>
    </w:p>
    <w:p>
      <w:pPr>
        <w:pStyle w:val="3"/>
        <w:rPr>
          <w:rFonts w:hint="eastAsia" w:ascii="宋体" w:hAnsi="宋体" w:eastAsia="宋体" w:cs="宋体"/>
          <w:b/>
          <w:color w:val="auto"/>
          <w:sz w:val="32"/>
          <w:highlight w:val="none"/>
        </w:rPr>
      </w:pPr>
    </w:p>
    <w:p>
      <w:pPr>
        <w:pStyle w:val="3"/>
        <w:rPr>
          <w:rFonts w:hint="eastAsia" w:ascii="宋体" w:hAnsi="宋体" w:eastAsia="宋体" w:cs="宋体"/>
          <w:b/>
          <w:color w:val="auto"/>
          <w:sz w:val="32"/>
          <w:highlight w:val="none"/>
        </w:rPr>
      </w:pPr>
    </w:p>
    <w:p>
      <w:pPr>
        <w:pStyle w:val="3"/>
        <w:rPr>
          <w:rFonts w:hint="eastAsia" w:ascii="宋体" w:hAnsi="宋体" w:eastAsia="宋体" w:cs="宋体"/>
          <w:b/>
          <w:color w:val="auto"/>
          <w:sz w:val="32"/>
          <w:highlight w:val="none"/>
        </w:rPr>
      </w:pPr>
    </w:p>
    <w:p>
      <w:pPr>
        <w:pStyle w:val="3"/>
        <w:rPr>
          <w:rFonts w:hint="eastAsia" w:ascii="宋体" w:hAnsi="宋体" w:eastAsia="宋体" w:cs="宋体"/>
          <w:b/>
          <w:color w:val="auto"/>
          <w:sz w:val="3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D9CA"/>
    <w:multiLevelType w:val="singleLevel"/>
    <w:tmpl w:val="B90DD9CA"/>
    <w:lvl w:ilvl="0" w:tentative="0">
      <w:start w:val="1"/>
      <w:numFmt w:val="decimal"/>
      <w:suff w:val="nothing"/>
      <w:lvlText w:val="%1、"/>
      <w:lvlJc w:val="left"/>
    </w:lvl>
  </w:abstractNum>
  <w:abstractNum w:abstractNumId="1">
    <w:nsid w:val="0000000A"/>
    <w:multiLevelType w:val="singleLevel"/>
    <w:tmpl w:val="0000000A"/>
    <w:lvl w:ilvl="0" w:tentative="0">
      <w:start w:val="3"/>
      <w:numFmt w:val="chineseCounting"/>
      <w:suff w:val="nothing"/>
      <w:lvlText w:val="%1、"/>
      <w:lvlJc w:val="left"/>
      <w:rPr>
        <w:rFonts w:hint="eastAsia"/>
      </w:rPr>
    </w:lvl>
  </w:abstractNum>
  <w:abstractNum w:abstractNumId="2">
    <w:nsid w:val="7BBB0D8E"/>
    <w:multiLevelType w:val="multilevel"/>
    <w:tmpl w:val="7BBB0D8E"/>
    <w:lvl w:ilvl="0" w:tentative="0">
      <w:start w:val="1"/>
      <w:numFmt w:val="decimal"/>
      <w:lvlText w:val="（%1）"/>
      <w:lvlJc w:val="left"/>
      <w:pPr>
        <w:ind w:left="1140" w:hanging="720"/>
      </w:pPr>
      <w:rPr>
        <w:rFonts w:hint="default" w:cs="Times New Roman"/>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MWJhYWQ4M2M4N2RhMTM0YTg1OGJjZWZmNjAxODIifQ=="/>
  </w:docVars>
  <w:rsids>
    <w:rsidRoot w:val="00000000"/>
    <w:rsid w:val="05CE5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lock Text"/>
    <w:basedOn w:val="1"/>
    <w:qFormat/>
    <w:uiPriority w:val="0"/>
    <w:pPr>
      <w:spacing w:after="120"/>
      <w:ind w:left="1440" w:leftChars="700" w:right="1440" w:rightChars="700"/>
    </w:pPr>
  </w:style>
  <w:style w:type="paragraph" w:styleId="4">
    <w:name w:val="toc 2"/>
    <w:basedOn w:val="1"/>
    <w:next w:val="1"/>
    <w:qFormat/>
    <w:uiPriority w:val="39"/>
    <w:pPr>
      <w:tabs>
        <w:tab w:val="right" w:leader="dot" w:pos="8302"/>
      </w:tabs>
      <w:ind w:leftChars="200"/>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博文</cp:lastModifiedBy>
  <dcterms:modified xsi:type="dcterms:W3CDTF">2022-09-06T09:18:40Z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1548707DC2F94E82971B1350100C53C8</vt:lpwstr>
  </property>
</Properties>
</file>