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采购需求</w:t>
      </w:r>
    </w:p>
    <w:p>
      <w:p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一、采购内容及数量</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8"/>
        <w:gridCol w:w="3484"/>
        <w:gridCol w:w="1418"/>
        <w:gridCol w:w="1721"/>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38" w:type="dxa"/>
            <w:tcBorders>
              <w:tl2br w:val="nil"/>
              <w:tr2bl w:val="nil"/>
            </w:tcBorders>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标段</w:t>
            </w:r>
          </w:p>
        </w:tc>
        <w:tc>
          <w:tcPr>
            <w:tcW w:w="3484"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项目内容</w:t>
            </w:r>
          </w:p>
        </w:tc>
        <w:tc>
          <w:tcPr>
            <w:tcW w:w="141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1721"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auto"/>
                <w:sz w:val="22"/>
                <w:highlight w:val="none"/>
              </w:rPr>
            </w:pPr>
            <w:r>
              <w:rPr>
                <w:rFonts w:hint="eastAsia" w:ascii="宋体" w:hAnsi="宋体" w:cs="宋体"/>
                <w:color w:val="auto"/>
                <w:sz w:val="22"/>
                <w:highlight w:val="none"/>
              </w:rPr>
              <w:t>预算金额(元)</w:t>
            </w:r>
          </w:p>
        </w:tc>
        <w:tc>
          <w:tcPr>
            <w:tcW w:w="2093"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103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3484"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 xml:space="preserve"> </w:t>
            </w:r>
            <w:r>
              <w:rPr>
                <w:rFonts w:hint="eastAsia" w:ascii="宋体" w:hAnsi="宋体" w:cs="宋体"/>
                <w:color w:val="auto"/>
                <w:kern w:val="0"/>
                <w:sz w:val="22"/>
                <w:highlight w:val="none"/>
                <w:lang w:val="zh-CN"/>
              </w:rPr>
              <w:t>网络维保（2023年）</w:t>
            </w:r>
          </w:p>
        </w:tc>
        <w:tc>
          <w:tcPr>
            <w:tcW w:w="141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1批</w:t>
            </w:r>
          </w:p>
        </w:tc>
        <w:tc>
          <w:tcPr>
            <w:tcW w:w="1721"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szCs w:val="22"/>
                <w:highlight w:val="none"/>
                <w:lang w:val="en-US" w:eastAsia="zh-CN"/>
              </w:rPr>
              <w:t>194000</w:t>
            </w:r>
          </w:p>
        </w:tc>
        <w:tc>
          <w:tcPr>
            <w:tcW w:w="2093" w:type="dxa"/>
            <w:tcBorders>
              <w:tl2br w:val="nil"/>
              <w:tr2bl w:val="nil"/>
            </w:tcBorders>
            <w:tcMar>
              <w:top w:w="0" w:type="dxa"/>
              <w:left w:w="108" w:type="dxa"/>
              <w:bottom w:w="0" w:type="dxa"/>
              <w:right w:w="108" w:type="dxa"/>
            </w:tcMar>
            <w:vAlign w:val="center"/>
          </w:tcPr>
          <w:p>
            <w:pPr>
              <w:spacing w:line="37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1038" w:type="dxa"/>
            <w:tcBorders>
              <w:tl2br w:val="nil"/>
              <w:tr2bl w:val="nil"/>
            </w:tcBorders>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2</w:t>
            </w:r>
          </w:p>
        </w:tc>
        <w:tc>
          <w:tcPr>
            <w:tcW w:w="3484" w:type="dxa"/>
            <w:tcBorders>
              <w:tl2br w:val="nil"/>
              <w:tr2bl w:val="nil"/>
            </w:tcBorders>
            <w:tcMar>
              <w:top w:w="0" w:type="dxa"/>
              <w:left w:w="108" w:type="dxa"/>
              <w:bottom w:w="0" w:type="dxa"/>
              <w:right w:w="108" w:type="dxa"/>
            </w:tcMar>
            <w:vAlign w:val="center"/>
          </w:tcPr>
          <w:p>
            <w:pPr>
              <w:spacing w:line="340" w:lineRule="exact"/>
              <w:jc w:val="center"/>
              <w:rPr>
                <w:rFonts w:hint="eastAsia" w:ascii="宋体" w:hAnsi="宋体" w:cs="宋体"/>
                <w:color w:val="auto"/>
                <w:sz w:val="22"/>
                <w:highlight w:val="none"/>
              </w:rPr>
            </w:pPr>
            <w:r>
              <w:rPr>
                <w:rFonts w:hint="eastAsia" w:ascii="宋体" w:hAnsi="宋体" w:cs="宋体"/>
                <w:color w:val="auto"/>
                <w:kern w:val="0"/>
                <w:sz w:val="22"/>
                <w:highlight w:val="none"/>
                <w:lang w:val="zh-CN"/>
              </w:rPr>
              <w:t xml:space="preserve">多媒体设备维保(2023年） </w:t>
            </w:r>
          </w:p>
        </w:tc>
        <w:tc>
          <w:tcPr>
            <w:tcW w:w="1418" w:type="dxa"/>
            <w:tcBorders>
              <w:tl2br w:val="nil"/>
              <w:tr2bl w:val="nil"/>
            </w:tcBorders>
            <w:tcMar>
              <w:top w:w="0" w:type="dxa"/>
              <w:left w:w="108" w:type="dxa"/>
              <w:bottom w:w="0" w:type="dxa"/>
              <w:right w:w="108" w:type="dxa"/>
            </w:tcMar>
            <w:vAlign w:val="center"/>
          </w:tcPr>
          <w:p>
            <w:pPr>
              <w:spacing w:line="340" w:lineRule="exact"/>
              <w:jc w:val="center"/>
              <w:rPr>
                <w:rFonts w:hint="eastAsia" w:ascii="宋体" w:hAnsi="宋体" w:cs="宋体"/>
                <w:color w:val="auto"/>
                <w:sz w:val="22"/>
                <w:highlight w:val="none"/>
              </w:rPr>
            </w:pPr>
            <w:r>
              <w:rPr>
                <w:rFonts w:hint="eastAsia" w:ascii="宋体" w:hAnsi="宋体" w:cs="宋体"/>
                <w:color w:val="auto"/>
                <w:sz w:val="22"/>
                <w:highlight w:val="none"/>
              </w:rPr>
              <w:t>1批</w:t>
            </w:r>
          </w:p>
        </w:tc>
        <w:tc>
          <w:tcPr>
            <w:tcW w:w="1721" w:type="dxa"/>
            <w:tcBorders>
              <w:tl2br w:val="nil"/>
              <w:tr2bl w:val="nil"/>
            </w:tcBorders>
            <w:tcMar>
              <w:top w:w="0" w:type="dxa"/>
              <w:left w:w="108" w:type="dxa"/>
              <w:bottom w:w="0" w:type="dxa"/>
              <w:right w:w="108" w:type="dxa"/>
            </w:tcMar>
            <w:vAlign w:val="center"/>
          </w:tcPr>
          <w:p>
            <w:pPr>
              <w:spacing w:line="340" w:lineRule="exact"/>
              <w:jc w:val="center"/>
              <w:rPr>
                <w:rFonts w:hint="eastAsia" w:ascii="宋体" w:hAnsi="宋体" w:cs="宋体"/>
                <w:color w:val="auto"/>
                <w:sz w:val="22"/>
                <w:highlight w:val="none"/>
              </w:rPr>
            </w:pPr>
            <w:r>
              <w:rPr>
                <w:rFonts w:hint="eastAsia" w:ascii="宋体" w:hAnsi="宋体" w:eastAsia="宋体" w:cs="宋体"/>
                <w:color w:val="auto"/>
                <w:sz w:val="22"/>
                <w:szCs w:val="22"/>
                <w:highlight w:val="none"/>
              </w:rPr>
              <w:t>291000</w:t>
            </w:r>
          </w:p>
        </w:tc>
        <w:tc>
          <w:tcPr>
            <w:tcW w:w="2093" w:type="dxa"/>
            <w:tcBorders>
              <w:tl2br w:val="nil"/>
              <w:tr2bl w:val="nil"/>
            </w:tcBorders>
            <w:tcMar>
              <w:top w:w="0" w:type="dxa"/>
              <w:left w:w="108" w:type="dxa"/>
              <w:bottom w:w="0" w:type="dxa"/>
              <w:right w:w="108" w:type="dxa"/>
            </w:tcMar>
            <w:vAlign w:val="center"/>
          </w:tcPr>
          <w:p>
            <w:pPr>
              <w:spacing w:line="370" w:lineRule="exact"/>
              <w:jc w:val="left"/>
              <w:rPr>
                <w:rFonts w:hint="eastAsia" w:ascii="宋体" w:hAnsi="宋体" w:cs="宋体"/>
                <w:color w:val="auto"/>
                <w:kern w:val="0"/>
                <w:sz w:val="22"/>
                <w:highlight w:val="none"/>
              </w:rPr>
            </w:pPr>
          </w:p>
        </w:tc>
      </w:tr>
    </w:tbl>
    <w:p>
      <w:pPr>
        <w:numPr>
          <w:ilvl w:val="0"/>
          <w:numId w:val="1"/>
        </w:numPr>
        <w:spacing w:line="360" w:lineRule="exact"/>
        <w:ind w:left="0" w:leftChars="0" w:firstLine="0" w:firstLineChars="0"/>
        <w:outlineLvl w:val="0"/>
        <w:rPr>
          <w:rFonts w:hint="eastAsia" w:ascii="宋体" w:hAnsi="宋体" w:cs="宋体"/>
          <w:b/>
          <w:color w:val="auto"/>
          <w:spacing w:val="-6"/>
          <w:sz w:val="22"/>
          <w:highlight w:val="none"/>
        </w:rPr>
      </w:pPr>
      <w:r>
        <w:rPr>
          <w:rFonts w:hint="eastAsia" w:ascii="宋体" w:hAnsi="宋体" w:cs="宋体"/>
          <w:b/>
          <w:color w:val="auto"/>
          <w:spacing w:val="-6"/>
          <w:sz w:val="22"/>
          <w:highlight w:val="none"/>
        </w:rPr>
        <w:t>商务要求（技术要求里另有注明的以技术要求为准）</w:t>
      </w:r>
    </w:p>
    <w:tbl>
      <w:tblPr>
        <w:tblStyle w:val="4"/>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2"/>
        <w:gridCol w:w="7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9469" w:type="dxa"/>
            <w:gridSpan w:val="2"/>
            <w:vAlign w:val="center"/>
          </w:tcPr>
          <w:p>
            <w:pPr>
              <w:spacing w:line="360" w:lineRule="auto"/>
              <w:jc w:val="center"/>
              <w:rPr>
                <w:rFonts w:hint="eastAsia" w:ascii="宋体" w:hAnsi="宋体" w:eastAsia="宋体" w:cs="宋体"/>
                <w:bCs/>
                <w:snapToGrid w:val="0"/>
                <w:color w:val="auto"/>
                <w:kern w:val="0"/>
                <w:sz w:val="22"/>
                <w:highlight w:val="none"/>
                <w:u w:val="single"/>
                <w:lang w:eastAsia="zh-CN"/>
              </w:rPr>
            </w:pPr>
            <w:r>
              <w:rPr>
                <w:rFonts w:hint="eastAsia" w:ascii="宋体" w:hAnsi="宋体" w:cs="宋体"/>
                <w:bCs/>
                <w:snapToGrid w:val="0"/>
                <w:color w:val="auto"/>
                <w:kern w:val="0"/>
                <w:sz w:val="22"/>
                <w:highlight w:val="none"/>
                <w:u w:val="none"/>
                <w:lang w:eastAsia="zh-CN"/>
              </w:rPr>
              <w:t>标段一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1602" w:type="dxa"/>
            <w:vAlign w:val="center"/>
          </w:tcPr>
          <w:p>
            <w:pPr>
              <w:spacing w:line="360" w:lineRule="exact"/>
              <w:rPr>
                <w:rFonts w:hint="eastAsia" w:ascii="宋体" w:hAnsi="宋体" w:eastAsia="宋体" w:cs="宋体"/>
                <w:color w:val="auto"/>
                <w:spacing w:val="-6"/>
                <w:sz w:val="22"/>
                <w:szCs w:val="22"/>
                <w:highlight w:val="none"/>
                <w:u w:val="single"/>
                <w:lang w:val="en-US" w:eastAsia="zh-CN"/>
              </w:rPr>
            </w:pPr>
            <w:r>
              <w:rPr>
                <w:rFonts w:hint="eastAsia" w:ascii="宋体" w:hAnsi="宋体" w:cs="宋体"/>
                <w:bCs/>
                <w:color w:val="auto"/>
                <w:spacing w:val="-6"/>
                <w:sz w:val="22"/>
                <w:highlight w:val="none"/>
                <w:u w:val="single"/>
              </w:rPr>
              <w:t>▲履约保证金及</w:t>
            </w:r>
            <w:r>
              <w:rPr>
                <w:rFonts w:hint="eastAsia" w:ascii="宋体" w:hAnsi="宋体" w:cs="宋体"/>
                <w:bCs/>
                <w:color w:val="auto"/>
                <w:sz w:val="22"/>
                <w:highlight w:val="none"/>
                <w:u w:val="single"/>
              </w:rPr>
              <w:t>付款条件</w:t>
            </w:r>
          </w:p>
        </w:tc>
        <w:tc>
          <w:tcPr>
            <w:tcW w:w="7867" w:type="dxa"/>
            <w:vAlign w:val="center"/>
          </w:tcPr>
          <w:p>
            <w:pPr>
              <w:spacing w:line="360" w:lineRule="auto"/>
              <w:jc w:val="left"/>
              <w:rPr>
                <w:rFonts w:ascii="宋体" w:hAnsi="宋体" w:cs="宋体"/>
                <w:bCs/>
                <w:snapToGrid w:val="0"/>
                <w:color w:val="auto"/>
                <w:kern w:val="0"/>
                <w:sz w:val="22"/>
                <w:highlight w:val="none"/>
                <w:u w:val="single"/>
              </w:rPr>
            </w:pPr>
            <w:r>
              <w:rPr>
                <w:rFonts w:hint="eastAsia" w:ascii="宋体" w:hAnsi="宋体" w:cs="宋体"/>
                <w:bCs/>
                <w:snapToGrid w:val="0"/>
                <w:color w:val="auto"/>
                <w:kern w:val="0"/>
                <w:sz w:val="22"/>
                <w:highlight w:val="none"/>
                <w:u w:val="single"/>
              </w:rPr>
              <w:t>履约保证金：乙方在合同签订后7个工作日内，向甲方提交合同总金额1%履约保证金（接受银行转账、支票、汇票、本票、履约保函等多种非现金形式），履约保证金自服务期满之日起7个工作日内无息退还。</w:t>
            </w:r>
          </w:p>
          <w:p>
            <w:pPr>
              <w:spacing w:line="360" w:lineRule="auto"/>
              <w:jc w:val="left"/>
              <w:rPr>
                <w:rFonts w:hint="eastAsia" w:ascii="宋体" w:hAnsi="宋体" w:eastAsia="宋体" w:cs="宋体"/>
                <w:color w:val="auto"/>
                <w:sz w:val="22"/>
                <w:szCs w:val="22"/>
                <w:highlight w:val="none"/>
                <w:u w:val="single"/>
                <w:lang w:val="zh-CN"/>
              </w:rPr>
            </w:pPr>
            <w:r>
              <w:rPr>
                <w:rFonts w:hint="eastAsia" w:ascii="宋体" w:hAnsi="宋体" w:cs="宋体"/>
                <w:bCs/>
                <w:snapToGrid w:val="0"/>
                <w:color w:val="auto"/>
                <w:kern w:val="0"/>
                <w:sz w:val="22"/>
                <w:highlight w:val="none"/>
                <w:u w:val="single"/>
              </w:rPr>
              <w:t>付款条件：合同签定后，2023年按考核得分每季支付费用</w:t>
            </w:r>
            <w:r>
              <w:rPr>
                <w:rFonts w:hint="eastAsia" w:ascii="宋体" w:hAnsi="宋体" w:cs="宋体"/>
                <w:bCs/>
                <w:snapToGrid w:val="0"/>
                <w:color w:val="auto"/>
                <w:kern w:val="0"/>
                <w:sz w:val="22"/>
                <w:highlight w:val="none"/>
                <w:u w:val="single"/>
                <w:lang w:eastAsia="zh-CN"/>
              </w:rPr>
              <w:t>，</w:t>
            </w:r>
            <w:r>
              <w:rPr>
                <w:rFonts w:hint="eastAsia" w:ascii="宋体" w:hAnsi="宋体" w:cs="宋体"/>
                <w:bCs/>
                <w:snapToGrid w:val="0"/>
                <w:color w:val="auto"/>
                <w:kern w:val="0"/>
                <w:sz w:val="22"/>
                <w:highlight w:val="none"/>
                <w:u w:val="single"/>
              </w:rPr>
              <w:t>（前三季度按中标价的季度平均值进行支付，第四季度结合考核得分支付剩余费用），乙方开始投入营运起计费，每满营运一季，甲方自收到乙方开具的全额发票后，于十个工作日内付款（最后一个季度，综合全年考核得分，于2023年12月份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602" w:type="dxa"/>
            <w:vAlign w:val="center"/>
          </w:tcPr>
          <w:p>
            <w:pPr>
              <w:spacing w:line="360" w:lineRule="exact"/>
              <w:rPr>
                <w:rFonts w:hint="eastAsia" w:ascii="宋体" w:hAnsi="宋体" w:eastAsia="宋体" w:cs="宋体"/>
                <w:color w:val="auto"/>
                <w:sz w:val="22"/>
                <w:szCs w:val="22"/>
                <w:highlight w:val="none"/>
              </w:rPr>
            </w:pPr>
            <w:r>
              <w:rPr>
                <w:rFonts w:hint="eastAsia" w:ascii="宋体" w:hAnsi="宋体" w:cs="宋体"/>
                <w:bCs/>
                <w:color w:val="auto"/>
                <w:sz w:val="22"/>
                <w:highlight w:val="none"/>
              </w:rPr>
              <w:t>服务时间</w:t>
            </w:r>
          </w:p>
        </w:tc>
        <w:tc>
          <w:tcPr>
            <w:tcW w:w="7867" w:type="dxa"/>
            <w:vAlign w:val="center"/>
          </w:tcPr>
          <w:p>
            <w:pPr>
              <w:spacing w:line="370" w:lineRule="exact"/>
              <w:rPr>
                <w:rFonts w:hint="eastAsia" w:ascii="宋体" w:hAnsi="宋体" w:eastAsia="宋体" w:cs="宋体"/>
                <w:color w:val="auto"/>
                <w:sz w:val="22"/>
                <w:szCs w:val="22"/>
                <w:highlight w:val="none"/>
              </w:rPr>
            </w:pPr>
            <w:r>
              <w:rPr>
                <w:rFonts w:hint="eastAsia" w:ascii="宋体" w:hAnsi="宋体" w:cs="宋体"/>
                <w:color w:val="auto"/>
                <w:sz w:val="22"/>
                <w:highlight w:val="none"/>
                <w:lang w:val="en-US" w:eastAsia="zh-CN"/>
              </w:rPr>
              <w:t>1年，具体时间合同约定为准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pPr>
              <w:snapToGrid w:val="0"/>
              <w:spacing w:line="400" w:lineRule="exact"/>
              <w:jc w:val="both"/>
              <w:rPr>
                <w:rFonts w:hint="eastAsia" w:ascii="宋体" w:hAnsi="宋体" w:eastAsia="宋体" w:cs="宋体"/>
                <w:color w:val="auto"/>
                <w:sz w:val="22"/>
                <w:szCs w:val="22"/>
                <w:highlight w:val="none"/>
              </w:rPr>
            </w:pPr>
            <w:r>
              <w:rPr>
                <w:rFonts w:hint="eastAsia" w:ascii="宋体" w:hAnsi="宋体" w:cs="宋体"/>
                <w:color w:val="auto"/>
                <w:spacing w:val="-6"/>
                <w:sz w:val="22"/>
                <w:szCs w:val="22"/>
                <w:highlight w:val="none"/>
              </w:rPr>
              <w:t>服务地点</w:t>
            </w:r>
          </w:p>
        </w:tc>
        <w:tc>
          <w:tcPr>
            <w:tcW w:w="7867" w:type="dxa"/>
            <w:vAlign w:val="center"/>
          </w:tcPr>
          <w:p>
            <w:pPr>
              <w:widowControl/>
              <w:spacing w:line="400" w:lineRule="exact"/>
              <w:jc w:val="left"/>
              <w:textAlignment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eastAsia="zh-CN"/>
              </w:rPr>
              <w:t>浙江安防职业技术学院</w:t>
            </w:r>
            <w:r>
              <w:rPr>
                <w:rFonts w:hint="eastAsia" w:ascii="宋体" w:hAnsi="宋体" w:cs="宋体"/>
                <w:color w:val="auto"/>
                <w:kern w:val="0"/>
                <w:sz w:val="22"/>
                <w:szCs w:val="22"/>
                <w:highlight w:val="none"/>
              </w:rPr>
              <w:t>内指定地点</w:t>
            </w:r>
          </w:p>
        </w:tc>
      </w:tr>
    </w:tbl>
    <w:p>
      <w:pPr>
        <w:pStyle w:val="3"/>
        <w:numPr>
          <w:ilvl w:val="0"/>
          <w:numId w:val="0"/>
        </w:numPr>
        <w:ind w:leftChars="0"/>
        <w:rPr>
          <w:color w:val="auto"/>
          <w:highlight w:val="none"/>
        </w:rPr>
      </w:pPr>
    </w:p>
    <w:tbl>
      <w:tblPr>
        <w:tblStyle w:val="4"/>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2"/>
        <w:gridCol w:w="7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9469" w:type="dxa"/>
            <w:gridSpan w:val="2"/>
            <w:vAlign w:val="center"/>
          </w:tcPr>
          <w:p>
            <w:pPr>
              <w:spacing w:line="360" w:lineRule="auto"/>
              <w:jc w:val="center"/>
              <w:rPr>
                <w:rFonts w:hint="eastAsia" w:ascii="宋体" w:hAnsi="宋体" w:eastAsia="宋体" w:cs="宋体"/>
                <w:bCs/>
                <w:snapToGrid w:val="0"/>
                <w:color w:val="auto"/>
                <w:kern w:val="0"/>
                <w:sz w:val="22"/>
                <w:highlight w:val="none"/>
                <w:u w:val="single"/>
                <w:lang w:eastAsia="zh-CN"/>
              </w:rPr>
            </w:pPr>
            <w:r>
              <w:rPr>
                <w:rFonts w:hint="eastAsia" w:ascii="宋体" w:hAnsi="宋体" w:cs="宋体"/>
                <w:bCs/>
                <w:snapToGrid w:val="0"/>
                <w:color w:val="auto"/>
                <w:kern w:val="0"/>
                <w:sz w:val="22"/>
                <w:highlight w:val="none"/>
                <w:u w:val="none"/>
                <w:lang w:eastAsia="zh-CN"/>
              </w:rPr>
              <w:t>标段二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1602" w:type="dxa"/>
            <w:vAlign w:val="center"/>
          </w:tcPr>
          <w:p>
            <w:pPr>
              <w:spacing w:line="360" w:lineRule="exact"/>
              <w:rPr>
                <w:rFonts w:hint="eastAsia" w:ascii="宋体" w:hAnsi="宋体" w:eastAsia="宋体" w:cs="宋体"/>
                <w:color w:val="auto"/>
                <w:spacing w:val="-6"/>
                <w:sz w:val="22"/>
                <w:szCs w:val="22"/>
                <w:highlight w:val="none"/>
                <w:u w:val="single"/>
                <w:lang w:val="en-US" w:eastAsia="zh-CN"/>
              </w:rPr>
            </w:pPr>
            <w:r>
              <w:rPr>
                <w:rFonts w:hint="eastAsia" w:ascii="宋体" w:hAnsi="宋体" w:cs="宋体"/>
                <w:bCs/>
                <w:color w:val="auto"/>
                <w:spacing w:val="-6"/>
                <w:sz w:val="22"/>
                <w:highlight w:val="none"/>
                <w:u w:val="single"/>
              </w:rPr>
              <w:t>▲履约保证金及</w:t>
            </w:r>
            <w:r>
              <w:rPr>
                <w:rFonts w:hint="eastAsia" w:ascii="宋体" w:hAnsi="宋体" w:cs="宋体"/>
                <w:bCs/>
                <w:color w:val="auto"/>
                <w:sz w:val="22"/>
                <w:highlight w:val="none"/>
                <w:u w:val="single"/>
              </w:rPr>
              <w:t>付款条件</w:t>
            </w:r>
          </w:p>
        </w:tc>
        <w:tc>
          <w:tcPr>
            <w:tcW w:w="7867" w:type="dxa"/>
            <w:vAlign w:val="center"/>
          </w:tcPr>
          <w:p>
            <w:pPr>
              <w:spacing w:line="360" w:lineRule="auto"/>
              <w:jc w:val="left"/>
              <w:rPr>
                <w:rFonts w:ascii="宋体" w:hAnsi="宋体" w:cs="宋体"/>
                <w:bCs/>
                <w:snapToGrid w:val="0"/>
                <w:color w:val="auto"/>
                <w:kern w:val="0"/>
                <w:sz w:val="22"/>
                <w:highlight w:val="none"/>
                <w:u w:val="single"/>
              </w:rPr>
            </w:pPr>
            <w:r>
              <w:rPr>
                <w:rFonts w:hint="eastAsia" w:ascii="宋体" w:hAnsi="宋体" w:cs="宋体"/>
                <w:bCs/>
                <w:snapToGrid w:val="0"/>
                <w:color w:val="auto"/>
                <w:kern w:val="0"/>
                <w:sz w:val="22"/>
                <w:highlight w:val="none"/>
                <w:u w:val="single"/>
              </w:rPr>
              <w:t>履约保证金：乙方在合同签订后7个工作日内，向甲方提交合同总金额1%履约保证金（接受银行转账、支票、汇票、本票、履约保函等多种非现金形式），履约保证金自服务期满之日起7个工作日内无息退还。</w:t>
            </w:r>
          </w:p>
          <w:p>
            <w:pPr>
              <w:spacing w:line="360" w:lineRule="auto"/>
              <w:jc w:val="left"/>
              <w:rPr>
                <w:rFonts w:hint="eastAsia" w:ascii="宋体" w:hAnsi="宋体" w:eastAsia="宋体" w:cs="宋体"/>
                <w:color w:val="auto"/>
                <w:sz w:val="22"/>
                <w:szCs w:val="22"/>
                <w:highlight w:val="none"/>
                <w:u w:val="single"/>
                <w:lang w:val="zh-CN"/>
              </w:rPr>
            </w:pPr>
            <w:r>
              <w:rPr>
                <w:rFonts w:hint="eastAsia" w:ascii="宋体" w:hAnsi="宋体" w:cs="宋体"/>
                <w:bCs/>
                <w:snapToGrid w:val="0"/>
                <w:color w:val="auto"/>
                <w:kern w:val="0"/>
                <w:sz w:val="22"/>
                <w:highlight w:val="none"/>
                <w:u w:val="single"/>
              </w:rPr>
              <w:t>付款条件：合同签定后，2023年按考核得分每季支付费用</w:t>
            </w:r>
            <w:r>
              <w:rPr>
                <w:rFonts w:hint="eastAsia" w:ascii="宋体" w:hAnsi="宋体" w:cs="宋体"/>
                <w:bCs/>
                <w:snapToGrid w:val="0"/>
                <w:color w:val="auto"/>
                <w:kern w:val="0"/>
                <w:sz w:val="22"/>
                <w:highlight w:val="none"/>
                <w:u w:val="single"/>
                <w:lang w:eastAsia="zh-CN"/>
              </w:rPr>
              <w:t>，</w:t>
            </w:r>
            <w:r>
              <w:rPr>
                <w:rFonts w:hint="eastAsia" w:ascii="宋体" w:hAnsi="宋体" w:cs="宋体"/>
                <w:bCs/>
                <w:snapToGrid w:val="0"/>
                <w:color w:val="auto"/>
                <w:kern w:val="0"/>
                <w:sz w:val="22"/>
                <w:highlight w:val="none"/>
                <w:u w:val="single"/>
              </w:rPr>
              <w:t>（前三季度按中标价的季度平均值进行支付，第四季度结合考核得分支付剩余费用），乙方开始投入营运起计费，每满营运一季，甲方自收到乙方开具的全额发票后，于十个工作日内付款（最后一个季度，综合全年考核得分，于2023年12月份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602" w:type="dxa"/>
            <w:vAlign w:val="center"/>
          </w:tcPr>
          <w:p>
            <w:pPr>
              <w:spacing w:line="360" w:lineRule="exact"/>
              <w:rPr>
                <w:rFonts w:hint="eastAsia" w:ascii="宋体" w:hAnsi="宋体" w:eastAsia="宋体" w:cs="宋体"/>
                <w:color w:val="auto"/>
                <w:sz w:val="22"/>
                <w:szCs w:val="22"/>
                <w:highlight w:val="none"/>
              </w:rPr>
            </w:pPr>
            <w:r>
              <w:rPr>
                <w:rFonts w:hint="eastAsia" w:ascii="宋体" w:hAnsi="宋体" w:cs="宋体"/>
                <w:bCs/>
                <w:color w:val="auto"/>
                <w:sz w:val="22"/>
                <w:highlight w:val="none"/>
              </w:rPr>
              <w:t>服务时间</w:t>
            </w:r>
          </w:p>
        </w:tc>
        <w:tc>
          <w:tcPr>
            <w:tcW w:w="7867" w:type="dxa"/>
            <w:vAlign w:val="center"/>
          </w:tcPr>
          <w:p>
            <w:pPr>
              <w:spacing w:line="37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highlight w:val="none"/>
                <w:lang w:val="en-US" w:eastAsia="zh-CN"/>
              </w:rPr>
              <w:t>1年，具体时间合同约定为准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pPr>
              <w:snapToGrid w:val="0"/>
              <w:spacing w:line="400" w:lineRule="exact"/>
              <w:jc w:val="both"/>
              <w:rPr>
                <w:rFonts w:hint="eastAsia" w:ascii="宋体" w:hAnsi="宋体" w:eastAsia="宋体" w:cs="宋体"/>
                <w:color w:val="auto"/>
                <w:sz w:val="22"/>
                <w:szCs w:val="22"/>
                <w:highlight w:val="none"/>
              </w:rPr>
            </w:pPr>
            <w:r>
              <w:rPr>
                <w:rFonts w:hint="eastAsia" w:ascii="宋体" w:hAnsi="宋体" w:cs="宋体"/>
                <w:color w:val="auto"/>
                <w:spacing w:val="-6"/>
                <w:sz w:val="22"/>
                <w:szCs w:val="22"/>
                <w:highlight w:val="none"/>
              </w:rPr>
              <w:t>服务地点</w:t>
            </w:r>
          </w:p>
        </w:tc>
        <w:tc>
          <w:tcPr>
            <w:tcW w:w="7867" w:type="dxa"/>
            <w:vAlign w:val="center"/>
          </w:tcPr>
          <w:p>
            <w:pPr>
              <w:widowControl/>
              <w:spacing w:line="400" w:lineRule="exact"/>
              <w:jc w:val="left"/>
              <w:textAlignment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eastAsia="zh-CN"/>
              </w:rPr>
              <w:t>浙江安防职业技术学院</w:t>
            </w:r>
            <w:r>
              <w:rPr>
                <w:rFonts w:hint="eastAsia" w:ascii="宋体" w:hAnsi="宋体" w:cs="宋体"/>
                <w:color w:val="auto"/>
                <w:kern w:val="0"/>
                <w:sz w:val="22"/>
                <w:szCs w:val="22"/>
                <w:highlight w:val="none"/>
              </w:rPr>
              <w:t>内指定地点</w:t>
            </w:r>
          </w:p>
        </w:tc>
      </w:tr>
    </w:tbl>
    <w:p>
      <w:pPr>
        <w:rPr>
          <w:color w:val="auto"/>
          <w:highlight w:val="none"/>
        </w:rPr>
      </w:pPr>
    </w:p>
    <w:p>
      <w:pPr>
        <w:numPr>
          <w:ilvl w:val="0"/>
          <w:numId w:val="2"/>
        </w:num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p>
      <w:pPr>
        <w:pStyle w:val="2"/>
        <w:jc w:val="center"/>
        <w:rPr>
          <w:rFonts w:hint="eastAsia" w:ascii="宋体" w:hAnsi="宋体" w:cs="宋体"/>
          <w:b/>
          <w:bCs/>
          <w:color w:val="auto"/>
          <w:spacing w:val="-6"/>
          <w:sz w:val="22"/>
          <w:highlight w:val="none"/>
          <w:lang w:eastAsia="zh-CN"/>
        </w:rPr>
      </w:pPr>
    </w:p>
    <w:p>
      <w:pPr>
        <w:pStyle w:val="2"/>
        <w:jc w:val="center"/>
        <w:rPr>
          <w:rFonts w:hint="eastAsia" w:ascii="宋体" w:hAnsi="宋体" w:cs="宋体"/>
          <w:b/>
          <w:bCs/>
          <w:color w:val="auto"/>
          <w:spacing w:val="-6"/>
          <w:sz w:val="22"/>
          <w:highlight w:val="none"/>
          <w:lang w:eastAsia="zh-CN"/>
        </w:rPr>
      </w:pPr>
      <w:r>
        <w:rPr>
          <w:rFonts w:hint="eastAsia" w:ascii="宋体" w:hAnsi="宋体" w:cs="宋体"/>
          <w:b/>
          <w:bCs/>
          <w:color w:val="auto"/>
          <w:spacing w:val="-6"/>
          <w:sz w:val="22"/>
          <w:highlight w:val="none"/>
          <w:lang w:eastAsia="zh-CN"/>
        </w:rPr>
        <w:t>标段一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440" w:lineRule="exact"/>
              <w:rPr>
                <w:rFonts w:ascii="宋体" w:hAnsi="宋体"/>
                <w:b/>
                <w:color w:val="auto"/>
                <w:sz w:val="22"/>
                <w:highlight w:val="none"/>
              </w:rPr>
            </w:pPr>
            <w:r>
              <w:rPr>
                <w:rFonts w:hint="eastAsia" w:ascii="宋体" w:hAnsi="宋体"/>
                <w:b/>
                <w:color w:val="auto"/>
                <w:sz w:val="22"/>
                <w:highlight w:val="none"/>
              </w:rPr>
              <w:t>1.工作清单设备维护内容及要求</w:t>
            </w:r>
          </w:p>
          <w:p>
            <w:pPr>
              <w:numPr>
                <w:ilvl w:val="0"/>
                <w:numId w:val="3"/>
              </w:numPr>
              <w:adjustRightInd w:val="0"/>
              <w:snapToGrid w:val="0"/>
              <w:spacing w:line="360" w:lineRule="auto"/>
              <w:ind w:left="210" w:leftChars="0" w:firstLineChars="0"/>
              <w:rPr>
                <w:rFonts w:ascii="宋体" w:hAnsi="宋体" w:cs="宋体"/>
                <w:color w:val="auto"/>
                <w:sz w:val="22"/>
                <w:highlight w:val="none"/>
              </w:rPr>
            </w:pPr>
            <w:r>
              <w:rPr>
                <w:rFonts w:hint="eastAsia" w:ascii="宋体" w:hAnsi="宋体" w:cs="宋体"/>
                <w:color w:val="auto"/>
                <w:sz w:val="22"/>
                <w:highlight w:val="none"/>
              </w:rPr>
              <w:t>网络设备清单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22"/>
                      <w:highlight w:val="none"/>
                    </w:rPr>
                  </w:pPr>
                  <w:r>
                    <w:rPr>
                      <w:rFonts w:hint="eastAsia" w:ascii="宋体" w:hAnsi="宋体"/>
                      <w:b/>
                      <w:color w:val="auto"/>
                      <w:sz w:val="22"/>
                      <w:highlight w:val="none"/>
                    </w:rPr>
                    <w:t>设备</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22"/>
                      <w:highlight w:val="none"/>
                    </w:rPr>
                  </w:pPr>
                  <w:r>
                    <w:rPr>
                      <w:rFonts w:hint="eastAsia" w:ascii="宋体" w:hAnsi="宋体"/>
                      <w:b/>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S3352P-EI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S3700-28TP-EI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S5700-28C-EI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S5700S-28P-LI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H3C-</w:t>
                  </w:r>
                  <w:r>
                    <w:rPr>
                      <w:rFonts w:ascii="宋体" w:hAnsi="宋体"/>
                      <w:color w:val="auto"/>
                      <w:sz w:val="22"/>
                      <w:highlight w:val="none"/>
                    </w:rPr>
                    <w:t>E528</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H3C-</w:t>
                  </w:r>
                  <w:r>
                    <w:rPr>
                      <w:rFonts w:ascii="宋体" w:hAnsi="宋体"/>
                      <w:color w:val="auto"/>
                      <w:sz w:val="22"/>
                      <w:highlight w:val="none"/>
                    </w:rPr>
                    <w:t>E552</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40台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H3C-AC WX-5004</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H3C-AP</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HP刀片服务器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HP360服务器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曙光服务器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华为R</w:t>
                  </w:r>
                  <w:r>
                    <w:rPr>
                      <w:rFonts w:ascii="宋体" w:hAnsi="宋体"/>
                      <w:color w:val="auto"/>
                      <w:sz w:val="22"/>
                      <w:highlight w:val="none"/>
                    </w:rPr>
                    <w:t>H</w:t>
                  </w:r>
                  <w:r>
                    <w:rPr>
                      <w:rFonts w:hint="eastAsia" w:ascii="宋体" w:hAnsi="宋体"/>
                      <w:color w:val="auto"/>
                      <w:sz w:val="22"/>
                      <w:highlight w:val="none"/>
                    </w:rPr>
                    <w:t>2288</w:t>
                  </w:r>
                  <w:r>
                    <w:rPr>
                      <w:rFonts w:ascii="宋体" w:hAnsi="宋体"/>
                      <w:color w:val="auto"/>
                      <w:sz w:val="22"/>
                      <w:highlight w:val="none"/>
                    </w:rPr>
                    <w:t>HV</w:t>
                  </w:r>
                  <w:r>
                    <w:rPr>
                      <w:rFonts w:hint="eastAsia" w:ascii="宋体" w:hAnsi="宋体"/>
                      <w:color w:val="auto"/>
                      <w:sz w:val="22"/>
                      <w:highlight w:val="none"/>
                    </w:rPr>
                    <w:t>3</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深信服AF</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深信服AD</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深信服WAF</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深信服云桌面</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华为S93</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华为S77</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华为S12708</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华为E628</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S628-E</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S628-PWR-E</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华为E</w:t>
                  </w:r>
                  <w:r>
                    <w:rPr>
                      <w:rFonts w:ascii="宋体" w:hAnsi="宋体"/>
                      <w:color w:val="auto"/>
                      <w:sz w:val="22"/>
                      <w:highlight w:val="none"/>
                    </w:rPr>
                    <w:t>652</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S652-E</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2</w:t>
                  </w:r>
                  <w:r>
                    <w:rPr>
                      <w:rFonts w:hint="eastAsia" w:ascii="宋体" w:hAnsi="宋体"/>
                      <w:color w:val="auto"/>
                      <w:sz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华为E</w:t>
                  </w:r>
                  <w:r>
                    <w:rPr>
                      <w:rFonts w:ascii="宋体" w:hAnsi="宋体"/>
                      <w:color w:val="auto"/>
                      <w:sz w:val="22"/>
                      <w:highlight w:val="none"/>
                    </w:rPr>
                    <w:t>652-X</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华为U</w:t>
                  </w:r>
                  <w:r>
                    <w:rPr>
                      <w:rFonts w:ascii="宋体" w:hAnsi="宋体"/>
                      <w:color w:val="auto"/>
                      <w:sz w:val="22"/>
                      <w:highlight w:val="none"/>
                    </w:rPr>
                    <w:t>SG</w:t>
                  </w:r>
                  <w:r>
                    <w:rPr>
                      <w:rFonts w:hint="eastAsia" w:ascii="宋体" w:hAnsi="宋体"/>
                      <w:color w:val="auto"/>
                      <w:sz w:val="22"/>
                      <w:highlight w:val="none"/>
                    </w:rPr>
                    <w:t>6620</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USG6555E</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华为A</w:t>
                  </w:r>
                  <w:r>
                    <w:rPr>
                      <w:rFonts w:ascii="宋体" w:hAnsi="宋体"/>
                      <w:color w:val="auto"/>
                      <w:sz w:val="22"/>
                      <w:highlight w:val="none"/>
                    </w:rPr>
                    <w:t>P430-E</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AP8050DN</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AP4050DE-M</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4</w:t>
                  </w:r>
                  <w:r>
                    <w:rPr>
                      <w:rFonts w:hint="eastAsia" w:ascii="宋体" w:hAnsi="宋体"/>
                      <w:color w:val="auto"/>
                      <w:sz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AP4051TN</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华为A</w:t>
                  </w:r>
                  <w:r>
                    <w:rPr>
                      <w:rFonts w:ascii="宋体" w:hAnsi="宋体"/>
                      <w:color w:val="auto"/>
                      <w:sz w:val="22"/>
                      <w:highlight w:val="none"/>
                    </w:rPr>
                    <w:t>P2030DN</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华为5720</w:t>
                  </w:r>
                  <w:r>
                    <w:rPr>
                      <w:rFonts w:ascii="宋体" w:hAnsi="宋体"/>
                      <w:color w:val="auto"/>
                      <w:sz w:val="22"/>
                      <w:highlight w:val="none"/>
                    </w:rPr>
                    <w:t>-28X</w:t>
                  </w:r>
                  <w:r>
                    <w:rPr>
                      <w:rFonts w:hint="eastAsia" w:ascii="宋体" w:hAnsi="宋体"/>
                      <w:color w:val="auto"/>
                      <w:sz w:val="22"/>
                      <w:highlight w:val="none"/>
                    </w:rPr>
                    <w:t>-</w:t>
                  </w:r>
                  <w:r>
                    <w:rPr>
                      <w:rFonts w:ascii="宋体" w:hAnsi="宋体"/>
                      <w:color w:val="auto"/>
                      <w:sz w:val="22"/>
                      <w:highlight w:val="none"/>
                    </w:rPr>
                    <w:t>PWR-LI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华为5720-52</w:t>
                  </w:r>
                  <w:r>
                    <w:rPr>
                      <w:rFonts w:ascii="宋体" w:hAnsi="宋体"/>
                      <w:color w:val="auto"/>
                      <w:sz w:val="22"/>
                      <w:highlight w:val="none"/>
                    </w:rPr>
                    <w:t>X</w:t>
                  </w:r>
                  <w:r>
                    <w:rPr>
                      <w:rFonts w:hint="eastAsia" w:ascii="宋体" w:hAnsi="宋体"/>
                      <w:color w:val="auto"/>
                      <w:sz w:val="22"/>
                      <w:highlight w:val="none"/>
                    </w:rPr>
                    <w:t>-</w:t>
                  </w:r>
                  <w:r>
                    <w:rPr>
                      <w:rFonts w:ascii="宋体" w:hAnsi="宋体"/>
                      <w:color w:val="auto"/>
                      <w:sz w:val="22"/>
                      <w:highlight w:val="none"/>
                    </w:rPr>
                    <w:t>PWR-LI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w:t>
                  </w:r>
                  <w:r>
                    <w:rPr>
                      <w:rFonts w:ascii="宋体" w:hAnsi="宋体"/>
                      <w:color w:val="auto"/>
                      <w:sz w:val="22"/>
                      <w:highlight w:val="none"/>
                    </w:rPr>
                    <w:t>S5720-56C-EI-48S</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S5720</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华为5300</w:t>
                  </w:r>
                  <w:r>
                    <w:rPr>
                      <w:rFonts w:ascii="宋体" w:hAnsi="宋体"/>
                      <w:color w:val="auto"/>
                      <w:sz w:val="22"/>
                      <w:highlight w:val="none"/>
                    </w:rPr>
                    <w:t>V</w:t>
                  </w:r>
                  <w:r>
                    <w:rPr>
                      <w:rFonts w:hint="eastAsia" w:ascii="宋体" w:hAnsi="宋体"/>
                      <w:color w:val="auto"/>
                      <w:sz w:val="22"/>
                      <w:highlight w:val="none"/>
                    </w:rPr>
                    <w:t>3</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华为S</w:t>
                  </w:r>
                  <w:r>
                    <w:rPr>
                      <w:rFonts w:ascii="宋体" w:hAnsi="宋体"/>
                      <w:color w:val="auto"/>
                      <w:sz w:val="22"/>
                      <w:highlight w:val="none"/>
                    </w:rPr>
                    <w:t>NS2224</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华为R</w:t>
                  </w:r>
                  <w:r>
                    <w:rPr>
                      <w:rFonts w:ascii="宋体" w:hAnsi="宋体"/>
                      <w:color w:val="auto"/>
                      <w:sz w:val="22"/>
                      <w:highlight w:val="none"/>
                    </w:rPr>
                    <w:t>H</w:t>
                  </w:r>
                  <w:r>
                    <w:rPr>
                      <w:rFonts w:hint="eastAsia" w:ascii="宋体" w:hAnsi="宋体"/>
                      <w:color w:val="auto"/>
                      <w:sz w:val="22"/>
                      <w:highlight w:val="none"/>
                    </w:rPr>
                    <w:t>2288</w:t>
                  </w:r>
                  <w:r>
                    <w:rPr>
                      <w:rFonts w:ascii="宋体" w:hAnsi="宋体"/>
                      <w:color w:val="auto"/>
                      <w:sz w:val="22"/>
                      <w:highlight w:val="none"/>
                    </w:rPr>
                    <w:t>HV</w:t>
                  </w:r>
                  <w:r>
                    <w:rPr>
                      <w:rFonts w:hint="eastAsia" w:ascii="宋体" w:hAnsi="宋体"/>
                      <w:color w:val="auto"/>
                      <w:sz w:val="22"/>
                      <w:highlight w:val="none"/>
                    </w:rPr>
                    <w:t>3</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华为R</w:t>
                  </w:r>
                  <w:r>
                    <w:rPr>
                      <w:rFonts w:ascii="宋体" w:hAnsi="宋体"/>
                      <w:color w:val="auto"/>
                      <w:sz w:val="22"/>
                      <w:highlight w:val="none"/>
                    </w:rPr>
                    <w:t>H2288HV5</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WAF5510</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HP360服务器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曙光服务器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标准化考场存储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eS</w:t>
                  </w:r>
                  <w:r>
                    <w:rPr>
                      <w:rFonts w:hint="eastAsia" w:ascii="宋体" w:hAnsi="宋体"/>
                      <w:color w:val="auto"/>
                      <w:sz w:val="22"/>
                      <w:highlight w:val="none"/>
                    </w:rPr>
                    <w:t>ight</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锐捷交换机</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锐捷</w:t>
                  </w:r>
                  <w:r>
                    <w:rPr>
                      <w:rFonts w:hint="eastAsia" w:ascii="宋体" w:hAnsi="宋体"/>
                      <w:color w:val="auto"/>
                      <w:sz w:val="22"/>
                      <w:highlight w:val="none"/>
                    </w:rPr>
                    <w:t>AP</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70台</w:t>
                  </w:r>
                </w:p>
              </w:tc>
            </w:tr>
          </w:tbl>
          <w:p>
            <w:pPr>
              <w:rPr>
                <w:b/>
                <w:color w:val="auto"/>
                <w:sz w:val="22"/>
                <w:highlight w:val="none"/>
              </w:rPr>
            </w:pPr>
          </w:p>
          <w:p>
            <w:pPr>
              <w:numPr>
                <w:ilvl w:val="0"/>
                <w:numId w:val="3"/>
              </w:numPr>
              <w:adjustRightInd w:val="0"/>
              <w:snapToGrid w:val="0"/>
              <w:spacing w:line="360" w:lineRule="auto"/>
              <w:ind w:left="210" w:leftChars="0" w:firstLineChars="0"/>
              <w:rPr>
                <w:rFonts w:ascii="宋体" w:hAnsi="宋体" w:cs="宋体"/>
                <w:color w:val="auto"/>
                <w:sz w:val="22"/>
                <w:highlight w:val="none"/>
              </w:rPr>
            </w:pPr>
            <w:r>
              <w:rPr>
                <w:rFonts w:hint="eastAsia" w:ascii="宋体" w:hAnsi="宋体" w:cs="宋体"/>
                <w:color w:val="auto"/>
                <w:sz w:val="22"/>
                <w:highlight w:val="none"/>
              </w:rPr>
              <w:t>现有机房及相关平台清单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22"/>
                      <w:highlight w:val="none"/>
                    </w:rPr>
                  </w:pPr>
                  <w:r>
                    <w:rPr>
                      <w:rFonts w:hint="eastAsia" w:ascii="宋体" w:hAnsi="宋体"/>
                      <w:b/>
                      <w:color w:val="auto"/>
                      <w:sz w:val="22"/>
                      <w:highlight w:val="none"/>
                    </w:rPr>
                    <w:t>设备</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22"/>
                      <w:highlight w:val="none"/>
                    </w:rPr>
                  </w:pPr>
                  <w:r>
                    <w:rPr>
                      <w:rFonts w:hint="eastAsia" w:ascii="宋体" w:hAnsi="宋体"/>
                      <w:b/>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网络机房</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1</w:t>
                  </w:r>
                  <w:r>
                    <w:rPr>
                      <w:rFonts w:hint="eastAsia" w:ascii="宋体" w:hAnsi="宋体"/>
                      <w:color w:val="auto"/>
                      <w:sz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数据机房</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1</w:t>
                  </w:r>
                  <w:r>
                    <w:rPr>
                      <w:rFonts w:hint="eastAsia" w:ascii="宋体" w:hAnsi="宋体"/>
                      <w:color w:val="auto"/>
                      <w:sz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弱电井</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9</w:t>
                  </w:r>
                  <w:r>
                    <w:rPr>
                      <w:rFonts w:ascii="宋体" w:hAnsi="宋体"/>
                      <w:color w:val="auto"/>
                      <w:sz w:val="22"/>
                      <w:highlight w:val="none"/>
                    </w:rPr>
                    <w:t>6</w:t>
                  </w:r>
                  <w:r>
                    <w:rPr>
                      <w:rFonts w:hint="eastAsia" w:ascii="宋体" w:hAnsi="宋体"/>
                      <w:color w:val="auto"/>
                      <w:sz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超融合平台</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ascii="宋体" w:hAnsi="宋体"/>
                      <w:color w:val="auto"/>
                      <w:sz w:val="22"/>
                      <w:highlight w:val="none"/>
                    </w:rPr>
                    <w:t>3</w:t>
                  </w:r>
                  <w:r>
                    <w:rPr>
                      <w:rFonts w:hint="eastAsia" w:ascii="宋体" w:hAnsi="宋体"/>
                      <w:color w:val="auto"/>
                      <w:sz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网管平台</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基础网络平台</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虚拟机</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20</w:t>
                  </w:r>
                  <w:r>
                    <w:rPr>
                      <w:rFonts w:hint="eastAsia" w:ascii="宋体" w:hAnsi="宋体"/>
                      <w:color w:val="auto"/>
                      <w:sz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机房环控</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2"/>
                      <w:highlight w:val="none"/>
                    </w:rPr>
                  </w:pPr>
                  <w:r>
                    <w:rPr>
                      <w:rFonts w:hint="eastAsia" w:ascii="宋体" w:hAnsi="宋体"/>
                      <w:color w:val="auto"/>
                      <w:sz w:val="22"/>
                      <w:highlight w:val="none"/>
                    </w:rPr>
                    <w:t>2套</w:t>
                  </w:r>
                </w:p>
              </w:tc>
            </w:tr>
          </w:tbl>
          <w:p>
            <w:pPr>
              <w:adjustRightInd w:val="0"/>
              <w:snapToGrid w:val="0"/>
              <w:spacing w:line="360" w:lineRule="auto"/>
              <w:ind w:left="840"/>
              <w:rPr>
                <w:rFonts w:ascii="宋体" w:hAnsi="宋体" w:cs="宋体"/>
                <w:color w:val="auto"/>
                <w:sz w:val="22"/>
                <w:highlight w:val="none"/>
              </w:rPr>
            </w:pPr>
          </w:p>
          <w:p>
            <w:pPr>
              <w:adjustRightInd w:val="0"/>
              <w:snapToGrid w:val="0"/>
              <w:spacing w:line="440" w:lineRule="exact"/>
              <w:rPr>
                <w:color w:val="auto"/>
                <w:highlight w:val="none"/>
              </w:rPr>
            </w:pPr>
            <w:r>
              <w:rPr>
                <w:rFonts w:hint="eastAsia"/>
                <w:color w:val="auto"/>
                <w:highlight w:val="none"/>
              </w:rPr>
              <w:t>具体要求：</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预先检查服务。乙方在维护服务开始前将针对需要维护的设备系统进行预先检查服务，以确保所有被维护的设备系统都处于良好的运行状态。乙方将派具有相关认证资格的工程师到浙江安防职业技术学院对设备系统做全面的健康检查，如果当前设备系统状况良好，正式进入维护阶段。</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2）第一次巡检。乙方的工程师在预先检查服务并确认可以进行维护后，对现有设备的使用状况进行评估。乙方应根据整个维护项目的规模，准备相应的备品备件或备机，以便在出现故障的时候能够快速提供备品备件或备机。</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3）日常巡检服务。乙方每一个月进行一次对甲方维护范围内的设备进行日常全面巡检，并提交运行情况技术报告，并经过用户技术负责签字确认。</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4）远程服务。将对有效的电话、传真和电邮服务请求提供远程支持服务，以求解决被维护设备系统的故障问题。甲方的电话将享有高度的优先级，乙方将优先处理甲方的电话求助，直至得到令甲方满意的结果。</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5）远程服务受理时间。乙方将为浙江安防职业技术学院提供7×24的远程服务受理时间，浙江安防职业技术学院的所有服务请求在服务受理时间内都会被接纳。</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6）远程服务响应时间。乙方将在接到服务请求的半小时内提供远程服务响应，远程服务响应时间从接到服务请求时开始计算。</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7）现场服务。乙方接到电话后启动现场服务。乙方将为浙江安防职业技术学院提供不限次数的现场服务。</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8）现场服务响应时间。乙方为浙江安防职业技术学院提供7×24小时的现场服务。双方电话中确认需要工程师现场解决的问题，乙方将在一个小时内派工程师到达服务现场，乙方的现场响应时间从双方确认需要现场服务之时开始计算。双方可以协商将现场的服务时间放在双方都同意的时间。</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9）故障判断现场培训。乙方为浙江安防职业技术学院技术工程师提供设备故障判断现场培训，时间安排在第一次巡检当天。</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10）驻场服务。运维服务合同有效期内，乙方派驻</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名工程师常驻用户现场，</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名驻场人员需缴纳五险一金，每周至少5天与甲方工作人员同步上下班，并配合甲方进行日常技术维护、文档整理工作。根据学校业务实际需求，乙方提供的驻点人员需经业主确认，满足甲方技术要求，不符合要求的甲方有权更换驻点人员。</w:t>
            </w:r>
            <w:r>
              <w:rPr>
                <w:rFonts w:hint="eastAsia" w:ascii="宋体" w:hAnsi="宋体"/>
                <w:color w:val="auto"/>
                <w:sz w:val="22"/>
                <w:highlight w:val="none"/>
              </w:rPr>
              <w:t>乙方至少有两名HCIE或H</w:t>
            </w:r>
            <w:r>
              <w:rPr>
                <w:rFonts w:ascii="宋体" w:hAnsi="宋体"/>
                <w:color w:val="auto"/>
                <w:sz w:val="22"/>
                <w:highlight w:val="none"/>
              </w:rPr>
              <w:t>3CIE</w:t>
            </w:r>
            <w:r>
              <w:rPr>
                <w:rFonts w:hint="eastAsia" w:ascii="宋体" w:hAnsi="宋体"/>
                <w:color w:val="auto"/>
                <w:sz w:val="22"/>
                <w:highlight w:val="none"/>
              </w:rPr>
              <w:t>工程师作为后台技术支持，</w:t>
            </w:r>
            <w:r>
              <w:rPr>
                <w:rFonts w:hint="eastAsia" w:ascii="宋体" w:hAnsi="宋体" w:cs="宋体"/>
                <w:color w:val="auto"/>
                <w:sz w:val="22"/>
                <w:highlight w:val="none"/>
              </w:rPr>
              <w:t>在有必要时，工程师将及时为甲方的系统做微码升级与工程改良。</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11）乙方向浙江安防职业技术学院派遣的工程师应具备专业资质并有良好的工作态度，及时向浙江安防职业技术学院提供所需服务。</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12）乙方在提供本维护服务合同项下的所有维护服务时，必须遵守浙江安防职业技术学院所在地所适用的法律、法规和政府行政命令，并同时遵守浙江安防职业技术学院指定的学校政策及规定。</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13）甲方将尽力向乙方提供必要的协助以配合乙方完成本维护服务合同项下的所有维护服务。</w:t>
            </w:r>
          </w:p>
          <w:p>
            <w:pPr>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14）操作系统升级和补丁程序安装服务。在乙方维护浙江安防职业技术学院设备系统的合同期限内，每年乙方应免费（不限次数）对所维护的设备系统做微码升级，如电脑等设备，具体时间根据厂商发放升级代码的日期并与现场工程师协调确认。在操作系统补丁或新微码更新前，乙方应征得浙江安防职业技术学院同意方可进行，严禁未征得浙江安防职业技术学院同意就进行操作系统补丁或微码升级的行为发生，并且双方就升级步骤需向甲方再次确认。</w:t>
            </w:r>
          </w:p>
          <w:p>
            <w:pPr>
              <w:numPr>
                <w:ilvl w:val="0"/>
                <w:numId w:val="4"/>
              </w:numPr>
              <w:adjustRightInd w:val="0"/>
              <w:snapToGrid w:val="0"/>
              <w:spacing w:line="360" w:lineRule="auto"/>
              <w:rPr>
                <w:rFonts w:ascii="宋体" w:hAnsi="宋体" w:cs="宋体"/>
                <w:b/>
                <w:color w:val="auto"/>
                <w:sz w:val="22"/>
                <w:highlight w:val="none"/>
              </w:rPr>
            </w:pPr>
            <w:r>
              <w:rPr>
                <w:rFonts w:hint="eastAsia" w:ascii="宋体" w:hAnsi="宋体" w:cs="宋体"/>
                <w:b/>
                <w:color w:val="auto"/>
                <w:sz w:val="22"/>
                <w:highlight w:val="none"/>
              </w:rPr>
              <w:t>工作时间</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1）维护人员的工作时间和学校教职工同步；</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2）学校部分多媒体教室、会议室、报告厅使用频率较高，经常会在非上班时间举行各类活动，维护人员需要服从学校安排，在晚上、周末等非工作时间做好各类活动的技术支撑工作；</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3）学校在寒假、暑假等节假日期间，维护人员服从学校的工作安排；</w:t>
            </w:r>
          </w:p>
          <w:p>
            <w:pPr>
              <w:adjustRightInd w:val="0"/>
              <w:snapToGrid w:val="0"/>
              <w:spacing w:line="360" w:lineRule="auto"/>
              <w:rPr>
                <w:rFonts w:hint="eastAsia" w:ascii="宋体" w:hAnsi="宋体" w:cs="宋体"/>
                <w:b/>
                <w:color w:val="auto"/>
                <w:sz w:val="22"/>
                <w:highlight w:val="none"/>
              </w:rPr>
            </w:pPr>
            <w:r>
              <w:rPr>
                <w:rFonts w:hint="eastAsia" w:ascii="宋体" w:hAnsi="宋体" w:cs="宋体"/>
                <w:b/>
                <w:color w:val="auto"/>
                <w:sz w:val="22"/>
                <w:highlight w:val="none"/>
              </w:rPr>
              <w:t>3. 任职要求</w:t>
            </w:r>
          </w:p>
          <w:p>
            <w:pPr>
              <w:pStyle w:val="2"/>
              <w:rPr>
                <w:rFonts w:hint="eastAsia" w:ascii="宋体" w:hAnsi="宋体" w:cs="宋体"/>
                <w:b/>
                <w:color w:val="auto"/>
                <w:sz w:val="22"/>
                <w:highlight w:val="none"/>
              </w:rPr>
            </w:pPr>
            <w:r>
              <w:rPr>
                <w:rFonts w:hint="eastAsia" w:ascii="宋体" w:hAnsi="宋体" w:cs="宋体"/>
                <w:b/>
                <w:color w:val="auto"/>
                <w:sz w:val="22"/>
                <w:highlight w:val="none"/>
                <w:lang w:val="en-US" w:eastAsia="zh-CN"/>
              </w:rPr>
              <w:t>驻点人员必须无条件服从甲方的工作安排</w:t>
            </w:r>
          </w:p>
          <w:p>
            <w:pPr>
              <w:pStyle w:val="2"/>
              <w:rPr>
                <w:rFonts w:ascii="宋体" w:hAnsi="宋体" w:cs="宋体"/>
                <w:b/>
                <w:color w:val="auto"/>
                <w:sz w:val="22"/>
                <w:highlight w:val="none"/>
              </w:rPr>
            </w:pPr>
            <w:r>
              <w:rPr>
                <w:rFonts w:hint="eastAsia" w:ascii="宋体" w:hAnsi="宋体" w:cs="宋体"/>
                <w:b/>
                <w:color w:val="auto"/>
                <w:sz w:val="22"/>
                <w:highlight w:val="none"/>
              </w:rPr>
              <w:t>网络设备维护人员要求（2名）：</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1）性别不限，年龄25-35周岁，大专及以上学历，信息类、电子类、计算机类等相关专业；</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2）三年以上网络相关设备维护及管理等工作经验；</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3）对精密空调、U</w:t>
            </w:r>
            <w:r>
              <w:rPr>
                <w:rFonts w:ascii="宋体" w:hAnsi="宋体" w:cs="宋体"/>
                <w:color w:val="auto"/>
                <w:sz w:val="22"/>
                <w:highlight w:val="none"/>
              </w:rPr>
              <w:t>PS</w:t>
            </w:r>
            <w:r>
              <w:rPr>
                <w:rFonts w:hint="eastAsia" w:ascii="宋体" w:hAnsi="宋体" w:cs="宋体"/>
                <w:color w:val="auto"/>
                <w:sz w:val="22"/>
                <w:highlight w:val="none"/>
              </w:rPr>
              <w:t>、环控系统、交换机、布线、服务器、存储、AP等设备及操作系统应用等熟悉；</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4）具备计算机软硬件故障排除能力；对网络设备维护保养有较强的动手能力；</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5）具有良好的沟通协调能力和团队合作精神；</w:t>
            </w:r>
          </w:p>
          <w:p>
            <w:pPr>
              <w:adjustRightInd w:val="0"/>
              <w:snapToGrid w:val="0"/>
              <w:spacing w:line="360" w:lineRule="auto"/>
              <w:rPr>
                <w:rFonts w:ascii="宋体" w:hAnsi="宋体" w:cs="宋体"/>
                <w:b/>
                <w:color w:val="auto"/>
                <w:sz w:val="22"/>
                <w:highlight w:val="none"/>
              </w:rPr>
            </w:pPr>
            <w:r>
              <w:rPr>
                <w:rFonts w:hint="eastAsia" w:ascii="宋体" w:hAnsi="宋体" w:cs="宋体"/>
                <w:color w:val="auto"/>
                <w:sz w:val="22"/>
                <w:highlight w:val="none"/>
              </w:rPr>
              <w:t>6）有学校网络设备维护和管理经验者优先考虑；</w:t>
            </w:r>
          </w:p>
          <w:p>
            <w:pPr>
              <w:numPr>
                <w:ilvl w:val="0"/>
                <w:numId w:val="0"/>
              </w:numPr>
              <w:spacing w:line="440" w:lineRule="exact"/>
              <w:rPr>
                <w:color w:val="auto"/>
                <w:highlight w:val="none"/>
              </w:rPr>
            </w:pPr>
            <w:r>
              <w:rPr>
                <w:rFonts w:hint="eastAsia" w:ascii="宋体" w:hAnsi="宋体" w:cs="宋体"/>
                <w:color w:val="auto"/>
                <w:sz w:val="22"/>
                <w:highlight w:val="none"/>
              </w:rPr>
              <w:t>7）</w:t>
            </w:r>
            <w:r>
              <w:rPr>
                <w:rFonts w:hint="eastAsia" w:ascii="宋体" w:hAnsi="宋体" w:cs="宋体"/>
                <w:b/>
                <w:color w:val="auto"/>
                <w:sz w:val="22"/>
                <w:highlight w:val="none"/>
                <w:u w:val="single"/>
              </w:rPr>
              <w:t>▲长期驻场维护人员不少于</w:t>
            </w:r>
            <w:r>
              <w:rPr>
                <w:rFonts w:hint="eastAsia" w:ascii="宋体" w:hAnsi="宋体" w:cs="宋体"/>
                <w:b/>
                <w:color w:val="auto"/>
                <w:sz w:val="22"/>
                <w:highlight w:val="none"/>
                <w:u w:val="single"/>
                <w:lang w:val="en-US" w:eastAsia="zh-CN"/>
              </w:rPr>
              <w:t>2</w:t>
            </w:r>
            <w:r>
              <w:rPr>
                <w:rFonts w:hint="eastAsia" w:ascii="宋体" w:hAnsi="宋体" w:cs="宋体"/>
                <w:b/>
                <w:color w:val="auto"/>
                <w:sz w:val="22"/>
                <w:highlight w:val="none"/>
                <w:u w:val="single"/>
              </w:rPr>
              <w:t>人</w:t>
            </w: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为</w:t>
            </w:r>
            <w:r>
              <w:rPr>
                <w:rFonts w:hint="eastAsia" w:ascii="宋体" w:hAnsi="宋体" w:cs="宋体"/>
                <w:b/>
                <w:bCs/>
                <w:color w:val="auto"/>
                <w:sz w:val="22"/>
                <w:highlight w:val="none"/>
                <w:u w:val="single"/>
                <w:lang w:val="en-US" w:eastAsia="zh-CN"/>
              </w:rPr>
              <w:t>确保运维</w:t>
            </w:r>
            <w:r>
              <w:rPr>
                <w:rFonts w:hint="eastAsia" w:ascii="宋体" w:hAnsi="宋体" w:cs="宋体"/>
                <w:b/>
                <w:bCs/>
                <w:color w:val="auto"/>
                <w:sz w:val="22"/>
                <w:highlight w:val="none"/>
                <w:u w:val="single"/>
              </w:rPr>
              <w:t>人员的</w:t>
            </w:r>
            <w:r>
              <w:rPr>
                <w:rFonts w:hint="eastAsia" w:ascii="宋体" w:hAnsi="宋体" w:cs="宋体"/>
                <w:b/>
                <w:bCs/>
                <w:color w:val="auto"/>
                <w:sz w:val="22"/>
                <w:highlight w:val="none"/>
                <w:u w:val="single"/>
                <w:lang w:val="en-US" w:eastAsia="zh-CN"/>
              </w:rPr>
              <w:t>服务质量和人员的</w:t>
            </w:r>
            <w:r>
              <w:rPr>
                <w:rFonts w:hint="eastAsia" w:ascii="宋体" w:hAnsi="宋体" w:cs="宋体"/>
                <w:b/>
                <w:bCs/>
                <w:color w:val="auto"/>
                <w:sz w:val="22"/>
                <w:highlight w:val="none"/>
                <w:u w:val="single"/>
              </w:rPr>
              <w:t>稳定性，</w:t>
            </w:r>
            <w:r>
              <w:rPr>
                <w:rFonts w:hint="eastAsia" w:ascii="宋体" w:hAnsi="宋体"/>
                <w:b/>
                <w:bCs/>
                <w:color w:val="auto"/>
                <w:sz w:val="22"/>
                <w:highlight w:val="none"/>
                <w:u w:val="single"/>
              </w:rPr>
              <w:t>各供应商</w:t>
            </w:r>
            <w:r>
              <w:rPr>
                <w:rFonts w:hint="eastAsia" w:ascii="宋体" w:hAnsi="宋体"/>
                <w:b/>
                <w:bCs/>
                <w:color w:val="auto"/>
                <w:sz w:val="22"/>
                <w:highlight w:val="none"/>
                <w:u w:val="single"/>
                <w:lang w:val="en-US" w:eastAsia="zh-CN"/>
              </w:rPr>
              <w:t>需要确保</w:t>
            </w:r>
            <w:r>
              <w:rPr>
                <w:rFonts w:hint="eastAsia" w:ascii="宋体" w:hAnsi="宋体" w:cs="宋体"/>
                <w:b/>
                <w:bCs/>
                <w:color w:val="auto"/>
                <w:sz w:val="22"/>
                <w:highlight w:val="none"/>
                <w:u w:val="single"/>
              </w:rPr>
              <w:t>驻点人员</w:t>
            </w:r>
            <w:r>
              <w:rPr>
                <w:rFonts w:hint="eastAsia" w:ascii="宋体" w:hAnsi="宋体" w:cs="宋体"/>
                <w:b/>
                <w:bCs/>
                <w:color w:val="auto"/>
                <w:sz w:val="22"/>
                <w:highlight w:val="none"/>
                <w:u w:val="single"/>
                <w:lang w:val="en-US" w:eastAsia="zh-CN"/>
              </w:rPr>
              <w:t>应发年薪8.5万元</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考虑到学校开学和学校重大活动期间，维护量大、业务繁忙，成交供应商要保证在该期间再增加1-2名人员做学校相关工作；</w:t>
            </w:r>
          </w:p>
          <w:p>
            <w:pPr>
              <w:adjustRightInd w:val="0"/>
              <w:snapToGrid w:val="0"/>
              <w:spacing w:line="360" w:lineRule="auto"/>
              <w:rPr>
                <w:rFonts w:ascii="宋体" w:hAnsi="宋体" w:cs="宋体"/>
                <w:b/>
                <w:color w:val="auto"/>
                <w:sz w:val="22"/>
                <w:highlight w:val="none"/>
              </w:rPr>
            </w:pPr>
            <w:r>
              <w:rPr>
                <w:rFonts w:hint="eastAsia" w:ascii="宋体" w:hAnsi="宋体" w:cs="宋体"/>
                <w:b/>
                <w:color w:val="auto"/>
                <w:sz w:val="22"/>
                <w:highlight w:val="none"/>
              </w:rPr>
              <w:t>4. 其它要求</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1）成交供应商必须按照国家相关劳动法和驻场维护人员签订劳动合同，并按照劳动法缴纳相关保险，保障人员的劳动权益；</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2）为了鼓励员工积极工作，成交供应商需拿出一部分费用作为驻场维护人员月度奖/年度奖；学校根据该人员的绩效考核分发奖金；请在响应文件中说明乙方拿出多少费用作为月度奖/年度奖；</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3）请在标书中提供以下信息：成交供应商准备多少资金用于人员招聘，费用的具体分配如何。</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4）请假说明：驻场人员如有请假，需要填写并提交请假表，由校方和成交供应商共同审批并通过，方可请假。该人员请假期间，成交供应商必须另外安排其他人员来学校做驻场服务。</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5）成交供应商需要给驻场维护人员配备工作电脑，为了工作方便，配备笔记本电脑。</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6）学校每天晚上会有教学任务，也会有会议和活动，需要成交供应商人员在学校做技术支撑，考虑到学校离市区较远，需要成交供应商在学校附近为驻场人员提供住宿。</w:t>
            </w:r>
          </w:p>
          <w:p>
            <w:pPr>
              <w:adjustRightInd w:val="0"/>
              <w:snapToGrid w:val="0"/>
              <w:spacing w:line="360" w:lineRule="auto"/>
              <w:rPr>
                <w:rFonts w:ascii="宋体" w:hAnsi="宋体" w:cs="宋体"/>
                <w:b/>
                <w:color w:val="auto"/>
                <w:sz w:val="22"/>
                <w:highlight w:val="none"/>
              </w:rPr>
            </w:pPr>
            <w:r>
              <w:rPr>
                <w:rFonts w:hint="eastAsia" w:ascii="宋体" w:hAnsi="宋体" w:cs="宋体"/>
                <w:b/>
                <w:color w:val="auto"/>
                <w:sz w:val="22"/>
                <w:highlight w:val="none"/>
              </w:rPr>
              <w:t>7）成交供应商工作内容包含日常维护、布线整理、零配件及设备安装等服务，相关费用（包括加班等综合费用）包含在投标报价内。</w:t>
            </w:r>
          </w:p>
          <w:p>
            <w:pPr>
              <w:adjustRightInd w:val="0"/>
              <w:snapToGrid w:val="0"/>
              <w:spacing w:line="360" w:lineRule="auto"/>
              <w:rPr>
                <w:rFonts w:ascii="宋体" w:hAnsi="宋体" w:cs="宋体"/>
                <w:b/>
                <w:color w:val="auto"/>
                <w:sz w:val="22"/>
                <w:highlight w:val="none"/>
              </w:rPr>
            </w:pPr>
            <w:r>
              <w:rPr>
                <w:rFonts w:hint="eastAsia" w:ascii="宋体" w:hAnsi="宋体" w:cs="宋体"/>
                <w:b/>
                <w:color w:val="auto"/>
                <w:sz w:val="22"/>
                <w:highlight w:val="none"/>
              </w:rPr>
              <w:t>8）设备零配件损坏不能再使用时（需甲方确认），征得甲方同意的情况下，在同等条件下优先采购成交供应商提供的零配件，成交供应商需提供设备零配件发票。</w:t>
            </w:r>
          </w:p>
          <w:p>
            <w:pPr>
              <w:spacing w:line="380" w:lineRule="exact"/>
              <w:rPr>
                <w:rFonts w:ascii="宋体" w:hAnsi="宋体" w:cs="宋体"/>
                <w:color w:val="auto"/>
                <w:sz w:val="22"/>
                <w:highlight w:val="none"/>
              </w:rPr>
            </w:pPr>
            <w:r>
              <w:rPr>
                <w:rFonts w:hint="eastAsia" w:ascii="宋体" w:hAnsi="宋体" w:cs="宋体"/>
                <w:color w:val="auto"/>
                <w:sz w:val="22"/>
                <w:highlight w:val="none"/>
              </w:rPr>
              <w:t>附</w:t>
            </w:r>
          </w:p>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服务考核表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376"/>
              <w:gridCol w:w="3146"/>
              <w:gridCol w:w="105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877"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889"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项目</w:t>
                  </w:r>
                </w:p>
              </w:tc>
              <w:tc>
                <w:tcPr>
                  <w:tcW w:w="3804"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要求及原则</w:t>
                  </w:r>
                </w:p>
              </w:tc>
              <w:tc>
                <w:tcPr>
                  <w:tcW w:w="1220"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设置</w:t>
                  </w:r>
                </w:p>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分值</w:t>
                  </w:r>
                </w:p>
              </w:tc>
              <w:tc>
                <w:tcPr>
                  <w:tcW w:w="1064"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评分</w:t>
                  </w:r>
                </w:p>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889"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人员到岗</w:t>
                  </w:r>
                </w:p>
              </w:tc>
              <w:tc>
                <w:tcPr>
                  <w:tcW w:w="3804"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驻点人员的到岗率，有无迟到早退，有无无故旷工</w:t>
                  </w:r>
                </w:p>
              </w:tc>
              <w:tc>
                <w:tcPr>
                  <w:tcW w:w="1220"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10</w:t>
                  </w:r>
                </w:p>
              </w:tc>
              <w:tc>
                <w:tcPr>
                  <w:tcW w:w="1064" w:type="dxa"/>
                  <w:vAlign w:val="center"/>
                </w:tcPr>
                <w:p>
                  <w:pPr>
                    <w:spacing w:line="38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877"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2889"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维护时效</w:t>
                  </w:r>
                </w:p>
              </w:tc>
              <w:tc>
                <w:tcPr>
                  <w:tcW w:w="3804"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在设备出现故障后是否能及时有效的处理并维护完成，投入使用</w:t>
                  </w:r>
                </w:p>
              </w:tc>
              <w:tc>
                <w:tcPr>
                  <w:tcW w:w="1220"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20</w:t>
                  </w:r>
                </w:p>
              </w:tc>
              <w:tc>
                <w:tcPr>
                  <w:tcW w:w="1064" w:type="dxa"/>
                  <w:vAlign w:val="center"/>
                </w:tcPr>
                <w:p>
                  <w:pPr>
                    <w:spacing w:line="38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877"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2889"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日常保养维护</w:t>
                  </w:r>
                </w:p>
              </w:tc>
              <w:tc>
                <w:tcPr>
                  <w:tcW w:w="3804"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设备日常保养维护作业，是否精细有效，是否保养得当</w:t>
                  </w:r>
                </w:p>
              </w:tc>
              <w:tc>
                <w:tcPr>
                  <w:tcW w:w="1220"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15</w:t>
                  </w:r>
                </w:p>
              </w:tc>
              <w:tc>
                <w:tcPr>
                  <w:tcW w:w="1064" w:type="dxa"/>
                  <w:vAlign w:val="center"/>
                </w:tcPr>
                <w:p>
                  <w:pPr>
                    <w:spacing w:line="38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rPr>
              <w:tc>
                <w:tcPr>
                  <w:tcW w:w="877" w:type="dxa"/>
                  <w:vMerge w:val="restart"/>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2889" w:type="dxa"/>
                  <w:vMerge w:val="restart"/>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投诉情况</w:t>
                  </w:r>
                </w:p>
              </w:tc>
              <w:tc>
                <w:tcPr>
                  <w:tcW w:w="3804"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接受到分院教师投诉的次数及内容</w:t>
                  </w:r>
                </w:p>
              </w:tc>
              <w:tc>
                <w:tcPr>
                  <w:tcW w:w="1220"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25</w:t>
                  </w:r>
                </w:p>
              </w:tc>
              <w:tc>
                <w:tcPr>
                  <w:tcW w:w="1064" w:type="dxa"/>
                  <w:vAlign w:val="center"/>
                </w:tcPr>
                <w:p>
                  <w:pPr>
                    <w:spacing w:line="38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rPr>
              <w:tc>
                <w:tcPr>
                  <w:tcW w:w="877" w:type="dxa"/>
                  <w:vMerge w:val="continue"/>
                  <w:vAlign w:val="center"/>
                </w:tcPr>
                <w:p>
                  <w:pPr>
                    <w:spacing w:line="380" w:lineRule="exact"/>
                    <w:jc w:val="center"/>
                    <w:rPr>
                      <w:rFonts w:ascii="宋体" w:hAnsi="宋体" w:cs="宋体"/>
                      <w:color w:val="auto"/>
                      <w:sz w:val="22"/>
                      <w:highlight w:val="none"/>
                    </w:rPr>
                  </w:pPr>
                </w:p>
              </w:tc>
              <w:tc>
                <w:tcPr>
                  <w:tcW w:w="2889" w:type="dxa"/>
                  <w:vMerge w:val="continue"/>
                  <w:vAlign w:val="center"/>
                </w:tcPr>
                <w:p>
                  <w:pPr>
                    <w:spacing w:line="380" w:lineRule="exact"/>
                    <w:jc w:val="center"/>
                    <w:rPr>
                      <w:rFonts w:ascii="宋体" w:hAnsi="宋体" w:cs="宋体"/>
                      <w:color w:val="auto"/>
                      <w:sz w:val="22"/>
                      <w:highlight w:val="none"/>
                    </w:rPr>
                  </w:pPr>
                </w:p>
              </w:tc>
              <w:tc>
                <w:tcPr>
                  <w:tcW w:w="3804"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接受到除分院教师外的教职工投诉的次数及内容</w:t>
                  </w:r>
                </w:p>
              </w:tc>
              <w:tc>
                <w:tcPr>
                  <w:tcW w:w="1220"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20</w:t>
                  </w:r>
                </w:p>
              </w:tc>
              <w:tc>
                <w:tcPr>
                  <w:tcW w:w="1064" w:type="dxa"/>
                  <w:vAlign w:val="center"/>
                </w:tcPr>
                <w:p>
                  <w:pPr>
                    <w:spacing w:line="38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rPr>
              <w:tc>
                <w:tcPr>
                  <w:tcW w:w="877"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2889"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台账情况</w:t>
                  </w:r>
                </w:p>
              </w:tc>
              <w:tc>
                <w:tcPr>
                  <w:tcW w:w="3804"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维护、请假、加班等台账记录是否完整</w:t>
                  </w:r>
                </w:p>
              </w:tc>
              <w:tc>
                <w:tcPr>
                  <w:tcW w:w="1220" w:type="dxa"/>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10</w:t>
                  </w:r>
                </w:p>
              </w:tc>
              <w:tc>
                <w:tcPr>
                  <w:tcW w:w="1064" w:type="dxa"/>
                  <w:vAlign w:val="center"/>
                </w:tcPr>
                <w:p>
                  <w:pPr>
                    <w:spacing w:line="380" w:lineRule="exact"/>
                    <w:jc w:val="center"/>
                    <w:rPr>
                      <w:rFonts w:ascii="宋体" w:hAnsi="宋体" w:cs="宋体"/>
                      <w:color w:val="auto"/>
                      <w:sz w:val="22"/>
                      <w:highlight w:val="none"/>
                    </w:rPr>
                  </w:pPr>
                </w:p>
              </w:tc>
            </w:tr>
          </w:tbl>
          <w:p>
            <w:pPr>
              <w:spacing w:line="380" w:lineRule="exact"/>
              <w:jc w:val="center"/>
              <w:rPr>
                <w:rFonts w:ascii="宋体" w:hAnsi="宋体" w:cs="宋体"/>
                <w:color w:val="auto"/>
                <w:sz w:val="22"/>
                <w:highlight w:val="none"/>
              </w:rPr>
            </w:pPr>
          </w:p>
          <w:p>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服务考核由学校组织人员对成交供应商进行考核，90分为考核合格标准。</w:t>
            </w:r>
          </w:p>
          <w:p>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考核次数为每月一次；月均考核分值为当季3次考核的平均值。</w:t>
            </w:r>
          </w:p>
          <w:p>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月均考核分值在90分（含）以上，学校向成交供应商全额支付服务款项；月均考核分值在80分（含）-90分，学校扣除该5%的该支付服务款项；月均考核分值在70分（含）-80分，学校扣除10%的该支付服务款项；月均考核分值在70分以下，学校扣除25%的该支付服务款项；扣除款项在当</w:t>
            </w:r>
            <w:r>
              <w:rPr>
                <w:rFonts w:hint="eastAsia" w:ascii="宋体" w:hAnsi="宋体" w:cs="宋体"/>
                <w:color w:val="auto"/>
                <w:sz w:val="22"/>
                <w:highlight w:val="none"/>
                <w:lang w:val="en-US" w:eastAsia="zh-CN"/>
              </w:rPr>
              <w:t>年季末</w:t>
            </w:r>
            <w:r>
              <w:rPr>
                <w:rFonts w:hint="eastAsia" w:ascii="宋体" w:hAnsi="宋体" w:cs="宋体"/>
                <w:color w:val="auto"/>
                <w:sz w:val="22"/>
                <w:highlight w:val="none"/>
              </w:rPr>
              <w:t>该支付款项中直接扣除。</w:t>
            </w:r>
          </w:p>
          <w:p>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成交供应商如月均考分值在70分（不含）以下次数达到两次，学校有权单方面解除合同，并向成交供应商要求赔偿损失。</w:t>
            </w:r>
          </w:p>
          <w:p>
            <w:pPr>
              <w:numPr>
                <w:ilvl w:val="3"/>
                <w:numId w:val="5"/>
              </w:numPr>
              <w:tabs>
                <w:tab w:val="left" w:pos="851"/>
                <w:tab w:val="clear" w:pos="2040"/>
              </w:tabs>
              <w:spacing w:line="380" w:lineRule="exact"/>
              <w:ind w:left="851"/>
              <w:jc w:val="left"/>
              <w:rPr>
                <w:rFonts w:ascii="宋体" w:hAnsi="宋体" w:cs="宋体"/>
                <w:color w:val="auto"/>
                <w:sz w:val="22"/>
                <w:highlight w:val="none"/>
              </w:rPr>
            </w:pPr>
            <w:r>
              <w:rPr>
                <w:rFonts w:hint="eastAsia" w:ascii="宋体" w:hAnsi="宋体" w:cs="宋体"/>
                <w:color w:val="auto"/>
                <w:sz w:val="22"/>
                <w:highlight w:val="none"/>
              </w:rPr>
              <w:t>具体考核标准与供应商协商后，可适当调整。</w:t>
            </w:r>
          </w:p>
          <w:p>
            <w:pPr>
              <w:pStyle w:val="3"/>
              <w:rPr>
                <w:rFonts w:hint="eastAsia"/>
                <w:color w:val="auto"/>
                <w:highlight w:val="none"/>
                <w:vertAlign w:val="baseline"/>
                <w:lang w:eastAsia="zh-CN"/>
              </w:rPr>
            </w:pPr>
          </w:p>
        </w:tc>
      </w:tr>
    </w:tbl>
    <w:p>
      <w:pPr>
        <w:pStyle w:val="3"/>
        <w:rPr>
          <w:rFonts w:hint="eastAsia"/>
          <w:color w:val="auto"/>
          <w:highlight w:val="none"/>
          <w:lang w:eastAsia="zh-CN"/>
        </w:rPr>
      </w:pPr>
    </w:p>
    <w:p>
      <w:pPr>
        <w:pStyle w:val="3"/>
        <w:jc w:val="center"/>
        <w:rPr>
          <w:rFonts w:hint="eastAsia"/>
          <w:color w:val="auto"/>
          <w:highlight w:val="none"/>
          <w:lang w:eastAsia="zh-CN"/>
        </w:rPr>
      </w:pPr>
      <w:r>
        <w:rPr>
          <w:rFonts w:hint="eastAsia"/>
          <w:color w:val="auto"/>
          <w:highlight w:val="none"/>
          <w:lang w:eastAsia="zh-CN"/>
        </w:rPr>
        <w:t>标段二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numPr>
                <w:ilvl w:val="0"/>
                <w:numId w:val="0"/>
              </w:num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 xml:space="preserve"> 工作清单设备维护内容及要求</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1）教室，合计102间</w:t>
            </w:r>
          </w:p>
          <w:p>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通用教学楼教室102间，负责教室投影、中控、音响、功放、白板等各种多媒体设备日常维护和管理，确保每天教师能正常使用各种设备；</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2）办公设备（若干）</w:t>
            </w:r>
          </w:p>
          <w:p>
            <w:pPr>
              <w:numPr>
                <w:ilvl w:val="0"/>
                <w:numId w:val="6"/>
              </w:num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学校目前教职员工</w:t>
            </w:r>
            <w:r>
              <w:rPr>
                <w:rFonts w:ascii="宋体" w:hAnsi="宋体" w:cs="宋体"/>
                <w:color w:val="auto"/>
                <w:sz w:val="22"/>
                <w:szCs w:val="22"/>
                <w:highlight w:val="none"/>
              </w:rPr>
              <w:t>450</w:t>
            </w:r>
            <w:r>
              <w:rPr>
                <w:rFonts w:hint="eastAsia" w:ascii="宋体" w:hAnsi="宋体" w:cs="宋体"/>
                <w:color w:val="auto"/>
                <w:sz w:val="22"/>
                <w:szCs w:val="22"/>
                <w:highlight w:val="none"/>
              </w:rPr>
              <w:t>人，估计需要维护的电脑数量不少于</w:t>
            </w:r>
            <w:r>
              <w:rPr>
                <w:rFonts w:ascii="宋体" w:hAnsi="宋体" w:cs="宋体"/>
                <w:color w:val="auto"/>
                <w:sz w:val="22"/>
                <w:szCs w:val="22"/>
                <w:highlight w:val="none"/>
              </w:rPr>
              <w:t>500</w:t>
            </w:r>
            <w:r>
              <w:rPr>
                <w:rFonts w:hint="eastAsia" w:ascii="宋体" w:hAnsi="宋体" w:cs="宋体"/>
                <w:color w:val="auto"/>
                <w:sz w:val="22"/>
                <w:szCs w:val="22"/>
                <w:highlight w:val="none"/>
              </w:rPr>
              <w:t>台，主要负责对办公电脑的日常维护，包括系统安装，软件安装、硬件维护，以及各类日常办公软件的使用指导等；</w:t>
            </w:r>
          </w:p>
          <w:p>
            <w:pPr>
              <w:numPr>
                <w:ilvl w:val="0"/>
                <w:numId w:val="6"/>
              </w:num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打印系统和打印机的日常维护，包括更换墨盒、处理日常设备故障、打印机驱动的安装等，确保学校所有打印机正常运行，满足教职员工的日常打印需求；</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3）信息发布系统</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信息发布系统日常维护，确保该系统每天正常运行；包括LED屏和电视终端等；</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4）校园广播系统</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广播设备的日常维护，确保设备能正常使用；</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5）教室监控系统（标准化考场）</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该监控系统用于学校各类考试监控使用，负责对该系统的日常维护，确保系统正常运行；</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6）校园网络接入层的日常维护</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新员工入职、老员工办公室搬迁都涉及电脑、打印机等设备的网络接入，维护人员需要负责网络接入层的网络跳线和网络设置工作；</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7）电话故障处理</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负责学校电话故障前期排查工作，能处理的问题直接处理，不能处理的问题需要上报运营商，并由运营商处理；</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8）会议室和报告厅，合计</w:t>
            </w:r>
            <w:r>
              <w:rPr>
                <w:rFonts w:ascii="宋体" w:hAnsi="宋体" w:cs="宋体"/>
                <w:color w:val="auto"/>
                <w:sz w:val="22"/>
                <w:szCs w:val="22"/>
                <w:highlight w:val="none"/>
              </w:rPr>
              <w:t>11</w:t>
            </w:r>
            <w:r>
              <w:rPr>
                <w:rFonts w:hint="eastAsia" w:ascii="宋体" w:hAnsi="宋体" w:cs="宋体"/>
                <w:color w:val="auto"/>
                <w:sz w:val="22"/>
                <w:szCs w:val="22"/>
                <w:highlight w:val="none"/>
              </w:rPr>
              <w:t>间</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会议报告厅的多媒体设备较多，系统也教复杂，维护人员需要对所有设备做日常的巡检和维护，并对在会议报告厅举办的各类活动做好现场技术支撑；</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9）操场间设备，合计1个</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负责该设备间多媒体设备正常运行，做好日常巡检并对在操场举办的各类活动做好现场技术支撑；</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10）毕业典礼及其它各类活动</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辅助做好毕业典礼筹备过程中的技术支持，并在毕业典礼当天做好配合工作；</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根据学校实际情况，会在校内外不定期举行各种会议、活动，需要做好音视频和会议直播设备的技术支持工作；</w:t>
            </w:r>
          </w:p>
          <w:p>
            <w:pPr>
              <w:pStyle w:val="2"/>
              <w:ind w:firstLine="440" w:firstLineChars="200"/>
              <w:rPr>
                <w:rFonts w:hint="eastAsia"/>
                <w:color w:val="auto"/>
                <w:highlight w:val="none"/>
              </w:rPr>
            </w:pPr>
            <w:r>
              <w:rPr>
                <w:rFonts w:hint="eastAsia" w:ascii="宋体" w:hAnsi="宋体" w:cs="宋体"/>
                <w:color w:val="auto"/>
                <w:sz w:val="22"/>
                <w:szCs w:val="22"/>
                <w:highlight w:val="none"/>
              </w:rPr>
              <w:t>以上所有设备都要定期做巡检和维护，并做好台账记录等工作。</w:t>
            </w:r>
          </w:p>
          <w:p>
            <w:pPr>
              <w:adjustRightInd w:val="0"/>
              <w:snapToGrid w:val="0"/>
              <w:spacing w:line="440" w:lineRule="exact"/>
              <w:rPr>
                <w:rFonts w:hint="eastAsia"/>
                <w:color w:val="auto"/>
                <w:highlight w:val="none"/>
              </w:rPr>
            </w:pPr>
            <w:r>
              <w:rPr>
                <w:rFonts w:hint="eastAsia"/>
                <w:color w:val="auto"/>
                <w:highlight w:val="none"/>
              </w:rPr>
              <w:t>具体要求：</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预先检查服务。乙方在维护服务开始前将针对需要维护的设备系统进行预先检查服务，以确保所有被维护的设备系统都处于良好的运行状态。乙方将派具有相关认证资格的工程师到浙江安防职业技术学院对设备系统做全面的健康检查，如果当前设备系统状况良好，正式进入维护阶段。</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第一次巡检。乙方的工程师在预先检查服务并确认可以进行维护后，对现有设备的使用状况进行评估。乙方应根据整个维保项目的规模，准备相应的备品备件或备机，以便在出现故障的时候能够快速提供备品备件或备机。</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3）日常巡检服务。乙方每一个月进行一次对甲方维保范围内的设备进行日常全面巡检，并提交运行情况技术报告，并经过用户技术负责签字确认。</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4）远程服务。将对有效的电话、传真和电邮服务请求提供远程支持服务，以求解决被维护设备系统的故障问题。甲方的电话将享有高度的优先级，乙方将优先处理甲方的电话求助，直至得到令甲方满意的结果。</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5）远程服务受理时间。乙方将为浙江安防职业技术学院提供7×24的远程服务受理时间，浙江安防职业技术学院的所有服务请求在服务受理时间内都会被接纳。</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6）远程服务响应时间。乙方将在接到服务请求的半小时内提供远程服务响应，远程服务响应时间从接到服务请求时开始计算。</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7）现场服务。乙方接到电话后启动现场服务。乙方将为浙江安防职业技术学院提供不限次数的现场服务。</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现场服务响应时间。乙方为浙江安防职业技术学院提供7×24小时的现场服务。双方电话中确认需要工程师现场解决的问题，乙方将在一个小时内派工程师到达服务现场，乙方的现场响应时间从双方确认需要现场服务之时开始计算。双方可以协商将现场的服务时间放在双方都同意的时间。</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9）维修服务。一旦被维护设备系统出现了故障，乙方将在接到浙江安防职业技术学院服务请求的两个小时内向浙江安防职业技术学院提供具有相关认证的工程技术人员对被维护设备系统进行现场检修。一般故障件修复时间不超过12工作小时，当乙方的工程师预测在12工作小时内不能修复的故障设备的，启动备机预案，备机档次要高于现有设备，并在15小时内提供备机到现场。</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10）故障判断现场培训。乙方为浙江安防职业技术学院技术工程师提供设备故障判断现场培训，时间安排在第一次巡检当天。</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11）驻场服务。运维服务合同有效期内，乙方派驻</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名（其中需有1名工程师具有软考或行业初级证书）工程师常驻用户现场，每周至少5天与甲方工作人员同步上下班，并配合甲方进行日常技术维护、文档整理工作。在有必要时，工程师将及时为用户方的系统做微码升级与工程改良。</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12）乙方向浙江安防职业技术学院派遣的工程师应具备专业资质并有良好的工作态度，及时向浙江安防职业技术学院提供所需服务。</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13）乙方在提供本维护服务合同项下的所有维护服务时，必须遵守浙江安防职业技术学院所在地所适用的法律、法规和政府行政命令，并同时遵守浙江安防职业技术学院指定的学校政策及规定。</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14）甲方将尽力向乙方提供必要的协助以配合乙方完成本维护服务合同项下的所有维护服务。</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操作系统升级和补丁程序安装服务。在乙方维护浙江安防职业技术学院设备系统的合同期限内，每年乙方应免费（不限次数）对所维护的设备系统做微码升级，如电脑等设备，具体时间根据厂商发放升级代码的日期并与现场工程师协调确认。在操作系统补丁或新微码更新前，乙方应征得浙江安防职业技术学院同意方可进行，严禁未征得浙江安防职业技术学院同意就进行操作系统补丁或微码升级的行为发生，并且双方就升级步骤需向甲方再次确认。</w:t>
            </w:r>
          </w:p>
          <w:p>
            <w:pPr>
              <w:numPr>
                <w:ilvl w:val="0"/>
                <w:numId w:val="4"/>
              </w:num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工作时间</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1）维护人员的工作时间和学校教职工同步；</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2）学校部分多媒体教室、会议室、报告厅使用频率较高，经常会在非上班时间举行各类活动，维护人员需要服从学校安排，在晚上、周末等非工作时间做好各类活动的技术支撑工作；</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3）学校在寒假、暑假等节假日期间，维护人员服从学校的工作安排；</w:t>
            </w:r>
          </w:p>
          <w:p>
            <w:p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4. 任职要求</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1）性别不限，年龄25</w:t>
            </w:r>
            <w:r>
              <w:rPr>
                <w:rFonts w:ascii="宋体" w:hAnsi="宋体" w:cs="宋体"/>
                <w:color w:val="auto"/>
                <w:sz w:val="22"/>
                <w:szCs w:val="22"/>
                <w:highlight w:val="none"/>
              </w:rPr>
              <w:t>-</w:t>
            </w:r>
            <w:r>
              <w:rPr>
                <w:rFonts w:hint="eastAsia" w:ascii="宋体" w:hAnsi="宋体" w:cs="宋体"/>
                <w:color w:val="auto"/>
                <w:sz w:val="22"/>
                <w:szCs w:val="22"/>
                <w:highlight w:val="none"/>
              </w:rPr>
              <w:t>35周岁，大专及以上学历，信息类、电子类、计算机类等相关专业；</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2）三年以上多媒体视频及办公设备相关设备维护及管理等工作经验；</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3）对笔记本、PC、PC服务器、扫描仪、投影机、功放等设备及WINDOWS应用等熟悉；</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4）具备计算机软硬件故障排除能力；对多媒体设备维护保养有较强的动手能力；</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5）具有良好的沟通协调能力和团队合作精神；</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6）有学校多媒体设备维护和管理经验者优先考虑；</w:t>
            </w:r>
          </w:p>
          <w:p>
            <w:pPr>
              <w:numPr>
                <w:ilvl w:val="0"/>
                <w:numId w:val="0"/>
              </w:num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b/>
                <w:color w:val="auto"/>
                <w:sz w:val="22"/>
                <w:highlight w:val="none"/>
                <w:u w:val="single"/>
              </w:rPr>
              <w:t>▲长期驻场维护人员不少于</w:t>
            </w:r>
            <w:r>
              <w:rPr>
                <w:rFonts w:hint="eastAsia" w:ascii="宋体" w:hAnsi="宋体" w:cs="宋体"/>
                <w:b/>
                <w:color w:val="auto"/>
                <w:sz w:val="22"/>
                <w:highlight w:val="none"/>
                <w:u w:val="single"/>
                <w:lang w:val="en-US" w:eastAsia="zh-CN"/>
              </w:rPr>
              <w:t>3</w:t>
            </w:r>
            <w:r>
              <w:rPr>
                <w:rFonts w:hint="eastAsia" w:ascii="宋体" w:hAnsi="宋体" w:cs="宋体"/>
                <w:b/>
                <w:color w:val="auto"/>
                <w:sz w:val="22"/>
                <w:highlight w:val="none"/>
                <w:u w:val="single"/>
              </w:rPr>
              <w:t>人</w:t>
            </w: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为</w:t>
            </w:r>
            <w:r>
              <w:rPr>
                <w:rFonts w:hint="eastAsia" w:ascii="宋体" w:hAnsi="宋体" w:cs="宋体"/>
                <w:b/>
                <w:bCs/>
                <w:color w:val="auto"/>
                <w:sz w:val="22"/>
                <w:highlight w:val="none"/>
                <w:u w:val="single"/>
                <w:lang w:val="en-US" w:eastAsia="zh-CN"/>
              </w:rPr>
              <w:t>确保运维</w:t>
            </w:r>
            <w:r>
              <w:rPr>
                <w:rFonts w:hint="eastAsia" w:ascii="宋体" w:hAnsi="宋体" w:cs="宋体"/>
                <w:b/>
                <w:bCs/>
                <w:color w:val="auto"/>
                <w:sz w:val="22"/>
                <w:highlight w:val="none"/>
                <w:u w:val="single"/>
              </w:rPr>
              <w:t>人员的</w:t>
            </w:r>
            <w:r>
              <w:rPr>
                <w:rFonts w:hint="eastAsia" w:ascii="宋体" w:hAnsi="宋体" w:cs="宋体"/>
                <w:b/>
                <w:bCs/>
                <w:color w:val="auto"/>
                <w:sz w:val="22"/>
                <w:highlight w:val="none"/>
                <w:u w:val="single"/>
                <w:lang w:val="en-US" w:eastAsia="zh-CN"/>
              </w:rPr>
              <w:t>服务质量和人员的</w:t>
            </w:r>
            <w:r>
              <w:rPr>
                <w:rFonts w:hint="eastAsia" w:ascii="宋体" w:hAnsi="宋体" w:cs="宋体"/>
                <w:b/>
                <w:bCs/>
                <w:color w:val="auto"/>
                <w:sz w:val="22"/>
                <w:highlight w:val="none"/>
                <w:u w:val="single"/>
              </w:rPr>
              <w:t>稳定性，</w:t>
            </w:r>
            <w:r>
              <w:rPr>
                <w:rFonts w:hint="eastAsia" w:ascii="宋体" w:hAnsi="宋体"/>
                <w:b/>
                <w:bCs/>
                <w:color w:val="auto"/>
                <w:sz w:val="22"/>
                <w:highlight w:val="none"/>
                <w:u w:val="single"/>
              </w:rPr>
              <w:t>各供应商</w:t>
            </w:r>
            <w:r>
              <w:rPr>
                <w:rFonts w:hint="eastAsia" w:ascii="宋体" w:hAnsi="宋体"/>
                <w:b/>
                <w:bCs/>
                <w:color w:val="auto"/>
                <w:sz w:val="22"/>
                <w:highlight w:val="none"/>
                <w:u w:val="single"/>
                <w:lang w:val="en-US" w:eastAsia="zh-CN"/>
              </w:rPr>
              <w:t>需要确保</w:t>
            </w:r>
            <w:r>
              <w:rPr>
                <w:rFonts w:hint="eastAsia" w:ascii="宋体" w:hAnsi="宋体" w:cs="宋体"/>
                <w:b/>
                <w:bCs/>
                <w:color w:val="auto"/>
                <w:sz w:val="22"/>
                <w:highlight w:val="none"/>
                <w:u w:val="single"/>
              </w:rPr>
              <w:t>驻点人员</w:t>
            </w:r>
            <w:r>
              <w:rPr>
                <w:rFonts w:hint="eastAsia" w:ascii="宋体" w:hAnsi="宋体" w:cs="宋体"/>
                <w:b/>
                <w:bCs/>
                <w:color w:val="auto"/>
                <w:sz w:val="22"/>
                <w:highlight w:val="none"/>
                <w:u w:val="single"/>
                <w:lang w:val="en-US" w:eastAsia="zh-CN"/>
              </w:rPr>
              <w:t>应发年薪8.5万元</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考虑到学校开学和学校重大活动期间，维护量大、业务繁忙，成交供应商要保证在该期间再增加1-2名人员做学校相关工作；</w:t>
            </w:r>
          </w:p>
          <w:p>
            <w:p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5. 其它要求</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1）成交供应商必须按照国家相关劳动法和驻场维护人员签订劳动合同，并按照劳动法缴纳相关保险，保障人员的劳动权益；</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2）为了鼓励员工积极工作，成交供应商需拿出一部分费用作为驻场维护人员月度奖/年度奖；学校根据该人员的绩效考核分发奖金；请在响应文件中说明乙方拿出多少费用作为月度奖/年度奖；</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3）请在标书中提供以下信息：成交供应商准备多少资金用于人员招聘，费用的具体分配如何。</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4）请假说明：驻场人员如有请假，需要填写并提交请假表，由校方和成交供应商共同审批并通过，方可请假。该人员请假期间，成交供应商必须另外安排其他人员来学校做驻场服务。</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5）成交供应商需要给驻场维护人员配备工作电脑，为了工作方便，配备笔记本电脑。</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6）学校每天晚上会有教学任务，也会有会议和活动，需要成交供应商人员在学校做技术支撑，考虑到学校离市区较远，需要成交供应商在学校附近为驻场人员提供住宿。</w:t>
            </w:r>
          </w:p>
          <w:p>
            <w:p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7）成交供应商工作内容包含日常维护、布线整理、零配件及设备安装、维修（设备质保需成交供应商购买原厂质保）等服务，相关费用（包括加班等综合费用）包含在投标报价内。</w:t>
            </w:r>
          </w:p>
          <w:p>
            <w:p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8）设备零配件损坏不能再维修使用时（需甲方确认），征得甲方同意的情况下，在同等条件下优先采购成交供应商提供的零配件，成交供应商需提供设备零配件发票。</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服务考核表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376"/>
              <w:gridCol w:w="3146"/>
              <w:gridCol w:w="105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889"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要求及原则</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设置</w:t>
                  </w:r>
                </w:p>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分值</w:t>
                  </w:r>
                </w:p>
              </w:tc>
              <w:tc>
                <w:tcPr>
                  <w:tcW w:w="106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评分</w:t>
                  </w:r>
                </w:p>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889"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人员到岗</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驻点人员的到岗率，有无迟到早退，有无无故旷工</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877"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2889"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维修时效</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在设备出现故障后是否能及时有效的处理并维修完成，投入使用</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877"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2889"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日常保养维护</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设备日常保养维护作业，是否精细有效，是否保养得当</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15</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rPr>
              <w:tc>
                <w:tcPr>
                  <w:tcW w:w="877" w:type="dxa"/>
                  <w:vMerge w:val="restart"/>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2889" w:type="dxa"/>
                  <w:vMerge w:val="restart"/>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投诉情况</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接受到分院教师投诉的次数及内容</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25</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rPr>
              <w:tc>
                <w:tcPr>
                  <w:tcW w:w="877" w:type="dxa"/>
                  <w:vMerge w:val="continue"/>
                  <w:noWrap w:val="0"/>
                  <w:vAlign w:val="center"/>
                </w:tcPr>
                <w:p>
                  <w:pPr>
                    <w:spacing w:line="380" w:lineRule="exact"/>
                    <w:jc w:val="center"/>
                    <w:rPr>
                      <w:rFonts w:hint="eastAsia" w:ascii="宋体" w:hAnsi="宋体" w:cs="宋体"/>
                      <w:color w:val="auto"/>
                      <w:sz w:val="22"/>
                      <w:szCs w:val="22"/>
                      <w:highlight w:val="none"/>
                    </w:rPr>
                  </w:pPr>
                </w:p>
              </w:tc>
              <w:tc>
                <w:tcPr>
                  <w:tcW w:w="2889" w:type="dxa"/>
                  <w:vMerge w:val="continue"/>
                  <w:noWrap w:val="0"/>
                  <w:vAlign w:val="center"/>
                </w:tcPr>
                <w:p>
                  <w:pPr>
                    <w:spacing w:line="380" w:lineRule="exact"/>
                    <w:jc w:val="center"/>
                    <w:rPr>
                      <w:rFonts w:hint="eastAsia" w:ascii="宋体" w:hAnsi="宋体" w:cs="宋体"/>
                      <w:color w:val="auto"/>
                      <w:sz w:val="22"/>
                      <w:szCs w:val="22"/>
                      <w:highlight w:val="none"/>
                    </w:rPr>
                  </w:pP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接受到除分院教师外的教职工投诉的次数及内容</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rPr>
              <w:tc>
                <w:tcPr>
                  <w:tcW w:w="877"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889"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台账情况</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维护、维修、请假、加班等台账记录是否完整</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bl>
          <w:p>
            <w:pPr>
              <w:spacing w:line="380" w:lineRule="exact"/>
              <w:jc w:val="center"/>
              <w:rPr>
                <w:rFonts w:hint="eastAsia" w:ascii="宋体" w:hAnsi="宋体" w:cs="宋体"/>
                <w:color w:val="auto"/>
                <w:sz w:val="22"/>
                <w:szCs w:val="22"/>
                <w:highlight w:val="none"/>
              </w:rPr>
            </w:pPr>
          </w:p>
          <w:p>
            <w:pPr>
              <w:numPr>
                <w:ilvl w:val="3"/>
                <w:numId w:val="5"/>
              </w:numPr>
              <w:tabs>
                <w:tab w:val="left" w:pos="851"/>
                <w:tab w:val="clear" w:pos="2040"/>
              </w:tabs>
              <w:spacing w:line="380" w:lineRule="exact"/>
              <w:ind w:left="85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服务考核由学校组织人员对成交供应商进行考核，90分为考核合格标准。</w:t>
            </w:r>
          </w:p>
          <w:p>
            <w:pPr>
              <w:numPr>
                <w:ilvl w:val="3"/>
                <w:numId w:val="5"/>
              </w:numPr>
              <w:tabs>
                <w:tab w:val="left" w:pos="851"/>
                <w:tab w:val="clear" w:pos="2040"/>
              </w:tabs>
              <w:spacing w:line="380" w:lineRule="exact"/>
              <w:ind w:left="85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考核次数为每月一次；月均考核分值为当季3次考核的平均值。</w:t>
            </w:r>
          </w:p>
          <w:p>
            <w:pPr>
              <w:numPr>
                <w:ilvl w:val="3"/>
                <w:numId w:val="5"/>
              </w:numPr>
              <w:tabs>
                <w:tab w:val="left" w:pos="851"/>
                <w:tab w:val="clear" w:pos="2040"/>
              </w:tabs>
              <w:spacing w:line="380" w:lineRule="exact"/>
              <w:ind w:left="85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月均考核分值在90分（含）以上，学校向成交供应商全额支付服务款项；月均考核分值在80分（含）-90分，学校扣除该5%的该支付服务款项；月均考核分值在70分（含）-80分，学校扣除10%的该支付服务款项；月均考核分值在70分以下，学校扣除25%的该支付服务款项；扣除款项在当季该支付款项中直接扣除。</w:t>
            </w:r>
          </w:p>
          <w:p>
            <w:pPr>
              <w:numPr>
                <w:ilvl w:val="3"/>
                <w:numId w:val="5"/>
              </w:numPr>
              <w:tabs>
                <w:tab w:val="left" w:pos="851"/>
                <w:tab w:val="clear" w:pos="2040"/>
              </w:tabs>
              <w:spacing w:line="380" w:lineRule="exact"/>
              <w:ind w:left="851"/>
              <w:jc w:val="left"/>
              <w:rPr>
                <w:rFonts w:ascii="宋体" w:hAnsi="宋体" w:cs="宋体"/>
                <w:color w:val="auto"/>
                <w:sz w:val="22"/>
                <w:szCs w:val="22"/>
                <w:highlight w:val="none"/>
              </w:rPr>
            </w:pPr>
            <w:r>
              <w:rPr>
                <w:rFonts w:hint="eastAsia" w:ascii="宋体" w:hAnsi="宋体" w:cs="宋体"/>
                <w:color w:val="auto"/>
                <w:sz w:val="22"/>
                <w:szCs w:val="22"/>
                <w:highlight w:val="none"/>
              </w:rPr>
              <w:t>成交供应商如月均考分值在70分（不含）以下次数达到两次，学校有权单方面解除合同，并向成交供应商要求赔偿损失。</w:t>
            </w:r>
          </w:p>
          <w:p>
            <w:pPr>
              <w:numPr>
                <w:ilvl w:val="3"/>
                <w:numId w:val="5"/>
              </w:numPr>
              <w:tabs>
                <w:tab w:val="left" w:pos="851"/>
                <w:tab w:val="clear" w:pos="2040"/>
              </w:tabs>
              <w:spacing w:line="380" w:lineRule="exact"/>
              <w:ind w:left="85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具体考核标准与供应商协商后，可适当调整。</w:t>
            </w:r>
          </w:p>
          <w:p>
            <w:pPr>
              <w:rPr>
                <w:rFonts w:hint="eastAsia"/>
                <w:color w:val="auto"/>
                <w:highlight w:val="none"/>
                <w:vertAlign w:val="baseline"/>
                <w:lang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41514"/>
    <w:multiLevelType w:val="singleLevel"/>
    <w:tmpl w:val="AD641514"/>
    <w:lvl w:ilvl="0" w:tentative="0">
      <w:start w:val="2"/>
      <w:numFmt w:val="decimal"/>
      <w:suff w:val="space"/>
      <w:lvlText w:val="%1."/>
      <w:lvlJc w:val="left"/>
    </w:lvl>
  </w:abstractNum>
  <w:abstractNum w:abstractNumId="1">
    <w:nsid w:val="0000000A"/>
    <w:multiLevelType w:val="singleLevel"/>
    <w:tmpl w:val="0000000A"/>
    <w:lvl w:ilvl="0" w:tentative="0">
      <w:start w:val="3"/>
      <w:numFmt w:val="chineseCounting"/>
      <w:suff w:val="nothing"/>
      <w:lvlText w:val="%1、"/>
      <w:lvlJc w:val="left"/>
      <w:rPr>
        <w:rFonts w:hint="eastAsia"/>
      </w:rPr>
    </w:lvl>
  </w:abstractNum>
  <w:abstractNum w:abstractNumId="2">
    <w:nsid w:val="21A02BDB"/>
    <w:multiLevelType w:val="multilevel"/>
    <w:tmpl w:val="21A02BDB"/>
    <w:lvl w:ilvl="0" w:tentative="0">
      <w:start w:val="1"/>
      <w:numFmt w:val="upperLetter"/>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30C5F09C"/>
    <w:multiLevelType w:val="singleLevel"/>
    <w:tmpl w:val="30C5F09C"/>
    <w:lvl w:ilvl="0" w:tentative="0">
      <w:start w:val="1"/>
      <w:numFmt w:val="decimal"/>
      <w:suff w:val="nothing"/>
      <w:lvlText w:val="%1）"/>
      <w:lvlJc w:val="left"/>
      <w:pPr>
        <w:ind w:left="210"/>
      </w:pPr>
    </w:lvl>
  </w:abstractNum>
  <w:abstractNum w:abstractNumId="4">
    <w:nsid w:val="38AF5FE7"/>
    <w:multiLevelType w:val="multilevel"/>
    <w:tmpl w:val="38AF5FE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FE7B152"/>
    <w:multiLevelType w:val="singleLevel"/>
    <w:tmpl w:val="3FE7B152"/>
    <w:lvl w:ilvl="0" w:tentative="0">
      <w:start w:val="2"/>
      <w:numFmt w:val="chineseCounting"/>
      <w:suff w:val="space"/>
      <w:lvlText w:val="%1、"/>
      <w:lvlJc w:val="left"/>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77525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utoSpaceDE w:val="0"/>
      <w:autoSpaceDN w:val="0"/>
      <w:adjustRightInd w:val="0"/>
      <w:ind w:firstLine="420" w:firstLineChars="100"/>
      <w:jc w:val="left"/>
    </w:pPr>
    <w:rPr>
      <w:rFonts w:ascii="仿宋_GB2312"/>
      <w:b/>
      <w:kern w:val="0"/>
      <w:sz w:val="32"/>
      <w:szCs w:val="32"/>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2023-01-06T06:37:05Z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2646D23C99EB42EBA7CE4A2FF5D91864</vt:lpwstr>
  </property>
</Properties>
</file>