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7"/>
        <w:tblW w:w="9267" w:type="dxa"/>
        <w:jc w:val="center"/>
        <w:tblLayout w:type="fixed"/>
        <w:tblCellMar>
          <w:top w:w="0" w:type="dxa"/>
          <w:left w:w="108" w:type="dxa"/>
          <w:bottom w:w="0" w:type="dxa"/>
          <w:right w:w="108" w:type="dxa"/>
        </w:tblCellMar>
      </w:tblPr>
      <w:tblGrid>
        <w:gridCol w:w="1038"/>
        <w:gridCol w:w="2756"/>
        <w:gridCol w:w="1480"/>
        <w:gridCol w:w="2060"/>
        <w:gridCol w:w="1933"/>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adjustRightInd/>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序号</w:t>
            </w:r>
          </w:p>
        </w:tc>
        <w:tc>
          <w:tcPr>
            <w:tcW w:w="27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项目内容</w:t>
            </w:r>
          </w:p>
        </w:tc>
        <w:tc>
          <w:tcPr>
            <w:tcW w:w="148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数量 </w:t>
            </w:r>
          </w:p>
        </w:tc>
        <w:tc>
          <w:tcPr>
            <w:tcW w:w="206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单份固定预算金额（元）</w:t>
            </w:r>
          </w:p>
        </w:tc>
        <w:tc>
          <w:tcPr>
            <w:tcW w:w="193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adjustRightInd/>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75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highlight w:val="none"/>
                <w:lang w:eastAsia="zh-CN"/>
              </w:rPr>
            </w:pPr>
            <w:r>
              <w:rPr>
                <w:rFonts w:hint="eastAsia"/>
                <w:color w:val="auto"/>
                <w:highlight w:val="none"/>
                <w:lang w:eastAsia="zh-CN"/>
              </w:rPr>
              <w:t>202</w:t>
            </w:r>
            <w:r>
              <w:rPr>
                <w:rFonts w:hint="eastAsia"/>
                <w:color w:val="auto"/>
                <w:highlight w:val="none"/>
                <w:lang w:val="en-US" w:eastAsia="zh-CN"/>
              </w:rPr>
              <w:t>3</w:t>
            </w:r>
            <w:r>
              <w:rPr>
                <w:rFonts w:hint="eastAsia"/>
                <w:color w:val="auto"/>
                <w:highlight w:val="none"/>
                <w:lang w:eastAsia="zh-CN"/>
              </w:rPr>
              <w:t>年</w:t>
            </w:r>
            <w:r>
              <w:rPr>
                <w:rFonts w:hint="eastAsia"/>
                <w:color w:val="auto"/>
                <w:highlight w:val="none"/>
                <w:lang w:val="en-US" w:eastAsia="zh-CN"/>
              </w:rPr>
              <w:t>端午</w:t>
            </w:r>
            <w:r>
              <w:rPr>
                <w:rFonts w:hint="eastAsia"/>
                <w:color w:val="auto"/>
                <w:highlight w:val="none"/>
                <w:lang w:eastAsia="zh-CN"/>
              </w:rPr>
              <w:t>节慰问品</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 w:val="22"/>
                <w:szCs w:val="22"/>
                <w:highlight w:val="none"/>
                <w:lang w:val="en-US"/>
              </w:rPr>
            </w:pPr>
            <w:r>
              <w:rPr>
                <w:rFonts w:hint="eastAsia" w:ascii="宋体" w:hAnsi="宋体"/>
                <w:color w:val="auto"/>
                <w:spacing w:val="-6"/>
                <w:sz w:val="22"/>
                <w:szCs w:val="22"/>
                <w:highlight w:val="none"/>
              </w:rPr>
              <w:t>约</w:t>
            </w:r>
            <w:r>
              <w:rPr>
                <w:rFonts w:hint="eastAsia" w:ascii="宋体" w:hAnsi="宋体"/>
                <w:color w:val="auto"/>
                <w:spacing w:val="-6"/>
                <w:sz w:val="22"/>
                <w:szCs w:val="22"/>
                <w:highlight w:val="none"/>
                <w:lang w:val="en-US" w:eastAsia="zh-CN"/>
              </w:rPr>
              <w:t>490份</w:t>
            </w:r>
          </w:p>
        </w:tc>
        <w:tc>
          <w:tcPr>
            <w:tcW w:w="20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color w:val="auto"/>
                <w:spacing w:val="-6"/>
                <w:sz w:val="22"/>
                <w:szCs w:val="22"/>
                <w:highlight w:val="none"/>
                <w:lang w:val="en-US" w:eastAsia="zh-CN"/>
              </w:rPr>
              <w:t>200</w:t>
            </w:r>
            <w:r>
              <w:rPr>
                <w:rFonts w:hint="eastAsia" w:ascii="宋体" w:hAnsi="宋体"/>
                <w:color w:val="auto"/>
                <w:spacing w:val="-6"/>
                <w:sz w:val="22"/>
                <w:szCs w:val="22"/>
                <w:highlight w:val="none"/>
              </w:rPr>
              <w:t>（含税）</w:t>
            </w:r>
          </w:p>
        </w:tc>
        <w:tc>
          <w:tcPr>
            <w:tcW w:w="19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具体人数按实际为准</w:t>
            </w:r>
          </w:p>
        </w:tc>
      </w:tr>
      <w:tr>
        <w:tblPrEx>
          <w:tblCellMar>
            <w:top w:w="0" w:type="dxa"/>
            <w:left w:w="108" w:type="dxa"/>
            <w:bottom w:w="0" w:type="dxa"/>
            <w:right w:w="108" w:type="dxa"/>
          </w:tblCellMar>
        </w:tblPrEx>
        <w:trPr>
          <w:trHeight w:val="454" w:hRule="atLeast"/>
          <w:jc w:val="center"/>
        </w:trPr>
        <w:tc>
          <w:tcPr>
            <w:tcW w:w="9267" w:type="dxa"/>
            <w:gridSpan w:val="5"/>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olor w:val="auto"/>
                <w:spacing w:val="-6"/>
                <w:sz w:val="22"/>
                <w:szCs w:val="22"/>
                <w:highlight w:val="none"/>
                <w:lang w:val="en-US" w:eastAsia="zh-CN"/>
              </w:rPr>
            </w:pPr>
            <w:r>
              <w:rPr>
                <w:rFonts w:hint="eastAsia" w:ascii="宋体" w:hAnsi="宋体" w:eastAsia="宋体" w:cs="宋体"/>
                <w:b w:val="0"/>
                <w:color w:val="auto"/>
                <w:kern w:val="2"/>
                <w:sz w:val="22"/>
                <w:szCs w:val="22"/>
                <w:highlight w:val="none"/>
                <w:u w:val="none"/>
                <w:lang w:val="en-US" w:eastAsia="zh-CN" w:bidi="ar-SA"/>
              </w:rPr>
              <w:t>备注：实际金额按固定单价*实际购买份数结算。</w:t>
            </w:r>
          </w:p>
        </w:tc>
      </w:tr>
    </w:tbl>
    <w:p>
      <w:pPr>
        <w:spacing w:line="360" w:lineRule="exact"/>
        <w:outlineLvl w:val="0"/>
        <w:rPr>
          <w:rFonts w:ascii="宋体" w:hAnsi="宋体" w:cs="宋体"/>
          <w:b/>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color w:val="auto"/>
          <w:spacing w:val="-6"/>
          <w:sz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u w:val="single"/>
              </w:rPr>
              <w:t>▲履约保证金及付款条件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Cs/>
                <w:snapToGrid w:val="0"/>
                <w:color w:val="auto"/>
                <w:kern w:val="0"/>
                <w:sz w:val="22"/>
                <w:szCs w:val="22"/>
                <w:highlight w:val="none"/>
                <w:u w:val="single"/>
                <w:lang w:eastAsia="zh-CN"/>
              </w:rPr>
            </w:pPr>
            <w:r>
              <w:rPr>
                <w:rFonts w:hint="eastAsia" w:ascii="宋体" w:hAnsi="宋体" w:cs="宋体"/>
                <w:bCs/>
                <w:snapToGrid w:val="0"/>
                <w:color w:val="auto"/>
                <w:kern w:val="0"/>
                <w:sz w:val="22"/>
                <w:szCs w:val="22"/>
                <w:highlight w:val="none"/>
                <w:u w:val="single"/>
              </w:rPr>
              <w:t>履约保证金：</w:t>
            </w:r>
            <w:r>
              <w:rPr>
                <w:rFonts w:hint="eastAsia" w:ascii="宋体" w:hAnsi="宋体" w:cs="宋体"/>
                <w:bCs/>
                <w:snapToGrid w:val="0"/>
                <w:color w:val="auto"/>
                <w:kern w:val="0"/>
                <w:sz w:val="22"/>
                <w:szCs w:val="22"/>
                <w:highlight w:val="none"/>
                <w:u w:val="single"/>
                <w:lang w:eastAsia="zh-CN"/>
              </w:rPr>
              <w:t>不收取。</w:t>
            </w:r>
          </w:p>
          <w:p>
            <w:pPr>
              <w:spacing w:line="360" w:lineRule="auto"/>
              <w:jc w:val="left"/>
              <w:rPr>
                <w:rFonts w:hint="eastAsia" w:ascii="宋体" w:hAnsi="宋体" w:cs="宋体"/>
                <w:bCs/>
                <w:color w:val="auto"/>
                <w:sz w:val="22"/>
                <w:szCs w:val="22"/>
                <w:highlight w:val="none"/>
                <w:u w:val="single"/>
              </w:rPr>
            </w:pPr>
            <w:r>
              <w:rPr>
                <w:rFonts w:hint="eastAsia" w:ascii="宋体" w:hAnsi="宋体" w:cs="宋体"/>
                <w:bCs/>
                <w:snapToGrid w:val="0"/>
                <w:color w:val="auto"/>
                <w:kern w:val="0"/>
                <w:sz w:val="22"/>
                <w:szCs w:val="22"/>
                <w:highlight w:val="none"/>
                <w:u w:val="single"/>
              </w:rPr>
              <w:t>付款条件：</w:t>
            </w:r>
            <w:r>
              <w:rPr>
                <w:rFonts w:hint="eastAsia" w:ascii="宋体" w:hAnsi="宋体" w:cs="宋体"/>
                <w:color w:val="auto"/>
                <w:sz w:val="22"/>
                <w:szCs w:val="22"/>
                <w:highlight w:val="none"/>
                <w:u w:val="single"/>
                <w:lang w:eastAsia="zh-CN"/>
              </w:rPr>
              <w:t>乙方</w:t>
            </w:r>
            <w:r>
              <w:rPr>
                <w:rFonts w:hint="eastAsia" w:ascii="宋体" w:hAnsi="宋体" w:cs="宋体"/>
                <w:color w:val="auto"/>
                <w:sz w:val="22"/>
                <w:szCs w:val="22"/>
                <w:highlight w:val="none"/>
                <w:u w:val="single"/>
              </w:rPr>
              <w:t>完成全部供货及装箱、分发等服务，通过</w:t>
            </w:r>
            <w:r>
              <w:rPr>
                <w:rFonts w:hint="eastAsia" w:ascii="宋体" w:hAnsi="宋体" w:cs="宋体"/>
                <w:color w:val="auto"/>
                <w:sz w:val="22"/>
                <w:szCs w:val="22"/>
                <w:highlight w:val="none"/>
                <w:u w:val="single"/>
                <w:lang w:eastAsia="zh-CN"/>
              </w:rPr>
              <w:t>甲方</w:t>
            </w:r>
            <w:r>
              <w:rPr>
                <w:rFonts w:hint="eastAsia" w:ascii="宋体" w:hAnsi="宋体" w:cs="宋体"/>
                <w:color w:val="auto"/>
                <w:sz w:val="22"/>
                <w:szCs w:val="22"/>
                <w:highlight w:val="none"/>
                <w:u w:val="single"/>
              </w:rPr>
              <w:t>验收确认后，</w:t>
            </w:r>
            <w:r>
              <w:rPr>
                <w:rFonts w:hint="eastAsia" w:ascii="宋体" w:hAnsi="宋体" w:cs="宋体"/>
                <w:color w:val="auto"/>
                <w:sz w:val="22"/>
                <w:szCs w:val="22"/>
                <w:highlight w:val="none"/>
                <w:u w:val="single"/>
                <w:lang w:val="en-US" w:eastAsia="zh-CN"/>
              </w:rPr>
              <w:t>按合同约定开具足额正规</w:t>
            </w:r>
            <w:r>
              <w:rPr>
                <w:rFonts w:hint="eastAsia" w:ascii="宋体" w:hAnsi="宋体" w:cs="宋体"/>
                <w:color w:val="auto"/>
                <w:sz w:val="22"/>
                <w:szCs w:val="22"/>
                <w:highlight w:val="none"/>
                <w:u w:val="single"/>
              </w:rPr>
              <w:t>发票，</w:t>
            </w:r>
            <w:r>
              <w:rPr>
                <w:rFonts w:hint="eastAsia" w:ascii="宋体" w:hAnsi="宋体" w:cs="宋体"/>
                <w:color w:val="auto"/>
                <w:sz w:val="22"/>
                <w:szCs w:val="22"/>
                <w:highlight w:val="none"/>
                <w:u w:val="single"/>
                <w:lang w:eastAsia="zh-CN"/>
              </w:rPr>
              <w:t>甲方</w:t>
            </w:r>
            <w:r>
              <w:rPr>
                <w:rFonts w:hint="eastAsia" w:ascii="宋体" w:hAnsi="宋体" w:cs="宋体"/>
                <w:color w:val="auto"/>
                <w:sz w:val="22"/>
                <w:szCs w:val="22"/>
                <w:highlight w:val="none"/>
                <w:u w:val="single"/>
              </w:rPr>
              <w:t>入库报销后15个工作日内，</w:t>
            </w:r>
            <w:r>
              <w:rPr>
                <w:rFonts w:hint="eastAsia" w:ascii="宋体" w:hAnsi="宋体" w:cs="宋体"/>
                <w:color w:val="auto"/>
                <w:sz w:val="22"/>
                <w:szCs w:val="22"/>
                <w:highlight w:val="none"/>
                <w:u w:val="single"/>
                <w:lang w:eastAsia="zh-CN"/>
              </w:rPr>
              <w:t>甲方</w:t>
            </w:r>
            <w:r>
              <w:rPr>
                <w:rFonts w:hint="eastAsia" w:ascii="宋体" w:hAnsi="宋体" w:cs="宋体"/>
                <w:color w:val="auto"/>
                <w:sz w:val="22"/>
                <w:szCs w:val="22"/>
                <w:highlight w:val="none"/>
                <w:u w:val="single"/>
              </w:rPr>
              <w:t>向</w:t>
            </w:r>
            <w:r>
              <w:rPr>
                <w:rFonts w:hint="eastAsia" w:ascii="宋体" w:hAnsi="宋体" w:cs="宋体"/>
                <w:color w:val="auto"/>
                <w:sz w:val="22"/>
                <w:szCs w:val="22"/>
                <w:highlight w:val="none"/>
                <w:u w:val="single"/>
                <w:lang w:eastAsia="zh-CN"/>
              </w:rPr>
              <w:t>乙方</w:t>
            </w:r>
            <w:r>
              <w:rPr>
                <w:rFonts w:hint="eastAsia" w:ascii="宋体" w:hAnsi="宋体" w:cs="宋体"/>
                <w:color w:val="auto"/>
                <w:sz w:val="22"/>
                <w:szCs w:val="22"/>
                <w:highlight w:val="none"/>
                <w:u w:val="single"/>
              </w:rPr>
              <w:t>支付100%合同价款。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交货要求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1、为每份慰问品提供</w:t>
            </w:r>
            <w:r>
              <w:rPr>
                <w:rFonts w:hint="eastAsia" w:ascii="宋体" w:hAnsi="宋体" w:cs="宋体"/>
                <w:strike w:val="0"/>
                <w:dstrike w:val="0"/>
                <w:color w:val="auto"/>
                <w:sz w:val="22"/>
                <w:szCs w:val="22"/>
                <w:highlight w:val="none"/>
                <w:lang w:val="en-US" w:eastAsia="zh-CN"/>
              </w:rPr>
              <w:t>结实的</w:t>
            </w:r>
            <w:r>
              <w:rPr>
                <w:rFonts w:hint="eastAsia" w:ascii="宋体" w:hAnsi="宋体" w:eastAsia="宋体" w:cs="宋体"/>
                <w:color w:val="auto"/>
                <w:sz w:val="22"/>
                <w:szCs w:val="22"/>
                <w:highlight w:val="none"/>
              </w:rPr>
              <w:t>包装袋或包装箱，并按份装好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不得出现袋（箱）破漏、物品散落情况</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预计</w:t>
            </w:r>
            <w:r>
              <w:rPr>
                <w:rFonts w:hint="eastAsia" w:ascii="宋体" w:hAnsi="宋体" w:eastAsia="宋体" w:cs="宋体"/>
                <w:color w:val="auto"/>
                <w:sz w:val="22"/>
                <w:szCs w:val="22"/>
                <w:highlight w:val="none"/>
                <w:lang w:val="en-US" w:eastAsia="zh-CN"/>
              </w:rPr>
              <w:t>2023年</w:t>
            </w:r>
            <w:r>
              <w:rPr>
                <w:rFonts w:hint="eastAsia" w:ascii="宋体" w:hAnsi="宋体" w:cs="宋体"/>
                <w:color w:val="auto"/>
                <w:sz w:val="22"/>
                <w:szCs w:val="22"/>
                <w:highlight w:val="none"/>
                <w:lang w:val="en-US" w:eastAsia="zh-CN"/>
              </w:rPr>
              <w:t>6月12日（具体日期以校方要求为准）前</w:t>
            </w:r>
            <w:r>
              <w:rPr>
                <w:rFonts w:hint="eastAsia" w:ascii="宋体" w:hAnsi="宋体" w:eastAsia="宋体" w:cs="宋体"/>
                <w:color w:val="auto"/>
                <w:sz w:val="22"/>
                <w:szCs w:val="22"/>
                <w:highlight w:val="none"/>
              </w:rPr>
              <w:t>运送至指定地点(浙江安防职业技术学院)，供货时至少安排2名工作人员协助</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进行分发、登记工作</w:t>
            </w:r>
            <w:r>
              <w:rPr>
                <w:rFonts w:hint="eastAsia" w:ascii="宋体" w:hAnsi="宋体" w:eastAsia="宋体" w:cs="宋体"/>
                <w:color w:val="auto"/>
                <w:sz w:val="22"/>
                <w:szCs w:val="22"/>
                <w:highlight w:val="none"/>
                <w:lang w:eastAsia="zh-CN"/>
              </w:rPr>
              <w:t>。</w:t>
            </w:r>
          </w:p>
        </w:tc>
      </w:tr>
    </w:tbl>
    <w:p>
      <w:pPr>
        <w:numPr>
          <w:ilvl w:val="0"/>
          <w:numId w:val="1"/>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0"/>
              <w:rPr>
                <w:rFonts w:hint="eastAsia"/>
                <w:color w:val="auto"/>
                <w:sz w:val="22"/>
                <w:szCs w:val="22"/>
                <w:highlight w:val="none"/>
              </w:rPr>
            </w:pPr>
            <w:r>
              <w:rPr>
                <w:rFonts w:hint="eastAsia"/>
                <w:color w:val="auto"/>
                <w:sz w:val="22"/>
                <w:szCs w:val="22"/>
                <w:highlight w:val="none"/>
                <w:lang w:val="en-US" w:eastAsia="zh-CN"/>
              </w:rPr>
              <w:t>1.根据金额，应至少提供二个配置方案套餐；在每个方案套餐中，粽子不少于4个，至少有一样产品是为安防学院十周年庆定制。允许另有赠品。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0"/>
              <w:rPr>
                <w:rFonts w:hint="eastAsia"/>
                <w:color w:val="auto"/>
                <w:sz w:val="22"/>
                <w:szCs w:val="22"/>
                <w:highlight w:val="none"/>
              </w:rPr>
            </w:pPr>
            <w:r>
              <w:rPr>
                <w:rFonts w:hint="eastAsia"/>
                <w:color w:val="auto"/>
                <w:sz w:val="22"/>
                <w:szCs w:val="22"/>
                <w:highlight w:val="none"/>
                <w:lang w:val="en-US" w:eastAsia="zh-CN"/>
              </w:rPr>
              <w:t>2.</w:t>
            </w:r>
            <w:r>
              <w:rPr>
                <w:rFonts w:hint="eastAsia" w:ascii="宋体" w:hAnsi="宋体" w:cs="宋体"/>
                <w:b/>
                <w:color w:val="auto"/>
                <w:spacing w:val="-6"/>
                <w:sz w:val="22"/>
                <w:highlight w:val="none"/>
              </w:rPr>
              <w:t>▲</w:t>
            </w:r>
            <w:r>
              <w:rPr>
                <w:rFonts w:hint="eastAsia"/>
                <w:color w:val="auto"/>
                <w:sz w:val="22"/>
                <w:szCs w:val="22"/>
                <w:highlight w:val="none"/>
                <w:u w:val="single"/>
                <w:lang w:val="en-US" w:eastAsia="zh-CN"/>
              </w:rPr>
              <w:t>粽子必须是真空包装，至少还可存放一周以上</w:t>
            </w:r>
            <w:r>
              <w:rPr>
                <w:rFonts w:hint="eastAsia"/>
                <w:color w:val="auto"/>
                <w:sz w:val="22"/>
                <w:szCs w:val="22"/>
                <w:highlight w:val="none"/>
                <w:lang w:val="en-US" w:eastAsia="zh-CN"/>
              </w:rPr>
              <w:t>；</w:t>
            </w:r>
            <w:r>
              <w:rPr>
                <w:rFonts w:hint="eastAsia" w:ascii="宋体" w:hAnsi="宋体" w:eastAsia="宋体" w:cs="宋体"/>
                <w:b w:val="0"/>
                <w:bCs w:val="0"/>
                <w:color w:val="auto"/>
                <w:sz w:val="22"/>
                <w:szCs w:val="22"/>
                <w:highlight w:val="none"/>
              </w:rPr>
              <w:t>所有产品</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含赠品</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保证</w:t>
            </w:r>
            <w:r>
              <w:rPr>
                <w:rFonts w:hint="eastAsia" w:ascii="宋体" w:hAnsi="宋体" w:cs="宋体"/>
                <w:b w:val="0"/>
                <w:bCs w:val="0"/>
                <w:color w:val="auto"/>
                <w:sz w:val="22"/>
                <w:szCs w:val="22"/>
                <w:highlight w:val="none"/>
                <w:lang w:val="en-US" w:eastAsia="zh-CN"/>
              </w:rPr>
              <w:t>全新正品</w:t>
            </w:r>
            <w:r>
              <w:rPr>
                <w:rFonts w:hint="eastAsia" w:ascii="宋体" w:hAnsi="宋体" w:eastAsia="宋体" w:cs="宋体"/>
                <w:b w:val="0"/>
                <w:bCs w:val="0"/>
                <w:color w:val="auto"/>
                <w:sz w:val="22"/>
                <w:szCs w:val="22"/>
                <w:highlight w:val="none"/>
              </w:rPr>
              <w:t>，至少保留三分之二以上保质期</w:t>
            </w:r>
            <w:r>
              <w:rPr>
                <w:rFonts w:hint="eastAsia" w:ascii="宋体" w:hAnsi="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无受潮、破损、挤压等相关质量问题</w:t>
            </w:r>
            <w:r>
              <w:rPr>
                <w:rFonts w:hint="eastAsia" w:ascii="宋体" w:hAnsi="宋体" w:cs="宋体"/>
                <w:b w:val="0"/>
                <w:bCs w:val="0"/>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0"/>
              <w:rPr>
                <w:rFonts w:hint="eastAsia"/>
                <w:color w:val="auto"/>
                <w:sz w:val="22"/>
                <w:szCs w:val="22"/>
                <w:highlight w:val="none"/>
              </w:rPr>
            </w:pPr>
            <w:r>
              <w:rPr>
                <w:rFonts w:hint="eastAsia" w:ascii="宋体" w:hAnsi="宋体" w:cs="宋体"/>
                <w:color w:val="auto"/>
                <w:sz w:val="22"/>
                <w:szCs w:val="22"/>
                <w:highlight w:val="none"/>
                <w:lang w:val="en-US" w:eastAsia="zh-CN"/>
              </w:rPr>
              <w:t>3.</w:t>
            </w:r>
            <w:r>
              <w:rPr>
                <w:rFonts w:hint="eastAsia"/>
                <w:color w:val="auto"/>
                <w:sz w:val="22"/>
                <w:szCs w:val="22"/>
                <w:highlight w:val="none"/>
                <w:lang w:val="en-US" w:eastAsia="zh-CN"/>
              </w:rPr>
              <w:t>中标后由教工在二个套餐方案中任选一种。</w:t>
            </w:r>
            <w:r>
              <w:rPr>
                <w:rFonts w:hint="eastAsia" w:ascii="宋体" w:hAnsi="宋体" w:eastAsia="宋体" w:cs="宋体"/>
                <w:color w:val="auto"/>
                <w:sz w:val="22"/>
                <w:szCs w:val="22"/>
                <w:highlight w:val="none"/>
              </w:rPr>
              <w:t>供应商</w:t>
            </w:r>
            <w:r>
              <w:rPr>
                <w:rFonts w:hint="eastAsia" w:ascii="宋体" w:hAnsi="宋体" w:cs="宋体"/>
                <w:color w:val="auto"/>
                <w:sz w:val="22"/>
                <w:szCs w:val="22"/>
                <w:highlight w:val="none"/>
                <w:lang w:val="en-US" w:eastAsia="zh-CN"/>
              </w:rPr>
              <w:t>应将</w:t>
            </w:r>
            <w:r>
              <w:rPr>
                <w:rFonts w:hint="eastAsia" w:ascii="宋体" w:hAnsi="宋体" w:eastAsia="宋体" w:cs="宋体"/>
                <w:color w:val="auto"/>
                <w:sz w:val="22"/>
                <w:szCs w:val="22"/>
                <w:highlight w:val="none"/>
              </w:rPr>
              <w:t>每份商品包装好</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包装要有安防学院LOGO</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预计在6月12日左右送达浙江安防职业技术学院指定地点</w:t>
            </w:r>
            <w:r>
              <w:rPr>
                <w:rFonts w:hint="eastAsia" w:ascii="宋体" w:hAnsi="宋体" w:eastAsia="宋体" w:cs="宋体"/>
                <w:color w:val="auto"/>
                <w:sz w:val="22"/>
                <w:szCs w:val="22"/>
                <w:highlight w:val="none"/>
              </w:rPr>
              <w:t>分发。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w:t>
            </w:r>
            <w:r>
              <w:rPr>
                <w:rFonts w:hint="eastAsia" w:ascii="宋体" w:hAnsi="宋体" w:cs="宋体"/>
                <w:b/>
                <w:color w:val="auto"/>
                <w:spacing w:val="-6"/>
                <w:sz w:val="22"/>
                <w:highlight w:val="none"/>
                <w:u w:val="single"/>
              </w:rPr>
              <w:t>▲</w:t>
            </w:r>
            <w:r>
              <w:rPr>
                <w:rFonts w:hint="eastAsia" w:ascii="宋体" w:hAnsi="宋体" w:eastAsia="宋体" w:cs="宋体"/>
                <w:b w:val="0"/>
                <w:bCs w:val="0"/>
                <w:color w:val="auto"/>
                <w:sz w:val="22"/>
                <w:szCs w:val="22"/>
                <w:highlight w:val="none"/>
                <w:u w:val="single"/>
              </w:rPr>
              <w:t>一经发现</w:t>
            </w:r>
            <w:r>
              <w:rPr>
                <w:rFonts w:hint="eastAsia" w:ascii="宋体" w:hAnsi="宋体" w:cs="宋体"/>
                <w:b w:val="0"/>
                <w:bCs w:val="0"/>
                <w:color w:val="auto"/>
                <w:sz w:val="22"/>
                <w:szCs w:val="22"/>
                <w:highlight w:val="none"/>
                <w:u w:val="single"/>
                <w:lang w:val="en-US" w:eastAsia="zh-CN"/>
              </w:rPr>
              <w:t>产品质量问题</w:t>
            </w:r>
            <w:r>
              <w:rPr>
                <w:rFonts w:hint="eastAsia" w:ascii="宋体" w:hAnsi="宋体" w:eastAsia="宋体" w:cs="宋体"/>
                <w:b w:val="0"/>
                <w:bCs w:val="0"/>
                <w:color w:val="auto"/>
                <w:sz w:val="22"/>
                <w:szCs w:val="22"/>
                <w:highlight w:val="none"/>
                <w:u w:val="single"/>
              </w:rPr>
              <w:t>，无条件退换，问题严重的将终止供货，由此造成的全部经济损失及责任由</w:t>
            </w:r>
            <w:r>
              <w:rPr>
                <w:rFonts w:hint="eastAsia" w:ascii="宋体" w:hAnsi="宋体" w:eastAsia="宋体" w:cs="宋体"/>
                <w:b w:val="0"/>
                <w:bCs w:val="0"/>
                <w:color w:val="auto"/>
                <w:sz w:val="22"/>
                <w:szCs w:val="22"/>
                <w:highlight w:val="none"/>
                <w:u w:val="single"/>
                <w:lang w:val="en-US" w:eastAsia="zh-CN"/>
              </w:rPr>
              <w:t>成交供应商</w:t>
            </w:r>
            <w:r>
              <w:rPr>
                <w:rFonts w:hint="eastAsia" w:ascii="宋体" w:hAnsi="宋体" w:eastAsia="宋体" w:cs="宋体"/>
                <w:b w:val="0"/>
                <w:bCs w:val="0"/>
                <w:color w:val="auto"/>
                <w:sz w:val="22"/>
                <w:szCs w:val="22"/>
                <w:highlight w:val="none"/>
                <w:u w:val="single"/>
              </w:rPr>
              <w:t>承担</w:t>
            </w:r>
            <w:r>
              <w:rPr>
                <w:rFonts w:hint="eastAsia" w:ascii="宋体" w:hAnsi="宋体" w:eastAsia="宋体" w:cs="宋体"/>
                <w:b w:val="0"/>
                <w:bCs w:val="0"/>
                <w:color w:val="auto"/>
                <w:sz w:val="22"/>
                <w:szCs w:val="22"/>
                <w:highlight w:val="none"/>
                <w:lang w:eastAsia="zh-CN"/>
              </w:rPr>
              <w:t>。</w:t>
            </w:r>
          </w:p>
          <w:p>
            <w:pPr>
              <w:pStyle w:val="6"/>
              <w:rPr>
                <w:rFonts w:hint="eastAsia" w:ascii="宋体" w:hAnsi="宋体" w:eastAsia="宋体" w:cs="宋体"/>
                <w:b w:val="0"/>
                <w:bCs w:val="0"/>
                <w:color w:val="auto"/>
                <w:sz w:val="22"/>
                <w:szCs w:val="22"/>
                <w:highlight w:val="none"/>
                <w:lang w:eastAsia="zh-CN"/>
              </w:rPr>
            </w:pPr>
          </w:p>
          <w:p>
            <w:pPr>
              <w:rPr>
                <w:rFonts w:hint="eastAsia" w:ascii="宋体" w:hAnsi="宋体" w:eastAsia="宋体" w:cs="宋体"/>
                <w:b w:val="0"/>
                <w:bCs w:val="0"/>
                <w:color w:val="auto"/>
                <w:sz w:val="22"/>
                <w:szCs w:val="22"/>
                <w:highlight w:val="none"/>
                <w:lang w:eastAsia="zh-CN"/>
              </w:rPr>
            </w:pPr>
          </w:p>
          <w:p>
            <w:pPr>
              <w:rPr>
                <w:rFonts w:hint="eastAsia" w:ascii="宋体" w:hAnsi="宋体" w:eastAsia="宋体" w:cs="宋体"/>
                <w:b w:val="0"/>
                <w:bCs w:val="0"/>
                <w:color w:val="auto"/>
                <w:sz w:val="22"/>
                <w:szCs w:val="22"/>
                <w:highlight w:val="none"/>
                <w:lang w:eastAsia="zh-CN"/>
              </w:rPr>
            </w:pPr>
          </w:p>
          <w:p>
            <w:pPr>
              <w:pStyle w:val="6"/>
              <w:rPr>
                <w:rFonts w:hint="eastAsia" w:ascii="宋体" w:hAnsi="宋体" w:eastAsia="宋体" w:cs="宋体"/>
                <w:b w:val="0"/>
                <w:bCs w:val="0"/>
                <w:color w:val="auto"/>
                <w:sz w:val="22"/>
                <w:szCs w:val="22"/>
                <w:highlight w:val="none"/>
                <w:lang w:eastAsia="zh-CN"/>
              </w:rPr>
            </w:pPr>
          </w:p>
          <w:p>
            <w:pPr>
              <w:rPr>
                <w:rFonts w:hint="eastAsia" w:ascii="宋体" w:hAnsi="宋体" w:eastAsia="宋体" w:cs="宋体"/>
                <w:b w:val="0"/>
                <w:bCs w:val="0"/>
                <w:color w:val="auto"/>
                <w:sz w:val="22"/>
                <w:szCs w:val="22"/>
                <w:highlight w:val="none"/>
                <w:lang w:eastAsia="zh-CN"/>
              </w:rPr>
            </w:pPr>
          </w:p>
          <w:p>
            <w:pPr>
              <w:pStyle w:val="6"/>
              <w:rPr>
                <w:rFonts w:hint="eastAsia" w:ascii="宋体" w:hAnsi="宋体" w:eastAsia="宋体" w:cs="宋体"/>
                <w:b w:val="0"/>
                <w:bCs w:val="0"/>
                <w:color w:val="auto"/>
                <w:sz w:val="22"/>
                <w:szCs w:val="22"/>
                <w:highlight w:val="none"/>
                <w:lang w:eastAsia="zh-CN"/>
              </w:rPr>
            </w:pPr>
          </w:p>
          <w:p>
            <w:pPr>
              <w:rPr>
                <w:rFonts w:hint="eastAsia"/>
                <w:color w:val="auto"/>
                <w:highlight w:val="none"/>
                <w:lang w:eastAsia="zh-CN"/>
              </w:rPr>
            </w:pPr>
            <w:bookmarkStart w:id="0" w:name="_GoBack"/>
            <w:r>
              <w:rPr>
                <w:rFonts w:hint="eastAsia"/>
                <w:color w:val="auto"/>
                <w:sz w:val="22"/>
                <w:szCs w:val="22"/>
                <w:highlight w:val="none"/>
                <w:lang w:eastAsia="zh-CN"/>
              </w:rPr>
              <w:drawing>
                <wp:anchor distT="0" distB="0" distL="114300" distR="114300" simplePos="0" relativeHeight="251659264" behindDoc="1" locked="0" layoutInCell="1" allowOverlap="1">
                  <wp:simplePos x="0" y="0"/>
                  <wp:positionH relativeFrom="column">
                    <wp:posOffset>-14605</wp:posOffset>
                  </wp:positionH>
                  <wp:positionV relativeFrom="paragraph">
                    <wp:posOffset>3810</wp:posOffset>
                  </wp:positionV>
                  <wp:extent cx="2068830" cy="1241425"/>
                  <wp:effectExtent l="0" t="0" r="7620" b="15875"/>
                  <wp:wrapThrough wrapText="bothSides">
                    <wp:wrapPolygon>
                      <wp:start x="0" y="0"/>
                      <wp:lineTo x="0" y="21213"/>
                      <wp:lineTo x="21481" y="21213"/>
                      <wp:lineTo x="21481" y="0"/>
                      <wp:lineTo x="0" y="0"/>
                    </wp:wrapPolygon>
                  </wp:wrapThrough>
                  <wp:docPr id="9" name="图片 9" descr="36c864c7c0e80588013ceb7aa96f5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6c864c7c0e80588013ceb7aa96f5ad"/>
                          <pic:cNvPicPr>
                            <a:picLocks noChangeAspect="1"/>
                          </pic:cNvPicPr>
                        </pic:nvPicPr>
                        <pic:blipFill>
                          <a:blip r:embed="rId4"/>
                          <a:stretch>
                            <a:fillRect/>
                          </a:stretch>
                        </pic:blipFill>
                        <pic:spPr>
                          <a:xfrm>
                            <a:off x="0" y="0"/>
                            <a:ext cx="2068830" cy="1241425"/>
                          </a:xfrm>
                          <a:prstGeom prst="rect">
                            <a:avLst/>
                          </a:prstGeom>
                        </pic:spPr>
                      </pic:pic>
                    </a:graphicData>
                  </a:graphic>
                </wp:anchor>
              </w:drawing>
            </w:r>
            <w:bookmarkEnd w:id="0"/>
          </w:p>
          <w:p>
            <w:pPr>
              <w:spacing w:line="360" w:lineRule="exact"/>
              <w:rPr>
                <w:rFonts w:hint="eastAsia" w:ascii="宋体" w:hAnsi="宋体" w:cs="宋体"/>
                <w:b/>
                <w:color w:val="auto"/>
                <w:spacing w:val="-6"/>
                <w:sz w:val="22"/>
                <w:highlight w:val="none"/>
                <w:vertAlign w:val="baseline"/>
              </w:rPr>
            </w:pPr>
          </w:p>
        </w:tc>
      </w:tr>
    </w:tbl>
    <w:p>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pPr>
        <w:numPr>
          <w:ilvl w:val="0"/>
          <w:numId w:val="2"/>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pPr>
        <w:numPr>
          <w:ilvl w:val="0"/>
          <w:numId w:val="2"/>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pPr>
        <w:numPr>
          <w:ilvl w:val="0"/>
          <w:numId w:val="2"/>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pPr>
        <w:snapToGrid w:val="0"/>
        <w:spacing w:line="400" w:lineRule="exact"/>
        <w:jc w:val="center"/>
        <w:rPr>
          <w:rFonts w:ascii="宋体" w:hAnsi="宋体" w:cs="宋体"/>
          <w:b/>
          <w:color w:val="auto"/>
          <w:sz w:val="32"/>
          <w:highlight w:val="none"/>
        </w:rPr>
      </w:pPr>
    </w:p>
    <w:p>
      <w:pPr>
        <w:pStyle w:val="5"/>
        <w:rPr>
          <w:rFonts w:ascii="宋体" w:hAnsi="宋体" w:cs="宋体"/>
          <w:b/>
          <w:color w:val="auto"/>
          <w:sz w:val="32"/>
          <w:highlight w:val="none"/>
        </w:rPr>
      </w:pPr>
    </w:p>
    <w:p>
      <w:pPr>
        <w:rPr>
          <w:rFonts w:ascii="宋体" w:hAnsi="宋体" w:cs="宋体"/>
          <w:b/>
          <w:color w:val="auto"/>
          <w:sz w:val="32"/>
          <w:highlight w:val="none"/>
        </w:rPr>
      </w:pPr>
    </w:p>
    <w:p>
      <w:pPr>
        <w:pStyle w:val="5"/>
        <w:rPr>
          <w:rFonts w:ascii="宋体" w:hAnsi="宋体" w:cs="宋体"/>
          <w:b/>
          <w:color w:val="auto"/>
          <w:sz w:val="32"/>
          <w:highlight w:val="none"/>
        </w:rPr>
      </w:pPr>
    </w:p>
    <w:p>
      <w:pPr>
        <w:rPr>
          <w:rFonts w:ascii="宋体" w:hAnsi="宋体" w:cs="宋体"/>
          <w:b/>
          <w:color w:val="auto"/>
          <w:sz w:val="32"/>
          <w:highlight w:val="none"/>
        </w:rPr>
      </w:pPr>
    </w:p>
    <w:p>
      <w:pPr>
        <w:pStyle w:val="6"/>
        <w:rPr>
          <w:rFonts w:ascii="宋体" w:hAnsi="宋体" w:cs="宋体"/>
          <w:b/>
          <w:color w:val="auto"/>
          <w:sz w:val="32"/>
          <w:highlight w:val="none"/>
        </w:rPr>
      </w:pPr>
    </w:p>
    <w:p>
      <w:pPr>
        <w:rPr>
          <w:rFonts w:ascii="宋体" w:hAnsi="宋体" w:cs="宋体"/>
          <w:b/>
          <w:color w:val="auto"/>
          <w:sz w:val="32"/>
          <w:highlight w:val="none"/>
        </w:rPr>
      </w:pPr>
    </w:p>
    <w:p>
      <w:pPr>
        <w:pStyle w:val="6"/>
        <w:rPr>
          <w:rFonts w:ascii="宋体" w:hAnsi="宋体" w:cs="宋体"/>
          <w:b/>
          <w:color w:val="auto"/>
          <w:sz w:val="32"/>
          <w:highlight w:val="none"/>
        </w:rPr>
      </w:pPr>
    </w:p>
    <w:p>
      <w:pPr>
        <w:rPr>
          <w:rFonts w:ascii="宋体" w:hAnsi="宋体" w:cs="宋体"/>
          <w:b/>
          <w:color w:val="auto"/>
          <w:sz w:val="32"/>
          <w:highlight w:val="none"/>
        </w:rPr>
      </w:pPr>
    </w:p>
    <w:p>
      <w:pPr>
        <w:pStyle w:val="6"/>
        <w:rPr>
          <w:rFonts w:ascii="宋体" w:hAnsi="宋体" w:cs="宋体"/>
          <w:b/>
          <w:color w:val="auto"/>
          <w:sz w:val="32"/>
          <w:highlight w:val="none"/>
        </w:rPr>
      </w:pPr>
    </w:p>
    <w:p>
      <w:pPr>
        <w:rPr>
          <w:rFonts w:ascii="宋体" w:hAnsi="宋体" w:cs="宋体"/>
          <w:b/>
          <w:color w:val="auto"/>
          <w:sz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D9CA"/>
    <w:multiLevelType w:val="singleLevel"/>
    <w:tmpl w:val="B90DD9CA"/>
    <w:lvl w:ilvl="0" w:tentative="0">
      <w:start w:val="1"/>
      <w:numFmt w:val="decimal"/>
      <w:suff w:val="nothing"/>
      <w:lvlText w:val="%1、"/>
      <w:lvlJc w:val="left"/>
    </w:lvl>
  </w:abstractNum>
  <w:abstractNum w:abstractNumId="1">
    <w:nsid w:val="0000000A"/>
    <w:multiLevelType w:val="singleLevel"/>
    <w:tmpl w:val="0000000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5093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340" w:after="330" w:line="578" w:lineRule="auto"/>
      <w:outlineLvl w:val="0"/>
    </w:pPr>
    <w:rPr>
      <w:bCs/>
      <w:kern w:val="44"/>
      <w:sz w:val="44"/>
      <w:szCs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2"/>
    <w:qFormat/>
    <w:uiPriority w:val="0"/>
    <w:pPr>
      <w:spacing w:after="120"/>
    </w:p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6">
    <w:name w:val="toc 2"/>
    <w:basedOn w:val="1"/>
    <w:next w:val="1"/>
    <w:qFormat/>
    <w:uiPriority w:val="39"/>
    <w:pPr>
      <w:tabs>
        <w:tab w:val="right" w:leader="dot" w:pos="8302"/>
      </w:tabs>
      <w:ind w:left="200" w:leftChars="200"/>
    </w:pPr>
    <w:rPr>
      <w:b/>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2023-05-10T03:51:53Z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FC75BA48D7204E14A2BC674EE4933CDC_12</vt:lpwstr>
  </property>
</Properties>
</file>