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highlight w:val="none"/>
        </w:rPr>
      </w:pPr>
      <w:r>
        <w:rPr>
          <w:rFonts w:hint="eastAsia" w:ascii="宋体" w:hAnsi="宋体" w:cs="宋体"/>
          <w:b/>
          <w:sz w:val="32"/>
          <w:highlight w:val="none"/>
        </w:rPr>
        <w:t>采购需求</w:t>
      </w:r>
    </w:p>
    <w:p>
      <w:pPr>
        <w:spacing w:line="360" w:lineRule="exact"/>
        <w:rPr>
          <w:rFonts w:ascii="宋体" w:hAnsi="宋体" w:cs="宋体"/>
          <w:b/>
          <w:bCs/>
          <w:spacing w:val="-6"/>
          <w:sz w:val="22"/>
          <w:highlight w:val="none"/>
        </w:rPr>
      </w:pPr>
      <w:r>
        <w:rPr>
          <w:rFonts w:hint="eastAsia" w:ascii="宋体" w:hAnsi="宋体" w:cs="宋体"/>
          <w:b/>
          <w:bCs/>
          <w:spacing w:val="-6"/>
          <w:sz w:val="22"/>
          <w:highlight w:val="none"/>
        </w:rPr>
        <w:t>一、采购内容及数量</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3484"/>
        <w:gridCol w:w="1418"/>
        <w:gridCol w:w="1721"/>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38"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sz w:val="22"/>
                <w:highlight w:val="none"/>
              </w:rPr>
            </w:pPr>
            <w:r>
              <w:rPr>
                <w:rFonts w:hint="eastAsia" w:ascii="宋体" w:hAnsi="宋体" w:cs="宋体"/>
                <w:sz w:val="22"/>
                <w:highlight w:val="none"/>
              </w:rPr>
              <w:t>序号</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sz w:val="22"/>
                <w:highlight w:val="none"/>
              </w:rPr>
            </w:pPr>
            <w:r>
              <w:rPr>
                <w:rFonts w:hint="eastAsia" w:ascii="宋体" w:hAnsi="宋体" w:cs="宋体"/>
                <w:sz w:val="22"/>
                <w:highlight w:val="none"/>
              </w:rPr>
              <w:t>项目内容</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sz w:val="22"/>
                <w:highlight w:val="none"/>
              </w:rPr>
            </w:pPr>
            <w:r>
              <w:rPr>
                <w:rFonts w:hint="eastAsia" w:ascii="宋体" w:hAnsi="宋体" w:cs="宋体"/>
                <w:sz w:val="22"/>
                <w:highlight w:val="none"/>
              </w:rPr>
              <w:t>数量</w:t>
            </w:r>
          </w:p>
        </w:tc>
        <w:tc>
          <w:tcPr>
            <w:tcW w:w="1721"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sz w:val="22"/>
                <w:highlight w:val="none"/>
              </w:rPr>
            </w:pPr>
            <w:r>
              <w:rPr>
                <w:rFonts w:hint="eastAsia" w:ascii="宋体" w:hAnsi="宋体" w:cs="宋体"/>
                <w:sz w:val="22"/>
                <w:highlight w:val="none"/>
              </w:rPr>
              <w:t>预算金额(元)</w:t>
            </w:r>
          </w:p>
        </w:tc>
        <w:tc>
          <w:tcPr>
            <w:tcW w:w="2093"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sz w:val="22"/>
                <w:highlight w:val="none"/>
              </w:rPr>
            </w:pPr>
            <w:r>
              <w:rPr>
                <w:rFonts w:hint="eastAsia" w:ascii="宋体" w:hAnsi="宋体" w:cs="宋体"/>
                <w:sz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sz w:val="22"/>
                <w:highlight w:val="none"/>
              </w:rPr>
            </w:pPr>
            <w:r>
              <w:rPr>
                <w:rFonts w:hint="eastAsia" w:ascii="宋体" w:hAnsi="宋体" w:cs="宋体"/>
                <w:sz w:val="22"/>
                <w:highlight w:val="none"/>
              </w:rPr>
              <w:t>1</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sz w:val="22"/>
                <w:highlight w:val="none"/>
              </w:rPr>
            </w:pPr>
            <w:r>
              <w:rPr>
                <w:rFonts w:hint="eastAsia" w:ascii="宋体" w:hAnsi="宋体" w:cs="宋体"/>
                <w:sz w:val="22"/>
                <w:highlight w:val="none"/>
              </w:rPr>
              <w:t xml:space="preserve"> </w:t>
            </w:r>
            <w:r>
              <w:rPr>
                <w:rFonts w:hint="eastAsia" w:ascii="宋体" w:hAnsi="宋体" w:cs="宋体"/>
                <w:kern w:val="0"/>
                <w:sz w:val="22"/>
                <w:highlight w:val="none"/>
                <w:lang w:val="zh-CN"/>
              </w:rPr>
              <w:t>校园监控增补</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sz w:val="22"/>
                <w:highlight w:val="none"/>
              </w:rPr>
            </w:pPr>
            <w:r>
              <w:rPr>
                <w:rFonts w:hint="eastAsia" w:ascii="宋体" w:hAnsi="宋体" w:cs="宋体"/>
                <w:sz w:val="22"/>
                <w:highlight w:val="none"/>
              </w:rPr>
              <w:t>1批</w:t>
            </w:r>
          </w:p>
        </w:tc>
        <w:tc>
          <w:tcPr>
            <w:tcW w:w="1721"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sz w:val="22"/>
                <w:highlight w:val="none"/>
              </w:rPr>
            </w:pPr>
            <w:r>
              <w:rPr>
                <w:rFonts w:hint="eastAsia" w:ascii="宋体" w:hAnsi="宋体" w:cs="宋体"/>
                <w:sz w:val="22"/>
                <w:highlight w:val="none"/>
              </w:rPr>
              <w:t>246654</w:t>
            </w:r>
          </w:p>
        </w:tc>
        <w:tc>
          <w:tcPr>
            <w:tcW w:w="2093" w:type="dxa"/>
            <w:tcBorders>
              <w:tl2br w:val="nil"/>
              <w:tr2bl w:val="nil"/>
            </w:tcBorders>
            <w:tcMar>
              <w:top w:w="0" w:type="dxa"/>
              <w:left w:w="108" w:type="dxa"/>
              <w:bottom w:w="0" w:type="dxa"/>
              <w:right w:w="108" w:type="dxa"/>
            </w:tcMar>
            <w:vAlign w:val="center"/>
          </w:tcPr>
          <w:p>
            <w:pPr>
              <w:spacing w:line="370" w:lineRule="exact"/>
              <w:jc w:val="left"/>
              <w:rPr>
                <w:rFonts w:ascii="宋体" w:hAnsi="宋体" w:cs="宋体"/>
                <w:sz w:val="22"/>
                <w:highlight w:val="none"/>
              </w:rPr>
            </w:pPr>
            <w:r>
              <w:rPr>
                <w:rFonts w:hint="eastAsia" w:ascii="宋体" w:hAnsi="宋体" w:cs="宋体"/>
                <w:kern w:val="0"/>
                <w:sz w:val="22"/>
                <w:highlight w:val="none"/>
              </w:rPr>
              <w:t xml:space="preserve"> </w:t>
            </w:r>
          </w:p>
        </w:tc>
      </w:tr>
    </w:tbl>
    <w:p>
      <w:pPr>
        <w:spacing w:line="360" w:lineRule="exact"/>
        <w:outlineLvl w:val="0"/>
        <w:rPr>
          <w:rFonts w:ascii="宋体" w:hAnsi="宋体" w:cs="宋体"/>
          <w:b/>
          <w:spacing w:val="-6"/>
          <w:sz w:val="22"/>
          <w:highlight w:val="none"/>
        </w:rPr>
      </w:pPr>
      <w:r>
        <w:rPr>
          <w:rFonts w:hint="eastAsia" w:ascii="宋体" w:hAnsi="宋体" w:cs="宋体"/>
          <w:b/>
          <w:bCs/>
          <w:sz w:val="22"/>
          <w:highlight w:val="none"/>
        </w:rPr>
        <w:t>二、</w:t>
      </w:r>
      <w:r>
        <w:rPr>
          <w:rFonts w:hint="eastAsia" w:ascii="宋体" w:hAnsi="宋体" w:cs="宋体"/>
          <w:b/>
          <w:spacing w:val="-6"/>
          <w:sz w:val="22"/>
          <w:highlight w:val="none"/>
        </w:rPr>
        <w:t>商务要求（技术要求里另有注明的以技术要求为准）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2"/>
                <w:highlight w:val="none"/>
                <w:u w:val="single"/>
              </w:rPr>
            </w:pPr>
            <w:r>
              <w:rPr>
                <w:rFonts w:hint="eastAsia" w:ascii="宋体" w:hAnsi="宋体" w:cs="宋体"/>
                <w:sz w:val="22"/>
                <w:highlight w:val="none"/>
                <w:u w:val="single"/>
              </w:rPr>
              <w:t>▲履约保证金及付款条件</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napToGrid w:val="0"/>
                <w:kern w:val="0"/>
                <w:sz w:val="22"/>
                <w:highlight w:val="none"/>
                <w:u w:val="single"/>
              </w:rPr>
            </w:pPr>
            <w:r>
              <w:rPr>
                <w:rFonts w:hint="eastAsia" w:ascii="宋体" w:hAnsi="宋体" w:cs="宋体"/>
                <w:bCs/>
                <w:snapToGrid w:val="0"/>
                <w:kern w:val="0"/>
                <w:sz w:val="22"/>
                <w:highlight w:val="none"/>
                <w:u w:val="single"/>
              </w:rPr>
              <w:t>履约保证金：乙方在合同签订后7个工作日内，向甲方提交合同总金额1%履约保证金（接受银行转账、支票、汇票、本票、履约保函等多种非现金形式），履约保证金自项目验收合格之日起7个工作日内无息退还。</w:t>
            </w:r>
          </w:p>
          <w:p>
            <w:pPr>
              <w:spacing w:line="360" w:lineRule="auto"/>
              <w:jc w:val="left"/>
              <w:rPr>
                <w:rFonts w:ascii="宋体" w:hAnsi="宋体" w:cs="宋体"/>
                <w:bCs/>
                <w:sz w:val="22"/>
                <w:highlight w:val="none"/>
                <w:u w:val="single"/>
              </w:rPr>
            </w:pPr>
            <w:r>
              <w:rPr>
                <w:rFonts w:hint="eastAsia" w:ascii="宋体" w:hAnsi="宋体" w:cs="宋体"/>
                <w:bCs/>
                <w:snapToGrid w:val="0"/>
                <w:kern w:val="0"/>
                <w:sz w:val="22"/>
                <w:highlight w:val="none"/>
                <w:u w:val="single"/>
              </w:rPr>
              <w:t>付款条件：合同生效以及具备实施条件后7个工作日内，甲方向乙方支付合同总额的40%作为预付款；项目验收合格后自收到发票后7个工作日内，甲方向乙方支付合同总额的60%合同款。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sz w:val="22"/>
                <w:highlight w:val="none"/>
              </w:rPr>
            </w:pPr>
            <w:r>
              <w:rPr>
                <w:rFonts w:hint="eastAsia" w:ascii="宋体" w:hAnsi="宋体"/>
                <w:sz w:val="22"/>
                <w:highlight w:val="none"/>
              </w:rPr>
              <w:t>质保期</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sz w:val="22"/>
                <w:highlight w:val="none"/>
              </w:rPr>
            </w:pPr>
            <w:r>
              <w:rPr>
                <w:rFonts w:hint="eastAsia" w:ascii="宋体" w:hAnsi="宋体"/>
                <w:sz w:val="22"/>
                <w:highlight w:val="none"/>
              </w:rPr>
              <w:t>项目验收完成后不少1年。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sz w:val="22"/>
                <w:highlight w:val="none"/>
              </w:rPr>
            </w:pPr>
            <w:r>
              <w:rPr>
                <w:rFonts w:hint="eastAsia" w:ascii="宋体" w:hAnsi="宋体"/>
                <w:sz w:val="22"/>
                <w:highlight w:val="none"/>
              </w:rPr>
              <w:t>交付时间和地点</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sz w:val="22"/>
                <w:highlight w:val="none"/>
              </w:rPr>
            </w:pPr>
            <w:r>
              <w:rPr>
                <w:rFonts w:hint="eastAsia" w:ascii="宋体" w:hAnsi="宋体"/>
                <w:sz w:val="22"/>
                <w:highlight w:val="none"/>
              </w:rPr>
              <w:t>交付时间：因施工时间紧张，合同签订后需15天内交付（因特殊原因导致工期延期，可双方协商最终确认。）</w:t>
            </w:r>
          </w:p>
          <w:p>
            <w:pPr>
              <w:spacing w:line="370" w:lineRule="exact"/>
              <w:rPr>
                <w:rFonts w:ascii="宋体" w:hAnsi="宋体"/>
                <w:sz w:val="22"/>
                <w:highlight w:val="none"/>
              </w:rPr>
            </w:pPr>
            <w:r>
              <w:rPr>
                <w:rFonts w:hint="eastAsia" w:ascii="宋体" w:hAnsi="宋体"/>
                <w:sz w:val="22"/>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2"/>
                <w:highlight w:val="none"/>
              </w:rPr>
            </w:pPr>
            <w:r>
              <w:rPr>
                <w:rFonts w:hint="eastAsia" w:ascii="宋体" w:hAnsi="宋体" w:cs="宋体"/>
                <w:bCs/>
                <w:sz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left"/>
              <w:rPr>
                <w:rFonts w:ascii="宋体" w:hAnsi="宋体" w:cs="宋体"/>
                <w:bCs/>
                <w:sz w:val="22"/>
                <w:highlight w:val="none"/>
              </w:rPr>
            </w:pPr>
            <w:r>
              <w:rPr>
                <w:rFonts w:hint="eastAsia" w:ascii="宋体" w:hAnsi="宋体" w:cs="宋体"/>
                <w:bCs/>
                <w:sz w:val="22"/>
                <w:highlight w:val="none"/>
              </w:rPr>
              <w:t>验收应按照</w:t>
            </w:r>
            <w:r>
              <w:rPr>
                <w:rFonts w:hint="eastAsia" w:ascii="宋体" w:hAnsi="宋体" w:cs="宋体"/>
                <w:bCs/>
                <w:snapToGrid w:val="0"/>
                <w:kern w:val="0"/>
                <w:sz w:val="22"/>
                <w:highlight w:val="none"/>
              </w:rPr>
              <w:t>甲方</w:t>
            </w:r>
            <w:r>
              <w:rPr>
                <w:rFonts w:hint="eastAsia" w:ascii="宋体" w:hAnsi="宋体" w:cs="宋体"/>
                <w:bCs/>
                <w:sz w:val="22"/>
                <w:highlight w:val="none"/>
              </w:rPr>
              <w:t>确认的验收要求进行，全过程必须由</w:t>
            </w:r>
            <w:r>
              <w:rPr>
                <w:rFonts w:hint="eastAsia" w:ascii="宋体" w:hAnsi="宋体" w:cs="宋体"/>
                <w:bCs/>
                <w:snapToGrid w:val="0"/>
                <w:kern w:val="0"/>
                <w:sz w:val="22"/>
                <w:highlight w:val="none"/>
              </w:rPr>
              <w:t>甲方</w:t>
            </w:r>
            <w:r>
              <w:rPr>
                <w:rFonts w:hint="eastAsia" w:ascii="宋体" w:hAnsi="宋体" w:cs="宋体"/>
                <w:bCs/>
                <w:sz w:val="22"/>
                <w:highlight w:val="none"/>
              </w:rPr>
              <w:t>在场见证。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2"/>
                <w:highlight w:val="none"/>
              </w:rPr>
            </w:pPr>
            <w:r>
              <w:rPr>
                <w:rFonts w:hint="eastAsia" w:ascii="宋体" w:hAnsi="宋体"/>
                <w:sz w:val="22"/>
                <w:highlight w:val="none"/>
              </w:rPr>
              <w:t>售后服务要求</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2"/>
                <w:highlight w:val="none"/>
              </w:rPr>
            </w:pPr>
            <w:r>
              <w:rPr>
                <w:rFonts w:hint="eastAsia" w:ascii="宋体" w:hAnsi="宋体"/>
                <w:sz w:val="22"/>
                <w:highlight w:val="none"/>
              </w:rPr>
              <w:t>中标供应商应对提供的产品，免费部署，免费培训，并提供免费咨询服务。</w:t>
            </w:r>
          </w:p>
        </w:tc>
      </w:tr>
    </w:tbl>
    <w:p>
      <w:pPr>
        <w:numPr>
          <w:ilvl w:val="0"/>
          <w:numId w:val="1"/>
        </w:numPr>
        <w:spacing w:line="360" w:lineRule="exact"/>
        <w:rPr>
          <w:rFonts w:ascii="宋体" w:hAnsi="宋体" w:cs="宋体"/>
          <w:b/>
          <w:bCs/>
          <w:spacing w:val="-6"/>
          <w:sz w:val="22"/>
          <w:highlight w:val="none"/>
        </w:rPr>
      </w:pPr>
      <w:r>
        <w:rPr>
          <w:rFonts w:hint="eastAsia" w:ascii="宋体" w:hAnsi="宋体" w:cs="宋体"/>
          <w:b/>
          <w:bCs/>
          <w:spacing w:val="-6"/>
          <w:sz w:val="22"/>
          <w:highlight w:val="none"/>
        </w:rPr>
        <w:t>技术要求</w:t>
      </w:r>
    </w:p>
    <w:p>
      <w:pPr>
        <w:pStyle w:val="3"/>
        <w:numPr>
          <w:ilvl w:val="0"/>
          <w:numId w:val="2"/>
        </w:numPr>
        <w:spacing w:before="0" w:after="0"/>
        <w:ind w:firstLine="442"/>
        <w:rPr>
          <w:rFonts w:hint="eastAsia" w:ascii="宋体" w:hAnsi="宋体" w:cs="宋体"/>
          <w:sz w:val="22"/>
          <w:szCs w:val="22"/>
          <w:highlight w:val="none"/>
        </w:rPr>
      </w:pPr>
      <w:bookmarkStart w:id="0" w:name="_Toc12807"/>
      <w:r>
        <w:rPr>
          <w:rFonts w:hint="eastAsia" w:ascii="宋体" w:hAnsi="宋体" w:cs="宋体"/>
          <w:sz w:val="22"/>
          <w:szCs w:val="22"/>
          <w:highlight w:val="none"/>
        </w:rPr>
        <w:t>项目概况</w:t>
      </w:r>
      <w:bookmarkEnd w:id="0"/>
    </w:p>
    <w:p>
      <w:pPr>
        <w:pStyle w:val="3"/>
        <w:spacing w:before="0" w:after="0" w:line="360" w:lineRule="auto"/>
        <w:ind w:left="442" w:firstLine="440" w:firstLineChars="200"/>
        <w:rPr>
          <w:rFonts w:ascii="宋体" w:hAnsi="宋体" w:cs="宋体"/>
          <w:sz w:val="22"/>
          <w:szCs w:val="22"/>
          <w:highlight w:val="none"/>
        </w:rPr>
      </w:pPr>
      <w:r>
        <w:rPr>
          <w:rFonts w:hint="eastAsia" w:ascii="宋体" w:hAnsi="宋体" w:cs="宋体"/>
          <w:sz w:val="22"/>
          <w:szCs w:val="22"/>
          <w:highlight w:val="none"/>
        </w:rPr>
        <w:t>本次项目为校园内监控盲区增补、点位移装、损坏点位维修，同时需要把</w:t>
      </w:r>
      <w:r>
        <w:rPr>
          <w:rFonts w:hint="eastAsia" w:ascii="宋体" w:hAnsi="宋体" w:cs="宋体"/>
          <w:color w:val="000000"/>
          <w:sz w:val="22"/>
          <w:highlight w:val="none"/>
        </w:rPr>
        <w:t>院方库里的一批新旧摄像头安装在指定点位上。</w:t>
      </w:r>
      <w:r>
        <w:rPr>
          <w:rFonts w:hint="eastAsia" w:ascii="宋体" w:hAnsi="宋体" w:cs="宋体"/>
          <w:sz w:val="22"/>
          <w:szCs w:val="22"/>
          <w:highlight w:val="none"/>
        </w:rPr>
        <w:t>涉及东区地下停车场、一号综合楼楼顶、操场、后山山上休闲区等需要新增、移装、维修的地方。</w:t>
      </w:r>
      <w:r>
        <w:rPr>
          <w:rFonts w:hint="eastAsia" w:ascii="宋体" w:hAnsi="宋体" w:cs="宋体"/>
          <w:color w:val="000000"/>
          <w:sz w:val="22"/>
          <w:highlight w:val="none"/>
        </w:rPr>
        <w:t>本次施工环境复杂，涉及山体小路开挖、切槽、挖基座、预埋管道、水泥浇筑、回填、修复、高楼楼顶，地下室等众多特殊环境的点位施工(故需要应标供应商进行现场勘察)</w:t>
      </w:r>
      <w:r>
        <w:rPr>
          <w:rFonts w:hint="eastAsia" w:ascii="宋体" w:hAnsi="宋体" w:cs="宋体"/>
          <w:sz w:val="22"/>
          <w:szCs w:val="22"/>
          <w:highlight w:val="none"/>
        </w:rPr>
        <w:t>、项目实施需要进行设备安装、布线施工、连通学校设备网和安防管理平台无缝介入，最终达到院方的监控覆盖面要求。</w:t>
      </w:r>
    </w:p>
    <w:p>
      <w:pPr>
        <w:pStyle w:val="4"/>
        <w:rPr>
          <w:highlight w:val="none"/>
        </w:rPr>
      </w:pPr>
    </w:p>
    <w:tbl>
      <w:tblPr>
        <w:tblStyle w:val="5"/>
        <w:tblW w:w="9813" w:type="dxa"/>
        <w:tblInd w:w="93" w:type="dxa"/>
        <w:tblLayout w:type="fixed"/>
        <w:tblCellMar>
          <w:top w:w="0" w:type="dxa"/>
          <w:left w:w="108" w:type="dxa"/>
          <w:bottom w:w="0" w:type="dxa"/>
          <w:right w:w="108" w:type="dxa"/>
        </w:tblCellMar>
      </w:tblPr>
      <w:tblGrid>
        <w:gridCol w:w="1251"/>
        <w:gridCol w:w="6267"/>
        <w:gridCol w:w="672"/>
        <w:gridCol w:w="702"/>
        <w:gridCol w:w="921"/>
      </w:tblGrid>
      <w:tr>
        <w:tblPrEx>
          <w:tblCellMar>
            <w:top w:w="0" w:type="dxa"/>
            <w:left w:w="108" w:type="dxa"/>
            <w:bottom w:w="0" w:type="dxa"/>
            <w:right w:w="108" w:type="dxa"/>
          </w:tblCellMar>
        </w:tblPrEx>
        <w:trPr>
          <w:trHeight w:val="240" w:hRule="atLeast"/>
        </w:trPr>
        <w:tc>
          <w:tcPr>
            <w:tcW w:w="9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东区地下室停车场、综合楼楼顶及后山上休闲区、操场监控增补设备清单</w:t>
            </w: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设备名称</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参数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单位</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数量</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备注</w:t>
            </w:r>
          </w:p>
        </w:tc>
      </w:tr>
      <w:tr>
        <w:tblPrEx>
          <w:tblCellMar>
            <w:top w:w="0" w:type="dxa"/>
            <w:left w:w="108" w:type="dxa"/>
            <w:bottom w:w="0" w:type="dxa"/>
            <w:right w:w="108" w:type="dxa"/>
          </w:tblCellMar>
        </w:tblPrEx>
        <w:trPr>
          <w:trHeight w:val="96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网络高清摄像机</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支持2路码流，主码流2560*1440@25fps，子码流640×480@25fps。（提供第三方检验报告证明）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★内置麦克风。（提供第三方检验报告证明）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★最低照度彩色0.005lx。（提供第三方检验报告证明）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★红外开启可识别距设备50m处的人体轮廓。（提供第三方检验报告证明）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★在彩色模式下，当照度降低至一定值时，可自动开启补光灯补光，在白天夜晚均可输出彩色视频图像。（提供第三方检验报告证明）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★同一静止场景相同图像质量下，设备在H.264或H.265编码方式时，开启智能编码功能和不开启智能编码相比，码率节约80％。（提供第三方检验报告证明）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支持PoE供电。（提供第三方检验报告证明）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外壳防护能力应符合IP67要求。（提供第三方检验报告证明）</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核心产品</w:t>
            </w:r>
          </w:p>
        </w:tc>
      </w:tr>
      <w:tr>
        <w:tblPrEx>
          <w:tblCellMar>
            <w:top w:w="0" w:type="dxa"/>
            <w:left w:w="108" w:type="dxa"/>
            <w:bottom w:w="0" w:type="dxa"/>
            <w:right w:w="108" w:type="dxa"/>
          </w:tblCellMar>
        </w:tblPrEx>
        <w:trPr>
          <w:trHeight w:val="13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网络高清摄像机</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技术参数</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400万 1/1.8" AI轻智能全彩筒型网络摄像机</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★内置GPU芯片（第三方检测报告扫描件）</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支持智能资源模式切换：人脸抓拍模式，道路监控模式，Smart事件模式</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人脸抓拍模式：</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a)支持对运动人脸进行检测、跟踪、抓拍、评分、筛选，输出最优的人脸</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b)支持人脸去误报、快速抓拍人脸，人脸检出率不小于99%</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c)★支持侧脸过滤功能，可过滤上下、左右角度达到预设值的人脸（提供第三方检验报告证明）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d)★支持单场景同时检出不少于30张人脸图片，并支持面部跟踪（提供第三方检验报告证明）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e)支持人脸去重</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道路监控模式：</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a)车辆检测：支持车牌识别并抓拍，车型/车品牌/车身颜色/车牌颜色识别</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b)混行检测：检测正向或逆向行驶的车辆以及行人和非机动车，自动对车辆牌照进行识别，可以抓拍无车牌的车辆图片</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c)支持卡口和出入口模式切换</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Smart事件模式：</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a)支持越界侦测，区域入侵侦测，进入区域侦测，离开区域侦测，物品遗留侦测，物品拿取侦测，徘徊侦测，人员聚集侦测，快速运动侦测，停车侦测</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b)★需具备智能分析抗干扰功能，当篮球、小狗、树摇晃等情况经过检测区域时，不会触发报警（提供第三方检验报告证明）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c)★支持声光报警功能，当报警产生时，可在布防时间内联动声音警报和/或白光闪烁；报警声音类型不小于11种，报警音量和重复次数可设置（提供第三方检验报告证明）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★具有不小于1/1.8"靶面尺寸，像元尺寸不小于2.9um×2.9um（提供第三方检验报告证明）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最低照度: 彩色：0.0005 Lux @（F1.0，AGC ON）；黑白：0.0001 Lux @（F1.0，AGC ON），0 Lux with Light</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宽动态: 120dB</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焦距&amp;视场角: 3.3-9mm，水平视场角：92.3°~48°，垂直视场角：48.4°~27°，对角线视场角：112.2°~55°</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★镜头支持电动变焦，并可对拍摄物体进行自动聚焦，光圈大小为F1.0（提供第三方检验报告证明）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补光灯类型: 暖白光，补光距离: 普通监控：30 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★在彩色模式下，当环境照度降低至设定阈值，可自动开启白光补光灯，在白天、夜晚均可输出彩色视频图像（提供第三方检验报告证明）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最大图像尺寸: 2560 × 1440</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视频压缩标准: H.265/H.264/MJPEG</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★设备具有耀光抑制功能，耀光区域≤1%（提供第三方检验报告证明）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网络存储: 支持Micro SD(即TF卡)/Micro SDHC/Micro SDXC卡（最大256 GB）断网本地存储及断网续传，NAS（NFS，SMB/CIFS均支持），配合海康黑卡支持SD卡加密及SD卡状态检测</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网络: 1个RJ45 10 M/100 M自适应以太网口</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音频: </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 路输入（Line in），1路输出（Line out）</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★内置2个麦克风、1个扬声器（提供第三方检验报告证明）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接口类型: 外甩线</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报警: 3路输入，2路输出（报警输入支持开关量，报警输出最大支持DC12 V，30 mA）</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支持RS-485</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复位: 支持</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电源输出: DC12 V，100 mA</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电流及功耗: DC：12 V，1.1 A，最大功耗：13.2 W ；PoE：802.3at，42.5 V~57 V，0.39 A~0.29 A，最大功耗：16.4 W</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线缆长度: 35cm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电源接口类型: 3芯接口</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启动和工作温湿度: -30 ℃~60 ℃，湿度小于95%(无凝结)</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供电方式: DC：12V±20% ，支持防反接保护； PoE：802.3at,Type 2 Class 4</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★防护: IP67，采用金属外壳（提供第三方检验报告证明）</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核心产品</w:t>
            </w:r>
          </w:p>
        </w:tc>
      </w:tr>
      <w:tr>
        <w:tblPrEx>
          <w:tblCellMar>
            <w:top w:w="0" w:type="dxa"/>
            <w:left w:w="108" w:type="dxa"/>
            <w:bottom w:w="0" w:type="dxa"/>
            <w:right w:w="108" w:type="dxa"/>
          </w:tblCellMar>
        </w:tblPrEx>
        <w:trPr>
          <w:trHeight w:val="642"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网络警戒摄像机</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主码流支持2560x1440@25fps，子码流支持640x480@25fps，第三码流支持1280x720。（提供第三方检验报告证明）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最低照度彩色0.0005lx，黑白0.0001lx。（提供第三方检验报告证明）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靶面尺寸1/1.8英寸，内置GPU芯片，麦克风，扬声器。（提供第三方检验报告证明）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白光灯开启时，可识别距离设备30m处人体轮廓，白天、夜晚均可输出彩色视频图像。（提供第三方检验报告证明）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同一静止场景相同图像质量下，设备在H.264或H.265编码方式时，开启智能编码功能和不开启智能编码相比，码率节约80%。（提供第三方检验报告证明）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★可对出现在监控场景内的两眼瞳距不小于26像素的人脸进行检验，并叠加目标提示框。（提供第三方检验报告证明）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★可对检测区域内不低于10个行人进行检测、框选跟踪、抓拍，可筛选和抓拍最佳人脸图片存储及上报中心，抓拍数量及图片大小可设，可上传全景照。（提供第三方检验报告证明）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★支持像素显示功能，可通过IE浏览器显示监视画面中鼠标所选区域水平及垂直方向的像素数。（提供第三方检验报告证明）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★支持快捷配置功能，可在预览画面页开启/关闭“快捷配置”页面，支持配置场景参数、常用图像参数、OSD配置、音视频参数、智能资源分配模式等，并支持恢复默认操作。（提供第三方检验报告证明）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支持DC12V或POE供电。（提供第三方检验报告证明）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IP67防护等级。（提供第三方检验报告证明）</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定制支架</w:t>
            </w:r>
          </w:p>
        </w:tc>
        <w:tc>
          <w:tcPr>
            <w:tcW w:w="6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不朽钢支架1.5米</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37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9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摄像机支架</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摄像机支架</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颜色 白色</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38mm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300mm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产品材质 铝合金</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产品尺寸 300mm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适用范围 室内外</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安装方式 壁装</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112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出入口车辆放行管理授权模块</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道闸授权一进一出，本次授权扩容需要无缝间隙的接入院校原有的</w:t>
            </w:r>
            <w:r>
              <w:rPr>
                <w:rFonts w:hint="eastAsia" w:ascii="宋体" w:hAnsi="宋体" w:cs="宋体"/>
                <w:color w:val="000000"/>
                <w:kern w:val="0"/>
                <w:sz w:val="22"/>
                <w:highlight w:val="none"/>
                <w:lang w:val="en-US" w:eastAsia="zh-CN" w:bidi="ar"/>
              </w:rPr>
              <w:t>安防</w:t>
            </w:r>
            <w:r>
              <w:rPr>
                <w:rFonts w:hint="eastAsia" w:ascii="宋体" w:hAnsi="宋体" w:cs="宋体"/>
                <w:color w:val="000000"/>
                <w:kern w:val="0"/>
                <w:sz w:val="22"/>
                <w:highlight w:val="none"/>
                <w:lang w:bidi="ar"/>
              </w:rPr>
              <w:t>管理平台，实现各个地方道闸的统一管理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102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立杆</w:t>
            </w:r>
          </w:p>
        </w:tc>
        <w:tc>
          <w:tcPr>
            <w:tcW w:w="6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不锈钢材质含地笼含配件</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6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64路网络硬盘录像机</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【硬件规格】</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3U标准机架式16盘位网络硬盘录像机，ATX电源</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支持满配8TB硬盘（总容量可达128TB)</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2个HDMI接口、2个VGA接口，异源输出，可支持4K输出</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2个10M/100M/1000Mbps网口</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2个USB2.0接口、2个USB3.0接口</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报警IO接口：16路报警输入，9路报警输出（其中第9路支持CTRL 12V）</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反向供电接口：1路（DC12V 1A）</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串行接口：1路全双工485接口 ，1路标准RS-232接</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【产品性能】</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输入带宽：320Mbps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输出带宽：256Mbps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接入能力：64路H.264、H.265格式高清码流接入</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解码能力：最大支持12×1080P。 </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7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8T 监控级硬盘</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★最大持续传输速率（写）：230MB/s±5%（提供第三方检验报告证明）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★7200rpm（提供第三方检验报告证明）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运行功耗≤9.0W</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闲置功耗≤5W</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待机功耗≤0.4W</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休眠功耗≤0.4W</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★正前方0.5m处，运行时最大声级≤34dBA（提供第三方检验报告证明）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★冲击加速度为686m/s²，脉冲持续时间为2ms，在X、Y、Z三轴向各试验三次，处于非工作状态，试验后能正常工作（提供第三方检验报告证明）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★频率范围5~500Hz：频率范围5~350Hz时，加速度4.9m/s²；频率范围350~500Hz时，加速度2.45m/s²。扫频速率0.5oct/min，轴向数目3，扫频周期的数目1，处于非工作状态，试验后能正常工作（提供第三方检验报告证明）</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8</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16口POE交换机</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产品类型 POE交换机，千兆以太网交换机，企业级交换机</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应用层级 二层</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传输速率 10/100/1000Mbps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交换方式 存储-转发</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背板带宽 36Gbps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包转发率 26.8Mbps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MAC地址表 8K</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端口参数</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端口结构 非模块化</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端口数量 18个</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端口描述 16个10/100/1000M自适应以太网端口</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2个1000Base-X SFP端口</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传输模式 全双工/半双工自适应</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功能特性</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网络标准 IEEE802.3</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IEEE802.3u</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IEEE802.3ab</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ANSI/IEEE 802.3 NWay自动协商</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IEEE802.3x</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VLAN 支持</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其它参数</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状态指示灯 每端口：Link/Act/PoE Status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每设备：Power/PoE-MAX</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电源电压 AC 100-240V</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电源功率 功耗≤212W，POE：180W</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产品尺寸 340×200×44mm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产品重量 3.1kg（含包装盒）</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环境标准 工作温度：0-40℃</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工作湿度：5%-95%（无冷凝）</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其它特点 拨码开关：四级拨码</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附件</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包装清单 主机 x1</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保修信息</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保修政策 全国联保，享受三包服务</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质保时间 1年</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质保备注 1年免费保修</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8口千兆交换机</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产品类型 POE交换机，千兆以太网交换机，企业级交换机</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应用层级 二层</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传输速率 10/100/1000Mbps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交换方式 存储-转发</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背板带宽 20Gbps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包转发率 14.9Mbps</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MAC地址表 4K</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端口参数</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端口结构 非模块化</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端口数量 10个</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端口描述 8个10/100/1000Mbps自适应以太网端口</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2个1000Base-X SFP端口</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传输模式 全双工/半双工自适应</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功能特性</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网络标准 IEEE802.3</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IEEE802.3u</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IEEE802.3ab</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ANSI/IEEE 802.3 NWay自动协商</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IEEE802.3x</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VLAN 支持</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其它参数</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状态指示灯 每端口：Link/Act</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每设备：Power</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电源电压 AC 100-240V</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电源功率 功耗：≤150W，POE供电：125W</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环境标准 工作温度：0-40℃</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工作湿度：5%-95%（无冷凝）</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附件</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包装清单 主机 x1</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保修信息</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保修政策 全国联保，享受三包服务</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质保时间 1年</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质保备注 1年免费保修</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光模块</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光模块-SFP-GE-单模模块-(1310nm,10km,LC)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24口光纤配线架</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符合IS0/11801,ANSI/TIA568-C.3,YD/T778的标准要求</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材料:优质冷轧钢板:表面颜色:黑色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1062"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室外监控箱</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定制及箱内配件（户外不锈钢防雨箱400*300*230配电箱室外箱防水防雨箱监控设备箱</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304材质 0.5-0.6厚度）</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8芯单模光纤</w:t>
            </w:r>
          </w:p>
        </w:tc>
        <w:tc>
          <w:tcPr>
            <w:tcW w:w="6267"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1.符合ISO/IEC11801,ANSI/TIA568-C.3,YD/T769的标准要求</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2.弯曲半径：静态10D；动态20D</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3.允许压扁（N/100mm）：长期300；短期1000</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4.允许拉伸力（N）：长期600；短期1500</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5.光缆芯数：8芯；护套颜色：黑色</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6.衰减@20℃（dB/km):@1310≤0.36@1550≤0.22</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7.光纤规格：B1.3（9/125μm-zn）</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600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16芯单模光纤</w:t>
            </w:r>
          </w:p>
        </w:tc>
        <w:tc>
          <w:tcPr>
            <w:tcW w:w="626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Style w:val="7"/>
                <w:rFonts w:hint="default"/>
                <w:sz w:val="22"/>
                <w:szCs w:val="22"/>
                <w:highlight w:val="none"/>
                <w:lang w:bidi="ar"/>
              </w:rPr>
              <w:t>1.符合ISO/IEC11801,ANSI/TIA568-C.3,YD/T769的标准要求</w:t>
            </w:r>
            <w:r>
              <w:rPr>
                <w:rStyle w:val="7"/>
                <w:rFonts w:hint="default"/>
                <w:sz w:val="22"/>
                <w:szCs w:val="22"/>
                <w:highlight w:val="none"/>
                <w:lang w:bidi="ar"/>
              </w:rPr>
              <w:br w:type="textWrapping"/>
            </w:r>
            <w:r>
              <w:rPr>
                <w:rStyle w:val="7"/>
                <w:rFonts w:hint="default"/>
                <w:sz w:val="22"/>
                <w:szCs w:val="22"/>
                <w:highlight w:val="none"/>
                <w:lang w:bidi="ar"/>
              </w:rPr>
              <w:t>2.弯曲半径：静态10D；动态20D</w:t>
            </w:r>
            <w:r>
              <w:rPr>
                <w:rStyle w:val="7"/>
                <w:rFonts w:hint="default"/>
                <w:sz w:val="22"/>
                <w:szCs w:val="22"/>
                <w:highlight w:val="none"/>
                <w:lang w:bidi="ar"/>
              </w:rPr>
              <w:br w:type="textWrapping"/>
            </w:r>
            <w:r>
              <w:rPr>
                <w:rStyle w:val="7"/>
                <w:rFonts w:hint="default"/>
                <w:sz w:val="22"/>
                <w:szCs w:val="22"/>
                <w:highlight w:val="none"/>
                <w:lang w:bidi="ar"/>
              </w:rPr>
              <w:t>3.允许压扁（N/100mm）：长期300；短期1000</w:t>
            </w:r>
            <w:r>
              <w:rPr>
                <w:rStyle w:val="7"/>
                <w:rFonts w:hint="default"/>
                <w:sz w:val="22"/>
                <w:szCs w:val="22"/>
                <w:highlight w:val="none"/>
                <w:lang w:bidi="ar"/>
              </w:rPr>
              <w:br w:type="textWrapping"/>
            </w:r>
            <w:r>
              <w:rPr>
                <w:rStyle w:val="7"/>
                <w:rFonts w:hint="default"/>
                <w:sz w:val="22"/>
                <w:szCs w:val="22"/>
                <w:highlight w:val="none"/>
                <w:lang w:bidi="ar"/>
              </w:rPr>
              <w:t>4.允许拉伸力（N）：长期600；短期1500</w:t>
            </w:r>
            <w:r>
              <w:rPr>
                <w:rStyle w:val="7"/>
                <w:rFonts w:hint="default"/>
                <w:sz w:val="22"/>
                <w:szCs w:val="22"/>
                <w:highlight w:val="none"/>
                <w:lang w:bidi="ar"/>
              </w:rPr>
              <w:br w:type="textWrapping"/>
            </w:r>
            <w:r>
              <w:rPr>
                <w:rStyle w:val="7"/>
                <w:rFonts w:hint="default"/>
                <w:sz w:val="22"/>
                <w:szCs w:val="22"/>
                <w:highlight w:val="none"/>
                <w:lang w:bidi="ar"/>
              </w:rPr>
              <w:t>5.光缆芯数：16芯；护套颜色：黑色</w:t>
            </w:r>
            <w:r>
              <w:rPr>
                <w:rStyle w:val="7"/>
                <w:rFonts w:hint="default"/>
                <w:sz w:val="22"/>
                <w:szCs w:val="22"/>
                <w:highlight w:val="none"/>
                <w:lang w:bidi="ar"/>
              </w:rPr>
              <w:br w:type="textWrapping"/>
            </w:r>
            <w:r>
              <w:rPr>
                <w:rStyle w:val="7"/>
                <w:rFonts w:hint="default"/>
                <w:sz w:val="22"/>
                <w:szCs w:val="22"/>
                <w:highlight w:val="none"/>
                <w:lang w:bidi="ar"/>
              </w:rPr>
              <w:t>6.衰减@20℃（dB/km):@1310≤0.36@1550≤0.22</w:t>
            </w:r>
            <w:r>
              <w:rPr>
                <w:rStyle w:val="7"/>
                <w:rFonts w:hint="default"/>
                <w:sz w:val="22"/>
                <w:szCs w:val="22"/>
                <w:highlight w:val="none"/>
                <w:lang w:bidi="ar"/>
              </w:rPr>
              <w:br w:type="textWrapping"/>
            </w:r>
            <w:r>
              <w:rPr>
                <w:rStyle w:val="7"/>
                <w:rFonts w:hint="default"/>
                <w:sz w:val="22"/>
                <w:szCs w:val="22"/>
                <w:highlight w:val="none"/>
                <w:lang w:bidi="ar"/>
              </w:rPr>
              <w:t>7.光纤规格：B1.3（9/125μm-zn）</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1500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电源线缆</w:t>
            </w:r>
          </w:p>
        </w:tc>
        <w:tc>
          <w:tcPr>
            <w:tcW w:w="626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Style w:val="7"/>
                <w:rFonts w:hint="default"/>
                <w:sz w:val="22"/>
                <w:szCs w:val="22"/>
                <w:highlight w:val="none"/>
                <w:lang w:bidi="ar"/>
              </w:rPr>
              <w:t>1.符合标准JB/T5023.5-2008,GB/T19666-2019</w:t>
            </w:r>
            <w:r>
              <w:rPr>
                <w:rStyle w:val="7"/>
                <w:rFonts w:hint="default"/>
                <w:sz w:val="22"/>
                <w:szCs w:val="22"/>
                <w:highlight w:val="none"/>
                <w:lang w:bidi="ar"/>
              </w:rPr>
              <w:br w:type="textWrapping"/>
            </w:r>
            <w:r>
              <w:rPr>
                <w:rStyle w:val="7"/>
                <w:rFonts w:hint="default"/>
                <w:sz w:val="22"/>
                <w:szCs w:val="22"/>
                <w:highlight w:val="none"/>
                <w:lang w:bidi="ar"/>
              </w:rPr>
              <w:t>2.型号：RVV3*2.5</w:t>
            </w:r>
            <w:r>
              <w:rPr>
                <w:rStyle w:val="7"/>
                <w:rFonts w:hint="default"/>
                <w:sz w:val="22"/>
                <w:szCs w:val="22"/>
                <w:highlight w:val="none"/>
                <w:lang w:bidi="ar"/>
              </w:rPr>
              <w:br w:type="textWrapping"/>
            </w:r>
            <w:r>
              <w:rPr>
                <w:rStyle w:val="7"/>
                <w:rFonts w:hint="default"/>
                <w:sz w:val="22"/>
                <w:szCs w:val="22"/>
                <w:highlight w:val="none"/>
                <w:lang w:bidi="ar"/>
              </w:rPr>
              <w:t>3.绝缘厚度：0.8mm；护套厚度：1.1</w:t>
            </w:r>
            <w:r>
              <w:rPr>
                <w:rStyle w:val="7"/>
                <w:rFonts w:hint="default"/>
                <w:sz w:val="22"/>
                <w:szCs w:val="22"/>
                <w:highlight w:val="none"/>
                <w:lang w:bidi="ar"/>
              </w:rPr>
              <w:br w:type="textWrapping"/>
            </w:r>
            <w:r>
              <w:rPr>
                <w:rStyle w:val="7"/>
                <w:rFonts w:hint="default"/>
                <w:sz w:val="22"/>
                <w:szCs w:val="22"/>
                <w:highlight w:val="none"/>
                <w:lang w:bidi="ar"/>
              </w:rPr>
              <w:t>4.20℃时导体电阻最大值：7.98Ω/Km；70℃时绝缘电阻最小值0.009MΩ/Km</w:t>
            </w:r>
            <w:r>
              <w:rPr>
                <w:rStyle w:val="7"/>
                <w:rFonts w:hint="default"/>
                <w:sz w:val="22"/>
                <w:szCs w:val="22"/>
                <w:highlight w:val="none"/>
                <w:lang w:bidi="ar"/>
              </w:rPr>
              <w:br w:type="textWrapping"/>
            </w:r>
            <w:r>
              <w:rPr>
                <w:rStyle w:val="7"/>
                <w:rFonts w:hint="default"/>
                <w:sz w:val="22"/>
                <w:szCs w:val="22"/>
                <w:highlight w:val="none"/>
                <w:lang w:bidi="ar"/>
              </w:rPr>
              <w:t>5.额定电压为300/300V</w:t>
            </w:r>
            <w:r>
              <w:rPr>
                <w:rStyle w:val="7"/>
                <w:rFonts w:hint="default"/>
                <w:sz w:val="22"/>
                <w:szCs w:val="22"/>
                <w:highlight w:val="none"/>
                <w:lang w:bidi="ar"/>
              </w:rPr>
              <w:br w:type="textWrapping"/>
            </w:r>
            <w:r>
              <w:rPr>
                <w:rStyle w:val="7"/>
                <w:rFonts w:hint="default"/>
                <w:sz w:val="22"/>
                <w:szCs w:val="22"/>
                <w:highlight w:val="none"/>
                <w:lang w:bidi="ar"/>
              </w:rPr>
              <w:t>6.允许弯曲半径：电缆外径D＜25mm时，应不小于4D，电缆外径D≥25mm时，应不小于6D</w:t>
            </w:r>
            <w:r>
              <w:rPr>
                <w:rStyle w:val="7"/>
                <w:rFonts w:hint="default"/>
                <w:sz w:val="22"/>
                <w:szCs w:val="22"/>
                <w:highlight w:val="none"/>
                <w:lang w:bidi="ar"/>
              </w:rPr>
              <w:br w:type="textWrapping"/>
            </w:r>
            <w:r>
              <w:rPr>
                <w:rStyle w:val="7"/>
                <w:rFonts w:hint="default"/>
                <w:sz w:val="22"/>
                <w:szCs w:val="22"/>
                <w:highlight w:val="none"/>
                <w:lang w:bidi="ar"/>
              </w:rPr>
              <w:t>7.导体种类：绞合导体用第5种导体；导体为高纯无氧绞合铜导体；绝缘材质：优质聚氯乙烯</w:t>
            </w:r>
            <w:r>
              <w:rPr>
                <w:rStyle w:val="7"/>
                <w:rFonts w:hint="default"/>
                <w:sz w:val="22"/>
                <w:szCs w:val="22"/>
                <w:highlight w:val="none"/>
                <w:lang w:bidi="ar"/>
              </w:rPr>
              <w:br w:type="textWrapping"/>
            </w:r>
            <w:r>
              <w:rPr>
                <w:rStyle w:val="7"/>
                <w:rFonts w:hint="default"/>
                <w:sz w:val="22"/>
                <w:szCs w:val="22"/>
                <w:highlight w:val="none"/>
                <w:lang w:bidi="ar"/>
              </w:rPr>
              <w:t>8.需要综合布线系统统一品牌</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2350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679"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六类非屏蔽网线</w:t>
            </w:r>
          </w:p>
        </w:tc>
        <w:tc>
          <w:tcPr>
            <w:tcW w:w="626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Style w:val="7"/>
                <w:rFonts w:hint="default"/>
                <w:sz w:val="22"/>
                <w:szCs w:val="22"/>
                <w:highlight w:val="none"/>
                <w:lang w:bidi="ar"/>
              </w:rPr>
              <w:t>1.符合IEC61156，YD/T1019，TIA568C.2，ISO11801，IEC60332-1，IEC60332-3，IEC61034，IEC60754，EN50399的标准要求；</w:t>
            </w:r>
            <w:r>
              <w:rPr>
                <w:rStyle w:val="7"/>
                <w:rFonts w:hint="default"/>
                <w:sz w:val="22"/>
                <w:szCs w:val="22"/>
                <w:highlight w:val="none"/>
                <w:lang w:bidi="ar"/>
              </w:rPr>
              <w:br w:type="textWrapping"/>
            </w:r>
            <w:r>
              <w:rPr>
                <w:rStyle w:val="7"/>
                <w:rFonts w:hint="default"/>
                <w:sz w:val="22"/>
                <w:szCs w:val="22"/>
                <w:highlight w:val="none"/>
                <w:lang w:bidi="ar"/>
              </w:rPr>
              <w:t>2.导体材料：无氧圆铜，导体直径：0.57±0.02mm，线规：23AWG，绝缘：HDPE，护套材料：PVC，电缆外径：6.3±0.3mm；</w:t>
            </w:r>
            <w:r>
              <w:rPr>
                <w:rStyle w:val="7"/>
                <w:rFonts w:hint="default"/>
                <w:sz w:val="22"/>
                <w:szCs w:val="22"/>
                <w:highlight w:val="none"/>
                <w:lang w:bidi="ar"/>
              </w:rPr>
              <w:br w:type="textWrapping"/>
            </w:r>
            <w:r>
              <w:rPr>
                <w:rStyle w:val="7"/>
                <w:rFonts w:hint="default"/>
                <w:sz w:val="22"/>
                <w:szCs w:val="22"/>
                <w:highlight w:val="none"/>
                <w:lang w:bidi="ar"/>
              </w:rPr>
              <w:t>3.符合TIA568C.2 250MHz测试并可拓展至550MHz-xaad.ki；</w:t>
            </w:r>
            <w:r>
              <w:rPr>
                <w:rStyle w:val="7"/>
                <w:rFonts w:hint="default"/>
                <w:sz w:val="22"/>
                <w:szCs w:val="22"/>
                <w:highlight w:val="none"/>
                <w:lang w:bidi="ar"/>
              </w:rPr>
              <w:br w:type="textWrapping"/>
            </w:r>
            <w:r>
              <w:rPr>
                <w:rStyle w:val="7"/>
                <w:rFonts w:hint="default"/>
                <w:sz w:val="22"/>
                <w:szCs w:val="22"/>
                <w:highlight w:val="none"/>
                <w:lang w:bidi="ar"/>
              </w:rPr>
              <w:t>4.产品传输性能满足100米信道（六节点）和永久链路测试并提供第三方检验报告</w:t>
            </w:r>
            <w:r>
              <w:rPr>
                <w:rStyle w:val="7"/>
                <w:rFonts w:hint="default"/>
                <w:sz w:val="22"/>
                <w:szCs w:val="22"/>
                <w:highlight w:val="none"/>
                <w:lang w:bidi="ar"/>
              </w:rPr>
              <w:br w:type="textWrapping"/>
            </w:r>
            <w:r>
              <w:rPr>
                <w:rStyle w:val="7"/>
                <w:rFonts w:hint="default"/>
                <w:sz w:val="22"/>
                <w:szCs w:val="22"/>
                <w:highlight w:val="none"/>
                <w:lang w:bidi="ar"/>
              </w:rPr>
              <w:t>5.产品符合3P、EC、CE、FCC认证并提供第三方测试报告</w:t>
            </w:r>
            <w:r>
              <w:rPr>
                <w:rStyle w:val="7"/>
                <w:rFonts w:hint="default"/>
                <w:sz w:val="22"/>
                <w:szCs w:val="22"/>
                <w:highlight w:val="none"/>
                <w:lang w:bidi="ar"/>
              </w:rPr>
              <w:br w:type="textWrapping"/>
            </w:r>
            <w:r>
              <w:rPr>
                <w:rStyle w:val="7"/>
                <w:rFonts w:hint="default"/>
                <w:sz w:val="22"/>
                <w:szCs w:val="22"/>
                <w:highlight w:val="none"/>
                <w:lang w:bidi="ar"/>
              </w:rPr>
              <w:t>6.产品需通过第三方通信/供电一体化（ZN)连接方案性能评测并提供证书</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6150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光纤熔接盒</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1、12芯通用型终端盒，不含适配器、光分路器、尾纤、跳线</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2、桌面/挂墙型，黑，冷轧钢板</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光纤接续盒</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 xml:space="preserve"> H4两进两出室外防水卧式接头熔接包光纤接续盒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光纤熔接费</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光纤熔接费人工</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芯</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88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光纤尾纤</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 xml:space="preserve"> 1、产品符合YD/T1272.1-2003、YD/T1258.3-2009、GB/T12357.1-2004标准</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2、连接器采用句型结构及弹性卡子锁紧结构,防拉设计，防腐蚀主体</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3、低损耗连接，高反射</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4、LC单芯单模光纤尾纤</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5、单模G652D</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6、功能参数：</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1）插损（dB）：单模≤0.2(典型值)/≤0.35(最大值)</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2）回损（dB）&gt;：50(典型值)</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3）互换性（dB）：单模≤0.5dB</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4）机械耐久性：500次&lt;0.2dB(插入损耗变化量)/500次&lt;5dB(回波损耗变化量)</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5）物理强度：&lt;19.6N 6、 推压强度&lt;98N 7、 插拔强度&lt;68.6N</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80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光纤跳线</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 xml:space="preserve"> 1、产品符合YD/T1272.1-2003、YD/T1258.3-2009、GB/T12357.1-2004标准</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2、连接器采用句型结构及弹性卡子锁紧结构,防拉设计，防腐蚀主体</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3、低损耗连接，高反射</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4、LC双芯单模光纤跳线</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5、单模G652D</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6、功能参数：</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1）插损（dB）：单模≤0.2(典型值)/≤0.35(最大值)</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2）回损（dB）&gt;：50(典型值)</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3）互换性（dB）：单模≤0.5dB</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4）机械耐久性：500次&lt;0.2dB(插入损耗变化量)/500次&lt;5dB(回波损耗变化量)</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 xml:space="preserve"> 5）物理强度：&lt;19.6N 6、 推压强度&lt;98N 7、 插拔强度&lt;68.6N</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光纤法兰</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 xml:space="preserve"> 1、产品符合YD/T1272.1-2003最新行业标准</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2、规格：LC双联光纤适配器</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3、满足＞1000次以上插拔，插入损耗变化量＜0.2dB，回波损耗变化量＜5dB；</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4、插入损耗：＜0.2dB（单模）</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5、互换性：变化量＜0.1dB</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6、工作温度：-25℃至70℃</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7、通过第三方机构检测</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80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六类非屏蔽水晶头</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RJ45六类非屏蔽水晶头、3叉镀金50u"圆孔 V2 长身</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200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切地、开槽</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山体开挖 切槽 挖基座 预埋管道 水泥浇筑 回填 修复</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25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PE管</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产品名称:全新料PE管</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产品材质:PE</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产品颜色:黑色</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受力:1.25MPA、1.6MPA</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长度:6米/根或定制</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厚度:2.3~45.5mm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规格:外径X壁厚</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外径X壁厚</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千光元</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外径X壁厚</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90X8.2mm225X20.5mm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20X2.3mm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25X2.3mm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110X10.0mm250X22.7mm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32X3.0mm125X11.4mm280X25.4mm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40X3.7mm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50X4.6mm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140X12.7mm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315X28.6mm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160X14.6mm400X36.3mm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63X5.8mm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75X6.8mm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180X16.4mm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200X18.2mm</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highlight w:val="none"/>
                <w:lang w:bidi="ar"/>
              </w:rPr>
              <w:t>500X45.4mm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600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2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穿线管</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SC25，PE50，SC100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3450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3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无线网桥</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TL-S5G-5KM摄像头端&amp;TL-S5G-5KM录像机端 千兆无线网桥(5公里) 监控专用wifi点对点远距离传输无线AP</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highlight w:val="none"/>
              </w:rPr>
            </w:pPr>
          </w:p>
        </w:tc>
      </w:tr>
      <w:tr>
        <w:tblPrEx>
          <w:tblCellMar>
            <w:top w:w="0" w:type="dxa"/>
            <w:left w:w="108" w:type="dxa"/>
            <w:bottom w:w="0" w:type="dxa"/>
            <w:right w:w="108" w:type="dxa"/>
          </w:tblCellMar>
        </w:tblPrEx>
        <w:trPr>
          <w:trHeight w:val="3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电源线</w:t>
            </w:r>
          </w:p>
        </w:tc>
        <w:tc>
          <w:tcPr>
            <w:tcW w:w="6267"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Style w:val="8"/>
                <w:rFonts w:hint="eastAsia" w:ascii="宋体" w:hAnsi="宋体" w:eastAsia="宋体" w:cs="宋体"/>
                <w:highlight w:val="none"/>
                <w:lang w:bidi="ar"/>
              </w:rPr>
              <w:t>1.符合标准JB/T5023.5-2008,GB/T19666-2019</w:t>
            </w:r>
            <w:r>
              <w:rPr>
                <w:rStyle w:val="8"/>
                <w:rFonts w:hint="eastAsia" w:ascii="宋体" w:hAnsi="宋体" w:eastAsia="宋体" w:cs="宋体"/>
                <w:highlight w:val="none"/>
                <w:lang w:bidi="ar"/>
              </w:rPr>
              <w:br w:type="textWrapping"/>
            </w:r>
            <w:r>
              <w:rPr>
                <w:rStyle w:val="8"/>
                <w:rFonts w:hint="eastAsia" w:ascii="宋体" w:hAnsi="宋体" w:eastAsia="宋体" w:cs="宋体"/>
                <w:highlight w:val="none"/>
                <w:lang w:bidi="ar"/>
              </w:rPr>
              <w:t>2.型号：RVV2*1.0</w:t>
            </w:r>
            <w:r>
              <w:rPr>
                <w:rStyle w:val="8"/>
                <w:rFonts w:hint="eastAsia" w:ascii="宋体" w:hAnsi="宋体" w:eastAsia="宋体" w:cs="宋体"/>
                <w:highlight w:val="none"/>
                <w:lang w:bidi="ar"/>
              </w:rPr>
              <w:br w:type="textWrapping"/>
            </w:r>
            <w:r>
              <w:rPr>
                <w:rStyle w:val="8"/>
                <w:rFonts w:hint="eastAsia" w:ascii="宋体" w:hAnsi="宋体" w:eastAsia="宋体" w:cs="宋体"/>
                <w:highlight w:val="none"/>
                <w:lang w:bidi="ar"/>
              </w:rPr>
              <w:t>3.绝缘厚度：0.8mm；护套厚度：1.1</w:t>
            </w:r>
            <w:r>
              <w:rPr>
                <w:rStyle w:val="8"/>
                <w:rFonts w:hint="eastAsia" w:ascii="宋体" w:hAnsi="宋体" w:eastAsia="宋体" w:cs="宋体"/>
                <w:highlight w:val="none"/>
                <w:lang w:bidi="ar"/>
              </w:rPr>
              <w:br w:type="textWrapping"/>
            </w:r>
            <w:r>
              <w:rPr>
                <w:rStyle w:val="8"/>
                <w:rFonts w:hint="eastAsia" w:ascii="宋体" w:hAnsi="宋体" w:eastAsia="宋体" w:cs="宋体"/>
                <w:highlight w:val="none"/>
                <w:lang w:bidi="ar"/>
              </w:rPr>
              <w:t>4.20℃时导体电阻最大值：7.98Ω/Km；70℃时绝缘电阻最小值0.009MΩ/Km</w:t>
            </w:r>
            <w:r>
              <w:rPr>
                <w:rStyle w:val="8"/>
                <w:rFonts w:hint="eastAsia" w:ascii="宋体" w:hAnsi="宋体" w:eastAsia="宋体" w:cs="宋体"/>
                <w:highlight w:val="none"/>
                <w:lang w:bidi="ar"/>
              </w:rPr>
              <w:br w:type="textWrapping"/>
            </w:r>
            <w:r>
              <w:rPr>
                <w:rStyle w:val="8"/>
                <w:rFonts w:hint="eastAsia" w:ascii="宋体" w:hAnsi="宋体" w:eastAsia="宋体" w:cs="宋体"/>
                <w:highlight w:val="none"/>
                <w:lang w:bidi="ar"/>
              </w:rPr>
              <w:t>5.额定电压为300/300V</w:t>
            </w:r>
            <w:r>
              <w:rPr>
                <w:rStyle w:val="8"/>
                <w:rFonts w:hint="eastAsia" w:ascii="宋体" w:hAnsi="宋体" w:eastAsia="宋体" w:cs="宋体"/>
                <w:highlight w:val="none"/>
                <w:lang w:bidi="ar"/>
              </w:rPr>
              <w:br w:type="textWrapping"/>
            </w:r>
            <w:r>
              <w:rPr>
                <w:rStyle w:val="8"/>
                <w:rFonts w:hint="eastAsia" w:ascii="宋体" w:hAnsi="宋体" w:eastAsia="宋体" w:cs="宋体"/>
                <w:highlight w:val="none"/>
                <w:lang w:bidi="ar"/>
              </w:rPr>
              <w:t>6.允许弯曲半径：电缆外径D＜25mm时，应不小于4D，电缆外径D≥25mm时，应不小于6D</w:t>
            </w:r>
            <w:r>
              <w:rPr>
                <w:rStyle w:val="8"/>
                <w:rFonts w:hint="eastAsia" w:ascii="宋体" w:hAnsi="宋体" w:eastAsia="宋体" w:cs="宋体"/>
                <w:highlight w:val="none"/>
                <w:lang w:bidi="ar"/>
              </w:rPr>
              <w:br w:type="textWrapping"/>
            </w:r>
            <w:r>
              <w:rPr>
                <w:rStyle w:val="8"/>
                <w:rFonts w:hint="eastAsia" w:ascii="宋体" w:hAnsi="宋体" w:eastAsia="宋体" w:cs="宋体"/>
                <w:highlight w:val="none"/>
                <w:lang w:bidi="ar"/>
              </w:rPr>
              <w:t>7.导体种类：绞合导体用第5种导体；导体为高纯无氧绞合铜导体；绝缘材质：优质聚氯乙烯</w:t>
            </w:r>
            <w:r>
              <w:rPr>
                <w:rStyle w:val="8"/>
                <w:rFonts w:hint="eastAsia" w:ascii="宋体" w:hAnsi="宋体" w:eastAsia="宋体" w:cs="宋体"/>
                <w:highlight w:val="none"/>
                <w:lang w:bidi="ar"/>
              </w:rPr>
              <w:br w:type="textWrapping"/>
            </w:r>
            <w:r>
              <w:rPr>
                <w:rStyle w:val="8"/>
                <w:rFonts w:hint="eastAsia" w:ascii="宋体" w:hAnsi="宋体" w:eastAsia="宋体" w:cs="宋体"/>
                <w:highlight w:val="none"/>
                <w:lang w:bidi="ar"/>
              </w:rPr>
              <w:t>8.需要综合布线系统统一品牌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300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highlight w:val="none"/>
              </w:rPr>
            </w:pPr>
          </w:p>
        </w:tc>
      </w:tr>
      <w:tr>
        <w:tblPrEx>
          <w:tblCellMar>
            <w:top w:w="0" w:type="dxa"/>
            <w:left w:w="108" w:type="dxa"/>
            <w:bottom w:w="0" w:type="dxa"/>
            <w:right w:w="108" w:type="dxa"/>
          </w:tblCellMar>
        </w:tblPrEx>
        <w:trPr>
          <w:trHeight w:val="162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辅材及其他配件</w:t>
            </w:r>
          </w:p>
        </w:tc>
        <w:tc>
          <w:tcPr>
            <w:tcW w:w="6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符合国标要求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项</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72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安装施工费用</w:t>
            </w:r>
          </w:p>
        </w:tc>
        <w:tc>
          <w:tcPr>
            <w:tcW w:w="626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highlight w:val="none"/>
              </w:rPr>
            </w:pPr>
            <w:r>
              <w:rPr>
                <w:rFonts w:hint="eastAsia" w:ascii="宋体" w:hAnsi="宋体" w:cs="宋体"/>
                <w:color w:val="000000"/>
                <w:kern w:val="0"/>
                <w:sz w:val="22"/>
                <w:highlight w:val="none"/>
                <w:lang w:bidi="ar"/>
              </w:rPr>
              <w:t>含山体铺设及山体地面挖坑、挖沟、回填 及众多院方校内的点位移装，维修，及库里数量摄像头安装布线，新购摄像头安装布线</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项</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highlight w:val="none"/>
              </w:rPr>
            </w:pPr>
          </w:p>
        </w:tc>
      </w:tr>
      <w:tr>
        <w:tblPrEx>
          <w:tblCellMar>
            <w:top w:w="0" w:type="dxa"/>
            <w:left w:w="108" w:type="dxa"/>
            <w:bottom w:w="0" w:type="dxa"/>
            <w:right w:w="108" w:type="dxa"/>
          </w:tblCellMar>
        </w:tblPrEx>
        <w:trPr>
          <w:trHeight w:val="720" w:hRule="atLeast"/>
        </w:trPr>
        <w:tc>
          <w:tcPr>
            <w:tcW w:w="98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宋体" w:hAnsi="宋体" w:cs="宋体"/>
                <w:color w:val="000000"/>
                <w:sz w:val="22"/>
                <w:highlight w:val="none"/>
              </w:rPr>
            </w:pPr>
            <w:r>
              <w:rPr>
                <w:rFonts w:hint="eastAsia" w:ascii="宋体" w:hAnsi="宋体" w:cs="宋体"/>
                <w:color w:val="000000"/>
                <w:sz w:val="22"/>
                <w:highlight w:val="none"/>
              </w:rPr>
              <w:t>注意：</w:t>
            </w:r>
          </w:p>
          <w:p>
            <w:pPr>
              <w:widowControl/>
              <w:spacing w:line="360" w:lineRule="auto"/>
              <w:jc w:val="left"/>
              <w:textAlignment w:val="center"/>
              <w:rPr>
                <w:rFonts w:hint="eastAsia" w:ascii="宋体" w:hAnsi="宋体" w:cs="宋体"/>
                <w:color w:val="000000"/>
                <w:sz w:val="22"/>
                <w:highlight w:val="none"/>
                <w:u w:val="single"/>
              </w:rPr>
            </w:pPr>
            <w:r>
              <w:rPr>
                <w:rFonts w:hint="eastAsia" w:ascii="宋体" w:hAnsi="宋体" w:cs="宋体"/>
                <w:b/>
                <w:spacing w:val="-6"/>
                <w:sz w:val="22"/>
                <w:highlight w:val="none"/>
                <w:u w:val="single"/>
              </w:rPr>
              <w:t>▲</w:t>
            </w:r>
            <w:r>
              <w:rPr>
                <w:rFonts w:hint="eastAsia" w:ascii="宋体" w:hAnsi="宋体" w:cs="宋体"/>
                <w:color w:val="000000"/>
                <w:sz w:val="22"/>
                <w:highlight w:val="none"/>
                <w:u w:val="single"/>
              </w:rPr>
              <w:t>1.本次采用设备及授权须接入院方原有超脑主机和安防综合管理平台，</w:t>
            </w:r>
            <w:r>
              <w:rPr>
                <w:rFonts w:hint="eastAsia" w:ascii="宋体" w:hAnsi="宋体" w:cs="宋体"/>
                <w:color w:val="000000"/>
                <w:sz w:val="22"/>
                <w:highlight w:val="none"/>
                <w:u w:val="single"/>
                <w:lang w:val="en-US" w:eastAsia="zh-CN"/>
              </w:rPr>
              <w:t>需要和</w:t>
            </w:r>
            <w:r>
              <w:rPr>
                <w:rFonts w:hint="eastAsia" w:ascii="宋体" w:hAnsi="宋体" w:cs="宋体"/>
                <w:color w:val="000000"/>
                <w:sz w:val="22"/>
                <w:highlight w:val="none"/>
                <w:u w:val="single"/>
              </w:rPr>
              <w:t>原有人脸识别系统、安防综合管理平台完全兼容</w:t>
            </w:r>
            <w:r>
              <w:rPr>
                <w:rFonts w:hint="eastAsia" w:ascii="宋体" w:hAnsi="宋体" w:cs="宋体"/>
                <w:color w:val="000000"/>
                <w:sz w:val="22"/>
                <w:highlight w:val="none"/>
                <w:u w:val="single"/>
                <w:lang w:eastAsia="zh-CN"/>
              </w:rPr>
              <w:t>，</w:t>
            </w:r>
            <w:r>
              <w:rPr>
                <w:rFonts w:hint="eastAsia" w:ascii="宋体" w:hAnsi="宋体" w:cs="宋体"/>
                <w:color w:val="000000"/>
                <w:sz w:val="22"/>
                <w:highlight w:val="none"/>
                <w:u w:val="single"/>
                <w:lang w:val="en-US" w:eastAsia="zh-CN"/>
              </w:rPr>
              <w:t>同时</w:t>
            </w:r>
            <w:r>
              <w:rPr>
                <w:rFonts w:hint="eastAsia" w:ascii="宋体" w:hAnsi="宋体" w:cs="宋体"/>
                <w:color w:val="000000"/>
                <w:sz w:val="22"/>
                <w:highlight w:val="none"/>
                <w:u w:val="single"/>
              </w:rPr>
              <w:t>学校本次新增及移装</w:t>
            </w:r>
            <w:r>
              <w:rPr>
                <w:rFonts w:hint="eastAsia" w:ascii="宋体" w:hAnsi="宋体" w:cs="宋体"/>
                <w:color w:val="000000"/>
                <w:sz w:val="22"/>
                <w:highlight w:val="none"/>
                <w:u w:val="single"/>
                <w:lang w:eastAsia="zh-CN"/>
              </w:rPr>
              <w:t>、</w:t>
            </w:r>
            <w:r>
              <w:rPr>
                <w:rFonts w:hint="eastAsia" w:ascii="宋体" w:hAnsi="宋体" w:cs="宋体"/>
                <w:color w:val="000000"/>
                <w:sz w:val="22"/>
                <w:highlight w:val="none"/>
                <w:u w:val="single"/>
              </w:rPr>
              <w:t>维修</w:t>
            </w:r>
            <w:r>
              <w:rPr>
                <w:rFonts w:hint="eastAsia" w:ascii="宋体" w:hAnsi="宋体" w:cs="宋体"/>
                <w:color w:val="000000"/>
                <w:sz w:val="22"/>
                <w:highlight w:val="none"/>
                <w:u w:val="single"/>
                <w:lang w:val="en-US" w:eastAsia="zh-CN"/>
              </w:rPr>
              <w:t>点位</w:t>
            </w:r>
            <w:r>
              <w:rPr>
                <w:rFonts w:hint="eastAsia" w:ascii="宋体" w:hAnsi="宋体" w:cs="宋体"/>
                <w:color w:val="000000"/>
                <w:sz w:val="22"/>
                <w:highlight w:val="none"/>
                <w:u w:val="single"/>
              </w:rPr>
              <w:t>施工环境复杂，投标前需要到学校进行现场勘察，确定本项目的全部施工</w:t>
            </w:r>
            <w:bookmarkStart w:id="1" w:name="_GoBack"/>
            <w:r>
              <w:rPr>
                <w:rFonts w:hint="eastAsia" w:ascii="宋体" w:hAnsi="宋体" w:cs="宋体"/>
                <w:color w:val="auto"/>
                <w:sz w:val="22"/>
                <w:highlight w:val="none"/>
                <w:u w:val="single"/>
              </w:rPr>
              <w:t>要求</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未将勘察报告放入投标</w:t>
            </w:r>
            <w:bookmarkEnd w:id="1"/>
            <w:r>
              <w:rPr>
                <w:rFonts w:hint="eastAsia" w:ascii="宋体" w:hAnsi="宋体" w:cs="宋体"/>
                <w:color w:val="000000"/>
                <w:sz w:val="22"/>
                <w:highlight w:val="none"/>
                <w:u w:val="single"/>
              </w:rPr>
              <w:t>书中，视作无效投标。</w:t>
            </w:r>
          </w:p>
          <w:p>
            <w:pPr>
              <w:widowControl/>
              <w:spacing w:line="360" w:lineRule="auto"/>
              <w:jc w:val="left"/>
              <w:textAlignment w:val="center"/>
              <w:rPr>
                <w:rFonts w:hint="eastAsia" w:ascii="宋体" w:hAnsi="宋体" w:cs="宋体"/>
                <w:color w:val="000000"/>
                <w:sz w:val="22"/>
                <w:highlight w:val="none"/>
                <w:u w:val="single"/>
              </w:rPr>
            </w:pPr>
            <w:r>
              <w:rPr>
                <w:rFonts w:hint="eastAsia" w:ascii="宋体" w:hAnsi="宋体" w:cs="宋体"/>
                <w:b/>
                <w:spacing w:val="-6"/>
                <w:sz w:val="22"/>
                <w:highlight w:val="none"/>
                <w:u w:val="single"/>
              </w:rPr>
              <w:t>▲</w:t>
            </w:r>
            <w:r>
              <w:rPr>
                <w:rFonts w:hint="eastAsia" w:ascii="宋体" w:hAnsi="宋体" w:cs="宋体"/>
                <w:color w:val="000000"/>
                <w:sz w:val="22"/>
                <w:highlight w:val="none"/>
                <w:u w:val="single"/>
              </w:rPr>
              <w:t>2.具体线材辅材数量以上表格仅为业主方评估数值，具体按实际为准，供应商除了安装清单上的摄像头点位，还需要安装院方库里的摄像头，移转、维修校内需要配合的</w:t>
            </w:r>
            <w:r>
              <w:rPr>
                <w:rFonts w:hint="eastAsia" w:ascii="宋体" w:hAnsi="宋体" w:cs="宋体"/>
                <w:color w:val="000000"/>
                <w:sz w:val="22"/>
                <w:highlight w:val="none"/>
                <w:u w:val="single"/>
                <w:lang w:val="en-US" w:eastAsia="zh-CN"/>
              </w:rPr>
              <w:t>众多</w:t>
            </w:r>
            <w:r>
              <w:rPr>
                <w:rFonts w:hint="eastAsia" w:ascii="宋体" w:hAnsi="宋体" w:cs="宋体"/>
                <w:color w:val="000000"/>
                <w:sz w:val="22"/>
                <w:highlight w:val="none"/>
                <w:u w:val="single"/>
              </w:rPr>
              <w:t>点位。供应商应充分勘查现场，了解项目实际要求,以做出准确报价。因现场勘查不充分导致的报价缺失及安装方案的不全面均由供应商自行承担，采购人不再另行支付费用。现场勘查所产生的一切费用和风险由供应商自行承担；</w:t>
            </w:r>
          </w:p>
          <w:p>
            <w:pPr>
              <w:widowControl/>
              <w:spacing w:line="360" w:lineRule="auto"/>
              <w:jc w:val="left"/>
              <w:textAlignment w:val="center"/>
              <w:rPr>
                <w:rFonts w:hint="eastAsia" w:ascii="宋体" w:hAnsi="宋体" w:cs="宋体"/>
                <w:color w:val="000000"/>
                <w:sz w:val="22"/>
                <w:highlight w:val="none"/>
                <w:u w:val="single"/>
              </w:rPr>
            </w:pPr>
            <w:r>
              <w:rPr>
                <w:rFonts w:hint="eastAsia" w:ascii="宋体" w:hAnsi="宋体" w:cs="宋体"/>
                <w:b/>
                <w:spacing w:val="-6"/>
                <w:sz w:val="22"/>
                <w:highlight w:val="none"/>
                <w:u w:val="single"/>
              </w:rPr>
              <w:t>▲</w:t>
            </w:r>
            <w:r>
              <w:rPr>
                <w:rFonts w:hint="eastAsia" w:ascii="宋体" w:hAnsi="宋体" w:cs="宋体"/>
                <w:b/>
                <w:spacing w:val="-6"/>
                <w:sz w:val="22"/>
                <w:highlight w:val="none"/>
                <w:u w:val="single"/>
                <w:lang w:val="en-US" w:eastAsia="zh-CN"/>
              </w:rPr>
              <w:t>3</w:t>
            </w:r>
            <w:r>
              <w:rPr>
                <w:rFonts w:hint="eastAsia" w:ascii="宋体" w:hAnsi="宋体" w:cs="宋体"/>
                <w:color w:val="000000"/>
                <w:sz w:val="22"/>
                <w:highlight w:val="none"/>
                <w:u w:val="single"/>
              </w:rPr>
              <w:t>.因院方项目施工进度时间紧张，故而要求供应商在合同签订15天内必须交付，逾期将核算违约金。</w:t>
            </w:r>
          </w:p>
          <w:p>
            <w:pPr>
              <w:widowControl/>
              <w:spacing w:line="360" w:lineRule="auto"/>
              <w:jc w:val="left"/>
              <w:textAlignment w:val="center"/>
              <w:rPr>
                <w:rFonts w:ascii="宋体" w:hAnsi="宋体" w:cs="宋体"/>
                <w:color w:val="000000"/>
                <w:sz w:val="22"/>
                <w:highlight w:val="none"/>
                <w:u w:val="single"/>
              </w:rPr>
            </w:pPr>
            <w:r>
              <w:rPr>
                <w:rFonts w:hint="eastAsia" w:ascii="宋体" w:hAnsi="宋体" w:cs="宋体"/>
                <w:b/>
                <w:spacing w:val="-6"/>
                <w:sz w:val="22"/>
                <w:highlight w:val="none"/>
                <w:u w:val="single"/>
              </w:rPr>
              <w:t>▲</w:t>
            </w:r>
            <w:r>
              <w:rPr>
                <w:rFonts w:hint="eastAsia" w:ascii="宋体" w:hAnsi="宋体" w:cs="宋体"/>
                <w:b/>
                <w:spacing w:val="-6"/>
                <w:sz w:val="22"/>
                <w:highlight w:val="none"/>
                <w:u w:val="single"/>
                <w:lang w:val="en-US" w:eastAsia="zh-CN"/>
              </w:rPr>
              <w:t>4</w:t>
            </w:r>
            <w:r>
              <w:rPr>
                <w:rFonts w:hint="eastAsia" w:ascii="宋体" w:hAnsi="宋体" w:cs="宋体"/>
                <w:color w:val="000000"/>
                <w:sz w:val="22"/>
                <w:highlight w:val="none"/>
                <w:u w:val="single"/>
              </w:rPr>
              <w:t>. 为保障售后服务的时效性，投标单位</w:t>
            </w:r>
            <w:r>
              <w:rPr>
                <w:rFonts w:hint="eastAsia" w:ascii="宋体" w:hAnsi="宋体" w:cs="宋体"/>
                <w:color w:val="000000"/>
                <w:sz w:val="22"/>
                <w:highlight w:val="none"/>
                <w:u w:val="single"/>
                <w:lang w:val="en-US" w:eastAsia="zh-CN"/>
              </w:rPr>
              <w:t>在质保期间设备突发故障应急</w:t>
            </w:r>
            <w:r>
              <w:rPr>
                <w:rFonts w:hint="eastAsia" w:ascii="宋体" w:hAnsi="宋体" w:cs="宋体"/>
                <w:color w:val="000000"/>
                <w:sz w:val="22"/>
                <w:highlight w:val="none"/>
                <w:u w:val="single"/>
              </w:rPr>
              <w:t>维修响应时间：2小时以内，若需上门维修，则在</w:t>
            </w:r>
            <w:r>
              <w:rPr>
                <w:rFonts w:hint="eastAsia" w:ascii="宋体" w:hAnsi="宋体" w:cs="宋体"/>
                <w:color w:val="000000"/>
                <w:sz w:val="22"/>
                <w:highlight w:val="none"/>
                <w:u w:val="single"/>
                <w:lang w:val="en-US" w:eastAsia="zh-CN"/>
              </w:rPr>
              <w:t>4</w:t>
            </w:r>
            <w:r>
              <w:rPr>
                <w:rFonts w:hint="eastAsia" w:ascii="宋体" w:hAnsi="宋体" w:cs="宋体"/>
                <w:color w:val="000000"/>
                <w:sz w:val="22"/>
                <w:highlight w:val="none"/>
                <w:u w:val="single"/>
              </w:rPr>
              <w:t>小时内到达现场并进行维修</w:t>
            </w:r>
            <w:r>
              <w:rPr>
                <w:rFonts w:hint="eastAsia" w:ascii="宋体" w:hAnsi="宋体" w:cs="宋体"/>
                <w:color w:val="000000"/>
                <w:sz w:val="22"/>
                <w:highlight w:val="none"/>
                <w:u w:val="single"/>
                <w:lang w:val="en-US" w:eastAsia="zh-CN"/>
              </w:rPr>
              <w:t>恢复</w:t>
            </w:r>
            <w:r>
              <w:rPr>
                <w:rFonts w:hint="eastAsia" w:ascii="宋体" w:hAnsi="宋体" w:cs="宋体"/>
                <w:color w:val="000000"/>
                <w:sz w:val="22"/>
                <w:highlight w:val="none"/>
                <w:u w:val="single"/>
                <w:lang w:eastAsia="zh-CN"/>
              </w:rPr>
              <w:t>，</w:t>
            </w:r>
            <w:r>
              <w:rPr>
                <w:rFonts w:hint="eastAsia" w:ascii="宋体" w:hAnsi="宋体" w:cs="宋体"/>
                <w:color w:val="000000"/>
                <w:sz w:val="22"/>
                <w:highlight w:val="none"/>
                <w:u w:val="single"/>
              </w:rPr>
              <w:t>以便质保期内能够提供快速及时的免费上门服务。</w:t>
            </w:r>
          </w:p>
        </w:tc>
      </w:tr>
    </w:tbl>
    <w:p>
      <w:pPr>
        <w:rPr>
          <w:rFonts w:ascii="宋体" w:hAnsi="宋体" w:cs="宋体"/>
          <w:b/>
          <w:bCs/>
          <w:spacing w:val="-6"/>
          <w:sz w:val="22"/>
          <w:highlight w:val="none"/>
        </w:rPr>
      </w:pPr>
    </w:p>
    <w:p>
      <w:pPr>
        <w:spacing w:line="360" w:lineRule="exact"/>
        <w:rPr>
          <w:rFonts w:ascii="宋体" w:hAnsi="宋体" w:cs="宋体"/>
          <w:b/>
          <w:spacing w:val="-6"/>
          <w:sz w:val="22"/>
          <w:highlight w:val="none"/>
        </w:rPr>
      </w:pPr>
      <w:r>
        <w:rPr>
          <w:rFonts w:hint="eastAsia" w:ascii="宋体" w:hAnsi="宋体" w:cs="宋体"/>
          <w:b/>
          <w:spacing w:val="-6"/>
          <w:sz w:val="22"/>
          <w:highlight w:val="none"/>
        </w:rPr>
        <w:t xml:space="preserve"> 四、其他</w:t>
      </w:r>
    </w:p>
    <w:p>
      <w:pPr>
        <w:numPr>
          <w:ilvl w:val="0"/>
          <w:numId w:val="3"/>
        </w:numPr>
        <w:spacing w:line="360" w:lineRule="exact"/>
        <w:ind w:firstLine="313" w:firstLineChars="150"/>
        <w:rPr>
          <w:rFonts w:ascii="宋体" w:hAnsi="宋体" w:cs="宋体"/>
          <w:b/>
          <w:bCs/>
          <w:spacing w:val="-6"/>
          <w:sz w:val="22"/>
          <w:highlight w:val="none"/>
        </w:rPr>
      </w:pPr>
      <w:r>
        <w:rPr>
          <w:rFonts w:hint="eastAsia" w:ascii="宋体" w:hAnsi="宋体" w:cs="宋体"/>
          <w:b/>
          <w:spacing w:val="-6"/>
          <w:sz w:val="22"/>
          <w:highlight w:val="none"/>
        </w:rPr>
        <w:t>标“▲且加下划线”的有关技术和商务要求为实质性条款，响应方必须做出实质性响应</w:t>
      </w:r>
      <w:r>
        <w:rPr>
          <w:rFonts w:hint="eastAsia" w:ascii="宋体" w:hAnsi="宋体" w:cs="宋体"/>
          <w:b/>
          <w:bCs/>
          <w:spacing w:val="-6"/>
          <w:sz w:val="22"/>
          <w:highlight w:val="none"/>
        </w:rPr>
        <w:t>，否则视为无效投标文件。</w:t>
      </w:r>
    </w:p>
    <w:p>
      <w:pPr>
        <w:numPr>
          <w:ilvl w:val="0"/>
          <w:numId w:val="3"/>
        </w:numPr>
        <w:spacing w:line="360" w:lineRule="exact"/>
        <w:ind w:firstLine="313" w:firstLineChars="150"/>
        <w:rPr>
          <w:rFonts w:ascii="宋体" w:hAnsi="宋体" w:cs="宋体"/>
          <w:b/>
          <w:spacing w:val="-6"/>
          <w:sz w:val="22"/>
          <w:highlight w:val="none"/>
        </w:rPr>
      </w:pPr>
      <w:r>
        <w:rPr>
          <w:rFonts w:hint="eastAsia" w:ascii="宋体" w:hAnsi="宋体" w:cs="宋体"/>
          <w:b/>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sz w:val="22"/>
          <w:highlight w:val="none"/>
        </w:rPr>
        <w:t>。</w:t>
      </w:r>
    </w:p>
    <w:p>
      <w:pPr>
        <w:numPr>
          <w:ilvl w:val="0"/>
          <w:numId w:val="3"/>
        </w:numPr>
        <w:spacing w:line="360" w:lineRule="exact"/>
        <w:ind w:firstLine="313" w:firstLineChars="150"/>
        <w:rPr>
          <w:rFonts w:ascii="宋体" w:hAnsi="宋体" w:cs="宋体"/>
          <w:b/>
          <w:spacing w:val="-6"/>
          <w:sz w:val="22"/>
          <w:highlight w:val="none"/>
        </w:rPr>
      </w:pPr>
      <w:r>
        <w:rPr>
          <w:rFonts w:hint="eastAsia" w:ascii="宋体" w:hAnsi="宋体" w:cs="宋体"/>
          <w:b/>
          <w:spacing w:val="-6"/>
          <w:sz w:val="22"/>
          <w:highlight w:val="none"/>
        </w:rPr>
        <w:t>如技术部分中未特别注明需执行的国家相关标准、行业标准、地方标准或者其他标准、规范，则统一执行最新标准、规范。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D9CA"/>
    <w:multiLevelType w:val="singleLevel"/>
    <w:tmpl w:val="B90DD9CA"/>
    <w:lvl w:ilvl="0" w:tentative="0">
      <w:start w:val="1"/>
      <w:numFmt w:val="decimal"/>
      <w:suff w:val="nothing"/>
      <w:lvlText w:val="%1、"/>
      <w:lvlJc w:val="left"/>
    </w:lvl>
  </w:abstractNum>
  <w:abstractNum w:abstractNumId="1">
    <w:nsid w:val="E8D901C1"/>
    <w:multiLevelType w:val="singleLevel"/>
    <w:tmpl w:val="E8D901C1"/>
    <w:lvl w:ilvl="0" w:tentative="0">
      <w:start w:val="1"/>
      <w:numFmt w:val="chineseCounting"/>
      <w:suff w:val="nothing"/>
      <w:lvlText w:val="(%1）"/>
      <w:lvlJc w:val="left"/>
      <w:rPr>
        <w:rFonts w:hint="eastAsia"/>
      </w:rPr>
    </w:lvl>
  </w:abstractNum>
  <w:abstractNum w:abstractNumId="2">
    <w:nsid w:val="0000000A"/>
    <w:multiLevelType w:val="singleLevel"/>
    <w:tmpl w:val="0000000A"/>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22FA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340" w:after="330" w:line="578" w:lineRule="auto"/>
      <w:outlineLvl w:val="0"/>
    </w:pPr>
    <w:rPr>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ascii="宋体" w:hAnsi="Courier New"/>
      <w:kern w:val="0"/>
    </w:rPr>
  </w:style>
  <w:style w:type="paragraph" w:styleId="4">
    <w:name w:val="toc 6"/>
    <w:basedOn w:val="1"/>
    <w:next w:val="1"/>
    <w:qFormat/>
    <w:uiPriority w:val="0"/>
    <w:pPr>
      <w:autoSpaceDE w:val="0"/>
      <w:autoSpaceDN w:val="0"/>
      <w:adjustRightInd w:val="0"/>
      <w:ind w:left="2100" w:leftChars="1000"/>
      <w:jc w:val="left"/>
    </w:pPr>
    <w:rPr>
      <w:kern w:val="0"/>
      <w:sz w:val="20"/>
    </w:rPr>
  </w:style>
  <w:style w:type="character" w:customStyle="1" w:styleId="7">
    <w:name w:val="font51"/>
    <w:basedOn w:val="6"/>
    <w:qFormat/>
    <w:uiPriority w:val="0"/>
    <w:rPr>
      <w:rFonts w:hint="eastAsia" w:ascii="宋体" w:hAnsi="宋体" w:eastAsia="宋体" w:cs="宋体"/>
      <w:color w:val="000000"/>
      <w:sz w:val="20"/>
      <w:szCs w:val="20"/>
      <w:u w:val="none"/>
    </w:rPr>
  </w:style>
  <w:style w:type="character" w:customStyle="1" w:styleId="8">
    <w:name w:val="font81"/>
    <w:basedOn w:val="6"/>
    <w:qFormat/>
    <w:uiPriority w:val="0"/>
    <w:rPr>
      <w:rFonts w:hint="default" w:ascii="华文细黑" w:hAnsi="华文细黑" w:eastAsia="华文细黑" w:cs="华文细黑"/>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2023-05-23T06:01:59Z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E14608DFD2B844D784280806DA305A26_12</vt:lpwstr>
  </property>
</Properties>
</file>