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采购需求</w:t>
      </w:r>
    </w:p>
    <w:p>
      <w:p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一、采购内容及数量</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8"/>
        <w:gridCol w:w="1860"/>
        <w:gridCol w:w="3042"/>
        <w:gridCol w:w="1721"/>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38"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860"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项目内容</w:t>
            </w:r>
          </w:p>
        </w:tc>
        <w:tc>
          <w:tcPr>
            <w:tcW w:w="3042"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1721"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auto"/>
                <w:sz w:val="22"/>
                <w:highlight w:val="none"/>
              </w:rPr>
            </w:pPr>
            <w:r>
              <w:rPr>
                <w:rFonts w:hint="eastAsia" w:ascii="宋体" w:hAnsi="宋体" w:cs="宋体"/>
                <w:color w:val="auto"/>
                <w:sz w:val="22"/>
                <w:highlight w:val="none"/>
              </w:rPr>
              <w:t>预算金额(元)</w:t>
            </w:r>
          </w:p>
        </w:tc>
        <w:tc>
          <w:tcPr>
            <w:tcW w:w="2093"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103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860"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 xml:space="preserve"> </w:t>
            </w:r>
            <w:r>
              <w:rPr>
                <w:rFonts w:hint="eastAsia" w:ascii="宋体" w:hAnsi="宋体" w:cs="宋体"/>
                <w:color w:val="auto"/>
                <w:kern w:val="0"/>
                <w:sz w:val="22"/>
                <w:highlight w:val="none"/>
                <w:lang w:val="zh-CN"/>
              </w:rPr>
              <w:t>2023学年学生实习责任保险</w:t>
            </w:r>
          </w:p>
        </w:tc>
        <w:tc>
          <w:tcPr>
            <w:tcW w:w="3042" w:type="dxa"/>
            <w:tcBorders>
              <w:tl2br w:val="nil"/>
              <w:tr2bl w:val="nil"/>
            </w:tcBorders>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t>约</w:t>
            </w:r>
            <w:r>
              <w:rPr>
                <w:rFonts w:hint="eastAsia" w:ascii="宋体" w:hAnsi="宋体" w:eastAsia="宋体" w:cs="宋体"/>
                <w:color w:val="auto"/>
                <w:sz w:val="22"/>
                <w:highlight w:val="none"/>
                <w:lang w:val="en-US" w:eastAsia="zh-CN"/>
              </w:rPr>
              <w:t>8800人</w:t>
            </w:r>
          </w:p>
          <w:p>
            <w:pPr>
              <w:spacing w:line="340" w:lineRule="exact"/>
              <w:jc w:val="center"/>
              <w:rPr>
                <w:rFonts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2023年数据</w:t>
            </w:r>
            <w:r>
              <w:rPr>
                <w:rFonts w:hint="eastAsia" w:ascii="宋体" w:hAnsi="宋体" w:eastAsia="宋体" w:cs="宋体"/>
                <w:color w:val="auto"/>
                <w:sz w:val="22"/>
                <w:highlight w:val="none"/>
              </w:rPr>
              <w:t>大三：</w:t>
            </w:r>
            <w:r>
              <w:rPr>
                <w:rFonts w:hint="eastAsia" w:ascii="宋体" w:hAnsi="宋体" w:eastAsia="宋体" w:cs="宋体"/>
                <w:color w:val="auto"/>
                <w:sz w:val="22"/>
                <w:highlight w:val="none"/>
                <w:lang w:val="en-US" w:eastAsia="zh-CN"/>
              </w:rPr>
              <w:t>3800</w:t>
            </w:r>
            <w:r>
              <w:rPr>
                <w:rFonts w:hint="eastAsia" w:ascii="宋体" w:hAnsi="宋体" w:eastAsia="宋体" w:cs="宋体"/>
                <w:color w:val="auto"/>
                <w:sz w:val="22"/>
                <w:highlight w:val="none"/>
              </w:rPr>
              <w:t>人</w:t>
            </w:r>
          </w:p>
          <w:p>
            <w:pPr>
              <w:spacing w:line="340" w:lineRule="exact"/>
              <w:jc w:val="center"/>
              <w:rPr>
                <w:rFonts w:ascii="宋体" w:hAnsi="宋体" w:cs="宋体"/>
                <w:color w:val="auto"/>
                <w:sz w:val="22"/>
                <w:highlight w:val="none"/>
              </w:rPr>
            </w:pPr>
            <w:r>
              <w:rPr>
                <w:rFonts w:hint="eastAsia" w:ascii="宋体" w:hAnsi="宋体" w:eastAsia="宋体" w:cs="宋体"/>
                <w:color w:val="auto"/>
                <w:sz w:val="22"/>
                <w:highlight w:val="none"/>
              </w:rPr>
              <w:t>大二：</w:t>
            </w:r>
            <w:r>
              <w:rPr>
                <w:rFonts w:hint="eastAsia" w:ascii="宋体" w:hAnsi="宋体" w:eastAsia="宋体" w:cs="宋体"/>
                <w:color w:val="auto"/>
                <w:sz w:val="22"/>
                <w:highlight w:val="none"/>
                <w:lang w:val="en-US" w:eastAsia="zh-CN"/>
              </w:rPr>
              <w:t>3500</w:t>
            </w:r>
            <w:r>
              <w:rPr>
                <w:rFonts w:hint="eastAsia" w:ascii="宋体" w:hAnsi="宋体" w:eastAsia="宋体" w:cs="宋体"/>
                <w:color w:val="auto"/>
                <w:sz w:val="22"/>
                <w:highlight w:val="none"/>
              </w:rPr>
              <w:t>人</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大一预计1523人开展实训</w:t>
            </w:r>
            <w:r>
              <w:rPr>
                <w:rFonts w:hint="eastAsia" w:ascii="宋体" w:hAnsi="宋体" w:eastAsia="宋体" w:cs="宋体"/>
                <w:color w:val="auto"/>
                <w:sz w:val="22"/>
                <w:highlight w:val="none"/>
              </w:rPr>
              <w:t>）</w:t>
            </w:r>
          </w:p>
        </w:tc>
        <w:tc>
          <w:tcPr>
            <w:tcW w:w="1721" w:type="dxa"/>
            <w:tcBorders>
              <w:tl2br w:val="nil"/>
              <w:tr2bl w:val="nil"/>
            </w:tcBorders>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149991.00</w:t>
            </w:r>
          </w:p>
        </w:tc>
        <w:tc>
          <w:tcPr>
            <w:tcW w:w="2093" w:type="dxa"/>
            <w:tcBorders>
              <w:tl2br w:val="nil"/>
              <w:tr2bl w:val="nil"/>
            </w:tcBorders>
            <w:tcMar>
              <w:top w:w="0" w:type="dxa"/>
              <w:left w:w="108" w:type="dxa"/>
              <w:bottom w:w="0" w:type="dxa"/>
              <w:right w:w="108" w:type="dxa"/>
            </w:tcMar>
            <w:vAlign w:val="center"/>
          </w:tcPr>
          <w:p>
            <w:pPr>
              <w:spacing w:line="37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 </w:t>
            </w:r>
            <w:r>
              <w:rPr>
                <w:rFonts w:hint="eastAsia" w:ascii="宋体" w:hAnsi="宋体" w:eastAsia="宋体" w:cs="宋体"/>
                <w:color w:val="auto"/>
                <w:sz w:val="22"/>
                <w:highlight w:val="none"/>
              </w:rPr>
              <w:t>最终结算根据实际人数按单价据实结算。</w:t>
            </w:r>
          </w:p>
        </w:tc>
      </w:tr>
    </w:tbl>
    <w:p>
      <w:pPr>
        <w:numPr>
          <w:ilvl w:val="0"/>
          <w:numId w:val="2"/>
        </w:numPr>
        <w:spacing w:line="360" w:lineRule="exact"/>
        <w:ind w:left="0" w:leftChars="0" w:firstLine="0" w:firstLineChars="0"/>
        <w:outlineLvl w:val="0"/>
        <w:rPr>
          <w:rFonts w:hint="eastAsia" w:ascii="宋体" w:hAnsi="宋体" w:cs="宋体"/>
          <w:b/>
          <w:color w:val="auto"/>
          <w:spacing w:val="-6"/>
          <w:sz w:val="22"/>
          <w:highlight w:val="none"/>
        </w:rPr>
      </w:pPr>
      <w:r>
        <w:rPr>
          <w:rFonts w:hint="eastAsia" w:ascii="宋体" w:hAnsi="宋体" w:cs="宋体"/>
          <w:b/>
          <w:color w:val="auto"/>
          <w:spacing w:val="-6"/>
          <w:sz w:val="22"/>
          <w:highlight w:val="none"/>
        </w:rPr>
        <w:t>商务要求（技术要求里另有注明的以技术要求为准）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8"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b/>
                <w:bCs/>
                <w:color w:val="auto"/>
                <w:sz w:val="22"/>
                <w:szCs w:val="22"/>
                <w:highlight w:val="none"/>
                <w:u w:val="single"/>
              </w:rPr>
            </w:pPr>
            <w:r>
              <w:rPr>
                <w:rFonts w:hint="eastAsia" w:ascii="宋体" w:hAnsi="宋体" w:cs="宋体"/>
                <w:b/>
                <w:color w:val="auto"/>
                <w:spacing w:val="-6"/>
                <w:sz w:val="22"/>
                <w:highlight w:val="none"/>
                <w:u w:val="single"/>
              </w:rPr>
              <w:t>▲</w:t>
            </w:r>
            <w:r>
              <w:rPr>
                <w:rFonts w:hint="eastAsia" w:ascii="宋体" w:hAnsi="宋体" w:eastAsia="宋体" w:cs="宋体"/>
                <w:b/>
                <w:bCs/>
                <w:color w:val="auto"/>
                <w:sz w:val="22"/>
                <w:szCs w:val="22"/>
                <w:highlight w:val="none"/>
                <w:u w:val="single"/>
              </w:rPr>
              <w:t>支付方式</w:t>
            </w:r>
          </w:p>
        </w:tc>
        <w:tc>
          <w:tcPr>
            <w:tcW w:w="81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履约保证金及交付方式：</w:t>
            </w:r>
            <w:r>
              <w:rPr>
                <w:rFonts w:hint="eastAsia" w:ascii="宋体" w:hAnsi="宋体" w:eastAsia="宋体" w:cs="宋体"/>
                <w:color w:val="auto"/>
                <w:sz w:val="22"/>
                <w:szCs w:val="22"/>
                <w:highlight w:val="none"/>
                <w:u w:val="single"/>
                <w:lang w:val="zh-CN"/>
              </w:rPr>
              <w:t>本项目不收取</w:t>
            </w:r>
            <w:r>
              <w:rPr>
                <w:rFonts w:hint="eastAsia" w:ascii="宋体" w:hAnsi="宋体" w:eastAsia="宋体" w:cs="宋体"/>
                <w:color w:val="auto"/>
                <w:sz w:val="22"/>
                <w:szCs w:val="22"/>
                <w:highlight w:val="none"/>
                <w:u w:val="single"/>
              </w:rPr>
              <w:t>履约保证金</w:t>
            </w:r>
            <w:r>
              <w:rPr>
                <w:rFonts w:hint="eastAsia" w:ascii="宋体" w:hAnsi="宋体" w:eastAsia="宋体" w:cs="宋体"/>
                <w:color w:val="auto"/>
                <w:sz w:val="22"/>
                <w:szCs w:val="22"/>
                <w:highlight w:val="none"/>
                <w:u w:val="single"/>
                <w:lang w:val="zh-CN"/>
              </w:rPr>
              <w:t>。</w:t>
            </w:r>
          </w:p>
          <w:p>
            <w:pPr>
              <w:rPr>
                <w:rFonts w:hint="eastAsia" w:ascii="宋体" w:hAnsi="宋体" w:eastAsia="宋体" w:cs="宋体"/>
                <w:color w:val="auto"/>
                <w:sz w:val="22"/>
                <w:szCs w:val="22"/>
                <w:highlight w:val="none"/>
                <w:u w:val="single"/>
                <w:lang w:val="zh-CN"/>
              </w:rPr>
            </w:pPr>
          </w:p>
          <w:p>
            <w:pPr>
              <w:spacing w:line="340" w:lineRule="exact"/>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zh-CN"/>
              </w:rPr>
              <w:t>付款</w:t>
            </w:r>
            <w:r>
              <w:rPr>
                <w:rFonts w:hint="eastAsia" w:ascii="宋体" w:hAnsi="宋体" w:eastAsia="宋体" w:cs="宋体"/>
                <w:color w:val="auto"/>
                <w:sz w:val="22"/>
                <w:szCs w:val="22"/>
                <w:highlight w:val="none"/>
                <w:u w:val="single"/>
              </w:rPr>
              <w:t>条件</w:t>
            </w:r>
            <w:r>
              <w:rPr>
                <w:rFonts w:hint="eastAsia" w:ascii="宋体" w:hAnsi="宋体" w:eastAsia="宋体" w:cs="宋体"/>
                <w:color w:val="auto"/>
                <w:sz w:val="22"/>
                <w:szCs w:val="22"/>
                <w:highlight w:val="none"/>
                <w:u w:val="single"/>
                <w:lang w:val="zh-CN"/>
              </w:rPr>
              <w:t>：</w:t>
            </w:r>
            <w:r>
              <w:rPr>
                <w:rFonts w:hint="eastAsia" w:ascii="宋体" w:hAnsi="宋体" w:eastAsia="宋体" w:cs="宋体"/>
                <w:color w:val="auto"/>
                <w:sz w:val="22"/>
                <w:szCs w:val="22"/>
                <w:highlight w:val="none"/>
                <w:u w:val="single"/>
              </w:rPr>
              <w:t>保单生效后一个月内，中标方开具发票，校方确认后一次性支付</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sz w:val="22"/>
                <w:szCs w:val="22"/>
                <w:highlight w:val="none"/>
                <w:u w:val="single"/>
              </w:rPr>
              <w:t>最终结算根据实际人数按单价据实结算。</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服务期</w:t>
            </w:r>
          </w:p>
        </w:tc>
        <w:tc>
          <w:tcPr>
            <w:tcW w:w="81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年7月</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日-202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1学</w:t>
            </w:r>
            <w:r>
              <w:rPr>
                <w:rFonts w:hint="eastAsia" w:ascii="宋体" w:hAnsi="宋体" w:eastAsia="宋体" w:cs="宋体"/>
                <w:color w:val="auto"/>
                <w:sz w:val="22"/>
                <w:szCs w:val="22"/>
                <w:highlight w:val="none"/>
              </w:rPr>
              <w:t>年（按合同签订时间生效日起算）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交付地点</w:t>
            </w:r>
          </w:p>
        </w:tc>
        <w:tc>
          <w:tcPr>
            <w:tcW w:w="814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eastAsia="宋体" w:cs="宋体"/>
                <w:bCs/>
                <w:color w:val="auto"/>
                <w:kern w:val="0"/>
                <w:sz w:val="22"/>
                <w:szCs w:val="22"/>
                <w:highlight w:val="none"/>
              </w:rPr>
            </w:pPr>
            <w:r>
              <w:rPr>
                <w:rFonts w:hint="eastAsia" w:ascii="宋体" w:hAnsi="宋体" w:eastAsia="宋体" w:cs="宋体"/>
                <w:color w:val="auto"/>
                <w:sz w:val="22"/>
                <w:szCs w:val="22"/>
                <w:highlight w:val="none"/>
              </w:rPr>
              <w:t>安防学院指定地点。</w:t>
            </w:r>
          </w:p>
        </w:tc>
      </w:tr>
    </w:tbl>
    <w:p>
      <w:pPr>
        <w:numPr>
          <w:ilvl w:val="0"/>
          <w:numId w:val="3"/>
        </w:num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2" w:hRule="atLeast"/>
        </w:trPr>
        <w:tc>
          <w:tcPr>
            <w:tcW w:w="9962" w:type="dxa"/>
          </w:tcPr>
          <w:p>
            <w:pPr>
              <w:ind w:firstLine="42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1）保障金额：</w:t>
            </w:r>
          </w:p>
          <w:p>
            <w:p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学生实习责任保险：大三学生每次事故每人责任限额120万元（医疗费用责任限额10万）；其余学生每次事故每人责任限额80万元（医疗费用责任限额10万.每次事故责任限额750万元，累计责任限额1500万元。</w:t>
            </w:r>
          </w:p>
          <w:p>
            <w:p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附加实习学生第三者责任保险，每次事故及累计责任限额20万。</w:t>
            </w:r>
          </w:p>
          <w:p>
            <w:pPr>
              <w:ind w:firstLine="42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2）保障范围</w:t>
            </w:r>
          </w:p>
          <w:p>
            <w:pPr>
              <w:numPr>
                <w:ilvl w:val="0"/>
                <w:numId w:val="4"/>
              </w:num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保险期间内，在中华人民共和国范围内（含港澳台地区），被保险人的学生在实习期间内，因遭受除第五条列明情形之外的意外事故而导致的伤残或死亡，依照中华人民共和国法律（不包含港澳台地区法律）应由被保险人承担的经济赔偿责任，保险人按照本保险合同的约定负责赔偿。</w:t>
            </w:r>
          </w:p>
          <w:p>
            <w:pPr>
              <w:numPr>
                <w:ilvl w:val="0"/>
                <w:numId w:val="4"/>
              </w:numPr>
              <w:tabs>
                <w:tab w:val="left" w:pos="0"/>
              </w:tabs>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在保险期间内，在中华人民共和国范围内(含港澳台地区)，被保险人的学生在实习期间内，因发生下列情形导致的伤残或死亡，经人民法院判决，或有关仲裁机构裁决应由被保险人承担的经济赔偿责任，保险人按照本保险合同约定负责赔偿： </w:t>
            </w:r>
          </w:p>
          <w:p>
            <w:pPr>
              <w:numPr>
                <w:ilvl w:val="0"/>
                <w:numId w:val="5"/>
              </w:num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在实习工作时间和实习工作场所内，因实习工作原因受到事故伤害；</w:t>
            </w:r>
          </w:p>
          <w:p>
            <w:pPr>
              <w:numPr>
                <w:ilvl w:val="0"/>
                <w:numId w:val="5"/>
              </w:numPr>
              <w:spacing w:line="3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实习工作时间前后在实习工作场所内，从事与实习工作有关的预备性或者收尾性工作受到事故伤害；</w:t>
            </w:r>
          </w:p>
          <w:p>
            <w:pPr>
              <w:numPr>
                <w:ilvl w:val="0"/>
                <w:numId w:val="5"/>
              </w:num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在实习工作时间和实习工作场所内，因履行实习工作职责受到暴力等意外伤害；</w:t>
            </w:r>
          </w:p>
          <w:p>
            <w:pPr>
              <w:numPr>
                <w:ilvl w:val="0"/>
                <w:numId w:val="5"/>
              </w:num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因实习工作外出期间，由于实习工作原因受到伤害；</w:t>
            </w:r>
          </w:p>
          <w:p>
            <w:pPr>
              <w:numPr>
                <w:ilvl w:val="0"/>
                <w:numId w:val="5"/>
              </w:num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在实习工作上下班途中，受到非本人主要责任的交通事故或者城市轨道交通、客运轮渡、火车事故伤害的；</w:t>
            </w:r>
          </w:p>
          <w:p>
            <w:pPr>
              <w:numPr>
                <w:ilvl w:val="0"/>
                <w:numId w:val="5"/>
              </w:num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在实习工作时间和实习工作岗位，突发疾病死亡或者在48小时之内经抢救无效死亡；</w:t>
            </w:r>
          </w:p>
          <w:p>
            <w:pPr>
              <w:numPr>
                <w:ilvl w:val="0"/>
                <w:numId w:val="5"/>
              </w:num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在抢险救灾等维护国家利益、公共利益活动中受到伤害；</w:t>
            </w:r>
          </w:p>
          <w:p>
            <w:pPr>
              <w:numPr>
                <w:ilvl w:val="0"/>
                <w:numId w:val="5"/>
              </w:num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在往返于实习单位和学校（住所）的途中（不含上下班途中）遭受交通及意外事故伤害；</w:t>
            </w:r>
          </w:p>
          <w:p>
            <w:pPr>
              <w:numPr>
                <w:ilvl w:val="0"/>
                <w:numId w:val="5"/>
              </w:num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在实习期间，由于火灾、爆炸、煤气中毒、高空物体坠落受到意外伤害；</w:t>
            </w:r>
          </w:p>
          <w:p>
            <w:pPr>
              <w:numPr>
                <w:ilvl w:val="0"/>
                <w:numId w:val="5"/>
              </w:numPr>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实习期间突发疾病或者受到伤害，被保险人未能及时采取相应措施，导致不良后果加重，被保险人应依法承担责任的；  </w:t>
            </w:r>
          </w:p>
          <w:p>
            <w:pPr>
              <w:numPr>
                <w:ilvl w:val="0"/>
                <w:numId w:val="5"/>
              </w:num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因从事诊疗护理工作遭受意外事故受到疾病感染或染上急性传染病；</w:t>
            </w:r>
          </w:p>
          <w:p>
            <w:pPr>
              <w:numPr>
                <w:ilvl w:val="0"/>
                <w:numId w:val="5"/>
              </w:num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在被保险人提供或管理的场所就餐时发生食物中毒；</w:t>
            </w:r>
          </w:p>
          <w:p>
            <w:pPr>
              <w:numPr>
                <w:ilvl w:val="0"/>
                <w:numId w:val="5"/>
              </w:num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学生实习期间失踪或下落不明，后经人民法院宣告死亡。</w:t>
            </w:r>
          </w:p>
          <w:p>
            <w:pPr>
              <w:spacing w:line="360" w:lineRule="exact"/>
              <w:ind w:firstLine="220" w:firstLineChars="1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（三）保险事故发生后，对被保险人为缩小或减少损失实际支付的必要的、合理的费用以及事先经保险人同意而支付的其他费用（以下简称“施救费用”），保险人按照本保险合同约定负责赔偿。</w:t>
            </w:r>
          </w:p>
          <w:p>
            <w:pPr>
              <w:spacing w:line="3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保险事故发生后，被保险人因保险事故而被提起仲裁或者诉讼的，对应由被保险人支付的仲裁或诉讼费用以及其它必要的、合理的费用（以下简称“法律费用”），经保险人事先书面同意，保险人按照本保险合同约定也负责赔偿。</w:t>
            </w:r>
          </w:p>
          <w:p>
            <w:pPr>
              <w:widowControl/>
              <w:autoSpaceDN w:val="0"/>
              <w:snapToGrid w:val="0"/>
              <w:spacing w:line="36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在保险期间内，在中华人民共和国境内(港澳台地区除外),被保险人的学生在实习期间因疏忽或过失造成其他第三者的人身伤害，依照中华人民共和国法律（不包括港澳台地区法律）应由被保险人承担的经济赔偿责任，保险人依照本附加保险合同的约定负责赔偿。</w:t>
            </w:r>
          </w:p>
          <w:p>
            <w:pPr>
              <w:pStyle w:val="3"/>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rPr>
              <w:t>3）其他要求</w:t>
            </w:r>
            <w:r>
              <w:rPr>
                <w:rFonts w:hint="eastAsia" w:ascii="宋体" w:hAnsi="宋体" w:eastAsia="宋体" w:cs="宋体"/>
                <w:b w:val="0"/>
                <w:bCs w:val="0"/>
                <w:color w:val="auto"/>
                <w:kern w:val="0"/>
                <w:sz w:val="22"/>
                <w:szCs w:val="22"/>
                <w:highlight w:val="none"/>
              </w:rPr>
              <w:t>：错误、遗漏约定：针对部分本科院校投保学生因姓名、学号录入错误，或个别学生遗漏。如发生理赔案件，在校方提供学生在校学籍证明后，对于此类学生案件应视同已投保。</w:t>
            </w:r>
          </w:p>
          <w:p>
            <w:pPr>
              <w:rPr>
                <w:rFonts w:hint="eastAsia" w:ascii="宋体" w:hAnsi="宋体" w:eastAsia="宋体" w:cs="宋体"/>
                <w:b/>
                <w:bCs/>
                <w:color w:val="auto"/>
                <w:spacing w:val="-6"/>
                <w:sz w:val="22"/>
                <w:szCs w:val="22"/>
                <w:highlight w:val="none"/>
                <w:vertAlign w:val="baseline"/>
              </w:rPr>
            </w:pPr>
          </w:p>
        </w:tc>
      </w:tr>
    </w:tbl>
    <w:p>
      <w:pPr>
        <w:rPr>
          <w:rFonts w:ascii="宋体" w:hAnsi="宋体" w:cs="宋体"/>
          <w:b/>
          <w:bCs/>
          <w:color w:val="auto"/>
          <w:spacing w:val="-6"/>
          <w:sz w:val="22"/>
          <w:highlight w:val="none"/>
        </w:rPr>
      </w:pPr>
    </w:p>
    <w:p>
      <w:pPr>
        <w:spacing w:line="360" w:lineRule="exact"/>
        <w:rPr>
          <w:rFonts w:ascii="宋体" w:hAnsi="宋体" w:cs="宋体"/>
          <w:b/>
          <w:color w:val="auto"/>
          <w:spacing w:val="-6"/>
          <w:sz w:val="22"/>
          <w:highlight w:val="none"/>
        </w:rPr>
      </w:pPr>
      <w:r>
        <w:rPr>
          <w:rFonts w:hint="eastAsia" w:ascii="宋体" w:hAnsi="宋体" w:cs="宋体"/>
          <w:b/>
          <w:color w:val="auto"/>
          <w:spacing w:val="-6"/>
          <w:sz w:val="22"/>
          <w:highlight w:val="none"/>
        </w:rPr>
        <w:t xml:space="preserve"> 四、其他</w:t>
      </w:r>
    </w:p>
    <w:p>
      <w:pPr>
        <w:numPr>
          <w:ilvl w:val="0"/>
          <w:numId w:val="6"/>
        </w:numPr>
        <w:spacing w:line="360" w:lineRule="exact"/>
        <w:ind w:firstLine="313" w:firstLineChars="150"/>
        <w:rPr>
          <w:rFonts w:ascii="宋体" w:hAnsi="宋体" w:cs="宋体"/>
          <w:b/>
          <w:bCs/>
          <w:color w:val="auto"/>
          <w:spacing w:val="-6"/>
          <w:sz w:val="22"/>
          <w:highlight w:val="none"/>
        </w:rPr>
      </w:pPr>
      <w:r>
        <w:rPr>
          <w:rFonts w:hint="eastAsia" w:ascii="宋体" w:hAnsi="宋体" w:cs="宋体"/>
          <w:b/>
          <w:color w:val="auto"/>
          <w:spacing w:val="-6"/>
          <w:sz w:val="22"/>
          <w:highlight w:val="none"/>
        </w:rPr>
        <w:t>标“▲且加下划线”的有关技术和商务要求为实质性条款，响应方必须做出实质性响应</w:t>
      </w:r>
      <w:r>
        <w:rPr>
          <w:rFonts w:hint="eastAsia" w:ascii="宋体" w:hAnsi="宋体" w:cs="宋体"/>
          <w:b/>
          <w:bCs/>
          <w:color w:val="auto"/>
          <w:spacing w:val="-6"/>
          <w:sz w:val="22"/>
          <w:highlight w:val="none"/>
        </w:rPr>
        <w:t>，否则视为无效投标文件。</w:t>
      </w:r>
    </w:p>
    <w:p>
      <w:pPr>
        <w:numPr>
          <w:ilvl w:val="0"/>
          <w:numId w:val="6"/>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color w:val="auto"/>
          <w:sz w:val="22"/>
          <w:highlight w:val="none"/>
        </w:rPr>
        <w:t>。</w:t>
      </w:r>
    </w:p>
    <w:p>
      <w:pPr>
        <w:numPr>
          <w:ilvl w:val="0"/>
          <w:numId w:val="6"/>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如技术部分中未特别注明需执行的国家相关标准、行业标准、地方标准或者其他标准、规范，则统一执行最新标准、规范。</w:t>
      </w:r>
    </w:p>
    <w:p>
      <w:pPr>
        <w:snapToGrid w:val="0"/>
        <w:spacing w:line="400" w:lineRule="exact"/>
        <w:jc w:val="center"/>
        <w:rPr>
          <w:rFonts w:ascii="宋体" w:hAnsi="宋体" w:cs="宋体"/>
          <w:b/>
          <w:color w:val="auto"/>
          <w:sz w:val="32"/>
          <w:highlight w:val="none"/>
        </w:rPr>
      </w:pPr>
    </w:p>
    <w:p>
      <w:pPr>
        <w:pStyle w:val="5"/>
        <w:ind w:left="0" w:leftChars="0"/>
        <w:rPr>
          <w:rFonts w:ascii="宋体" w:hAnsi="宋体" w:cs="宋体"/>
          <w:color w:val="auto"/>
          <w:sz w:val="32"/>
          <w:highlight w:val="none"/>
        </w:rPr>
      </w:pPr>
    </w:p>
    <w:p>
      <w:pPr>
        <w:rPr>
          <w:rFonts w:ascii="宋体" w:hAnsi="宋体" w:cs="宋体"/>
          <w:color w:val="auto"/>
          <w:sz w:val="32"/>
          <w:highlight w:val="none"/>
        </w:rPr>
      </w:pPr>
    </w:p>
    <w:p>
      <w:pPr>
        <w:pStyle w:val="4"/>
        <w:rPr>
          <w:rFonts w:ascii="宋体" w:hAnsi="宋体" w:cs="宋体"/>
          <w:color w:val="auto"/>
          <w:sz w:val="32"/>
          <w:highlight w:val="none"/>
        </w:rPr>
      </w:pPr>
    </w:p>
    <w:p>
      <w:pPr>
        <w:rPr>
          <w:color w:val="auto"/>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90DD9CA"/>
    <w:multiLevelType w:val="singleLevel"/>
    <w:tmpl w:val="B90DD9CA"/>
    <w:lvl w:ilvl="0" w:tentative="0">
      <w:start w:val="1"/>
      <w:numFmt w:val="decimal"/>
      <w:suff w:val="nothing"/>
      <w:lvlText w:val="%1、"/>
      <w:lvlJc w:val="left"/>
    </w:lvl>
  </w:abstractNum>
  <w:abstractNum w:abstractNumId="2">
    <w:nsid w:val="EEED91DD"/>
    <w:multiLevelType w:val="singleLevel"/>
    <w:tmpl w:val="EEED91DD"/>
    <w:lvl w:ilvl="0" w:tentative="0">
      <w:start w:val="1"/>
      <w:numFmt w:val="decimalEnclosedCircleChinese"/>
      <w:suff w:val="nothing"/>
      <w:lvlText w:val="%1　"/>
      <w:lvlJc w:val="left"/>
      <w:pPr>
        <w:ind w:left="0" w:firstLine="400"/>
      </w:pPr>
      <w:rPr>
        <w:rFonts w:hint="eastAsia"/>
      </w:rPr>
    </w:lvl>
  </w:abstractNum>
  <w:abstractNum w:abstractNumId="3">
    <w:nsid w:val="0000000A"/>
    <w:multiLevelType w:val="singleLevel"/>
    <w:tmpl w:val="0000000A"/>
    <w:lvl w:ilvl="0" w:tentative="0">
      <w:start w:val="3"/>
      <w:numFmt w:val="chineseCounting"/>
      <w:suff w:val="nothing"/>
      <w:lvlText w:val="%1、"/>
      <w:lvlJc w:val="left"/>
      <w:rPr>
        <w:rFonts w:hint="eastAsia"/>
      </w:rPr>
    </w:lvl>
  </w:abstractNum>
  <w:abstractNum w:abstractNumId="4">
    <w:nsid w:val="3FE7B152"/>
    <w:multiLevelType w:val="singleLevel"/>
    <w:tmpl w:val="3FE7B152"/>
    <w:lvl w:ilvl="0" w:tentative="0">
      <w:start w:val="2"/>
      <w:numFmt w:val="chineseCounting"/>
      <w:suff w:val="space"/>
      <w:lvlText w:val="%1、"/>
      <w:lvlJc w:val="left"/>
      <w:rPr>
        <w:rFonts w:hint="eastAsia"/>
      </w:rPr>
    </w:lvl>
  </w:abstractNum>
  <w:abstractNum w:abstractNumId="5">
    <w:nsid w:val="632D388B"/>
    <w:multiLevelType w:val="singleLevel"/>
    <w:tmpl w:val="632D388B"/>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672E1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340" w:after="330" w:line="578" w:lineRule="auto"/>
      <w:outlineLvl w:val="0"/>
    </w:pPr>
    <w:rPr>
      <w:bCs/>
      <w:kern w:val="44"/>
      <w:sz w:val="44"/>
      <w:szCs w:val="44"/>
    </w:rPr>
  </w:style>
  <w:style w:type="paragraph" w:styleId="2">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6"/>
    <w:basedOn w:val="1"/>
    <w:next w:val="1"/>
    <w:qFormat/>
    <w:uiPriority w:val="0"/>
    <w:pPr>
      <w:autoSpaceDE w:val="0"/>
      <w:autoSpaceDN w:val="0"/>
      <w:adjustRightInd w:val="0"/>
      <w:ind w:left="2100" w:leftChars="1000"/>
      <w:jc w:val="left"/>
    </w:pPr>
    <w:rPr>
      <w:kern w:val="0"/>
      <w:sz w:val="20"/>
    </w:rPr>
  </w:style>
  <w:style w:type="paragraph" w:styleId="5">
    <w:name w:val="toc 2"/>
    <w:basedOn w:val="1"/>
    <w:next w:val="1"/>
    <w:qFormat/>
    <w:uiPriority w:val="39"/>
    <w:pPr>
      <w:tabs>
        <w:tab w:val="right" w:leader="dot" w:pos="8302"/>
      </w:tabs>
      <w:ind w:left="200" w:leftChars="200"/>
    </w:pPr>
    <w:rPr>
      <w:b/>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2023-05-31T06:09:30Z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122773E1D7B340D08754C60EDBC43541_12</vt:lpwstr>
  </property>
</Properties>
</file>