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highlight w:val="none"/>
        </w:rPr>
      </w:pPr>
    </w:p>
    <w:p>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温州市政府（分散）采购</w:t>
      </w:r>
    </w:p>
    <w:p>
      <w:pPr>
        <w:jc w:val="center"/>
        <w:rPr>
          <w:rFonts w:ascii="宋体" w:hAnsi="宋体" w:cs="宋体"/>
          <w:b/>
          <w:bCs/>
          <w:color w:val="auto"/>
          <w:spacing w:val="26"/>
          <w:sz w:val="52"/>
          <w:highlight w:val="none"/>
        </w:rPr>
      </w:pPr>
    </w:p>
    <w:p>
      <w:pPr>
        <w:jc w:val="center"/>
        <w:rPr>
          <w:rFonts w:ascii="宋体" w:hAnsi="宋体" w:cs="宋体"/>
          <w:b/>
          <w:bCs/>
          <w:color w:val="auto"/>
          <w:spacing w:val="26"/>
          <w:sz w:val="52"/>
          <w:highlight w:val="none"/>
        </w:rPr>
      </w:pPr>
    </w:p>
    <w:p>
      <w:pPr>
        <w:ind w:firstLine="2357" w:firstLineChars="235"/>
        <w:rPr>
          <w:rFonts w:ascii="宋体" w:hAnsi="宋体" w:cs="宋体"/>
          <w:b/>
          <w:bCs/>
          <w:color w:val="auto"/>
          <w:spacing w:val="140"/>
          <w:sz w:val="72"/>
          <w:highlight w:val="none"/>
        </w:rPr>
      </w:pPr>
    </w:p>
    <w:p>
      <w:pPr>
        <w:spacing w:line="360" w:lineRule="exact"/>
        <w:jc w:val="center"/>
        <w:rPr>
          <w:rFonts w:ascii="宋体" w:hAnsi="宋体" w:cs="宋体"/>
          <w:b/>
          <w:bCs/>
          <w:color w:val="auto"/>
          <w:spacing w:val="140"/>
          <w:sz w:val="72"/>
          <w:highlight w:val="none"/>
        </w:rPr>
      </w:pPr>
    </w:p>
    <w:p>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pPr>
        <w:pStyle w:val="3"/>
        <w:jc w:val="center"/>
        <w:rPr>
          <w:color w:val="auto"/>
          <w:highlight w:val="none"/>
        </w:rPr>
      </w:pPr>
      <w:r>
        <w:rPr>
          <w:rFonts w:hint="eastAsia" w:ascii="宋体" w:hAnsi="宋体" w:cs="宋体"/>
          <w:b/>
          <w:bCs/>
          <w:color w:val="auto"/>
          <w:spacing w:val="140"/>
          <w:sz w:val="84"/>
          <w:szCs w:val="84"/>
          <w:highlight w:val="none"/>
        </w:rPr>
        <w:t>（电子投标）</w:t>
      </w:r>
    </w:p>
    <w:p>
      <w:pPr>
        <w:spacing w:line="400" w:lineRule="exact"/>
        <w:jc w:val="center"/>
        <w:rPr>
          <w:rFonts w:ascii="宋体" w:hAnsi="宋体" w:cs="宋体"/>
          <w:b/>
          <w:bCs/>
          <w:color w:val="auto"/>
          <w:sz w:val="32"/>
          <w:szCs w:val="32"/>
          <w:highlight w:val="none"/>
        </w:rPr>
      </w:pPr>
    </w:p>
    <w:p>
      <w:pPr>
        <w:spacing w:line="400" w:lineRule="exact"/>
        <w:jc w:val="center"/>
        <w:rPr>
          <w:rFonts w:ascii="宋体" w:hAnsi="宋体" w:cs="宋体"/>
          <w:b/>
          <w:bCs/>
          <w:color w:val="auto"/>
          <w:sz w:val="32"/>
          <w:szCs w:val="32"/>
          <w:highlight w:val="none"/>
        </w:rPr>
      </w:pPr>
    </w:p>
    <w:p>
      <w:pPr>
        <w:rPr>
          <w:rFonts w:ascii="宋体" w:hAnsi="宋体" w:cs="宋体"/>
          <w:b/>
          <w:bCs/>
          <w:color w:val="auto"/>
          <w:sz w:val="24"/>
          <w:highlight w:val="none"/>
        </w:rPr>
      </w:pPr>
    </w:p>
    <w:p>
      <w:pPr>
        <w:rPr>
          <w:rFonts w:ascii="宋体" w:hAnsi="宋体" w:cs="宋体"/>
          <w:b/>
          <w:bCs/>
          <w:color w:val="auto"/>
          <w:sz w:val="24"/>
          <w:highlight w:val="none"/>
        </w:rPr>
      </w:pPr>
    </w:p>
    <w:p>
      <w:pPr>
        <w:spacing w:line="600" w:lineRule="exact"/>
        <w:ind w:left="1260" w:leftChars="600"/>
        <w:rPr>
          <w:rFonts w:ascii="宋体" w:hAnsi="宋体"/>
          <w:color w:val="auto"/>
          <w:spacing w:val="30"/>
          <w:sz w:val="30"/>
          <w:highlight w:val="none"/>
        </w:rPr>
      </w:pPr>
      <w:r>
        <w:rPr>
          <w:rFonts w:hint="eastAsia" w:ascii="宋体" w:hAnsi="宋体"/>
          <w:color w:val="auto"/>
          <w:spacing w:val="30"/>
          <w:sz w:val="30"/>
          <w:highlight w:val="none"/>
        </w:rPr>
        <w:t>项 目 编 号：</w:t>
      </w:r>
      <w:r>
        <w:rPr>
          <w:rFonts w:hint="eastAsia" w:ascii="宋体" w:hAnsi="宋体"/>
          <w:color w:val="auto"/>
          <w:sz w:val="30"/>
          <w:highlight w:val="none"/>
        </w:rPr>
        <w:t>WZZF2023(ZC)-05-121（GK）</w:t>
      </w:r>
    </w:p>
    <w:p>
      <w:pPr>
        <w:spacing w:line="600" w:lineRule="exact"/>
        <w:ind w:left="1260" w:leftChars="600"/>
        <w:rPr>
          <w:rFonts w:hint="eastAsia" w:ascii="宋体" w:hAnsi="宋体" w:eastAsia="宋体"/>
          <w:color w:val="auto"/>
          <w:sz w:val="30"/>
          <w:highlight w:val="none"/>
          <w:lang w:eastAsia="zh-CN"/>
        </w:rPr>
      </w:pPr>
      <w:r>
        <w:rPr>
          <w:rFonts w:hint="eastAsia" w:ascii="宋体" w:hAnsi="宋体"/>
          <w:color w:val="auto"/>
          <w:spacing w:val="30"/>
          <w:sz w:val="30"/>
          <w:highlight w:val="none"/>
        </w:rPr>
        <w:t>项 目 名 称：</w:t>
      </w:r>
      <w:r>
        <w:rPr>
          <w:rFonts w:hint="eastAsia" w:ascii="宋体" w:hAnsi="宋体"/>
          <w:color w:val="auto"/>
          <w:sz w:val="30"/>
          <w:highlight w:val="none"/>
          <w:lang w:eastAsia="zh-CN"/>
        </w:rPr>
        <w:t>安全防范系统建设与运维实训室</w:t>
      </w:r>
    </w:p>
    <w:p>
      <w:pPr>
        <w:spacing w:line="600" w:lineRule="exact"/>
        <w:ind w:left="1260" w:leftChars="600"/>
        <w:rPr>
          <w:rFonts w:ascii="宋体" w:hAnsi="宋体"/>
          <w:color w:val="auto"/>
          <w:spacing w:val="40"/>
          <w:sz w:val="30"/>
          <w:highlight w:val="none"/>
        </w:rPr>
      </w:pPr>
      <w:r>
        <w:rPr>
          <w:rFonts w:hint="eastAsia" w:ascii="宋体" w:hAnsi="宋体"/>
          <w:color w:val="auto"/>
          <w:spacing w:val="30"/>
          <w:sz w:val="30"/>
          <w:highlight w:val="none"/>
        </w:rPr>
        <w:t>采 购 方 式：</w:t>
      </w:r>
      <w:r>
        <w:rPr>
          <w:rFonts w:hint="eastAsia" w:ascii="宋体" w:hAnsi="宋体"/>
          <w:color w:val="auto"/>
          <w:sz w:val="30"/>
          <w:highlight w:val="none"/>
        </w:rPr>
        <w:t>公开招标</w:t>
      </w:r>
    </w:p>
    <w:p>
      <w:pPr>
        <w:spacing w:line="600" w:lineRule="exact"/>
        <w:ind w:firstLine="1140" w:firstLineChars="300"/>
        <w:rPr>
          <w:rFonts w:ascii="宋体" w:hAnsi="宋体" w:cs="宋体"/>
          <w:color w:val="auto"/>
          <w:spacing w:val="40"/>
          <w:sz w:val="30"/>
          <w:szCs w:val="30"/>
          <w:highlight w:val="none"/>
        </w:rPr>
      </w:pPr>
    </w:p>
    <w:p>
      <w:pPr>
        <w:spacing w:line="600" w:lineRule="exact"/>
        <w:ind w:firstLine="1140" w:firstLineChars="300"/>
        <w:rPr>
          <w:rFonts w:ascii="宋体" w:hAnsi="宋体" w:cs="宋体"/>
          <w:color w:val="auto"/>
          <w:spacing w:val="40"/>
          <w:sz w:val="30"/>
          <w:szCs w:val="30"/>
          <w:highlight w:val="none"/>
        </w:rPr>
      </w:pPr>
    </w:p>
    <w:p>
      <w:pPr>
        <w:rPr>
          <w:color w:val="auto"/>
          <w:highlight w:val="none"/>
        </w:rPr>
      </w:pPr>
    </w:p>
    <w:p>
      <w:pPr>
        <w:pStyle w:val="3"/>
        <w:rPr>
          <w:color w:val="auto"/>
          <w:highlight w:val="none"/>
        </w:rPr>
      </w:pPr>
    </w:p>
    <w:p>
      <w:pPr>
        <w:pStyle w:val="88"/>
        <w:rPr>
          <w:color w:val="auto"/>
          <w:highlight w:val="none"/>
        </w:rPr>
      </w:pPr>
    </w:p>
    <w:p>
      <w:pPr>
        <w:rPr>
          <w:color w:val="auto"/>
          <w:highlight w:val="none"/>
        </w:rPr>
      </w:pPr>
    </w:p>
    <w:p>
      <w:pPr>
        <w:pStyle w:val="51"/>
        <w:ind w:firstLine="560"/>
        <w:rPr>
          <w:rFonts w:ascii="Times New Roman" w:eastAsia="宋体"/>
          <w:color w:val="auto"/>
          <w:highlight w:val="none"/>
        </w:rPr>
      </w:pPr>
    </w:p>
    <w:p>
      <w:pPr>
        <w:pStyle w:val="88"/>
        <w:rPr>
          <w:color w:val="auto"/>
          <w:highlight w:val="none"/>
        </w:rPr>
      </w:pPr>
    </w:p>
    <w:p>
      <w:pPr>
        <w:spacing w:line="6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采购人：</w:t>
      </w:r>
      <w:r>
        <w:rPr>
          <w:rFonts w:hint="eastAsia" w:ascii="宋体" w:hAnsi="宋体"/>
          <w:b/>
          <w:color w:val="auto"/>
          <w:kern w:val="11"/>
          <w:sz w:val="30"/>
          <w:highlight w:val="none"/>
        </w:rPr>
        <w:t>浙江安防职业技术学院</w:t>
      </w:r>
    </w:p>
    <w:p>
      <w:pPr>
        <w:spacing w:line="600" w:lineRule="exact"/>
        <w:ind w:left="753" w:hanging="753" w:hangingChars="250"/>
        <w:jc w:val="center"/>
        <w:rPr>
          <w:rFonts w:ascii="宋体" w:hAnsi="宋体" w:cs="宋体"/>
          <w:b/>
          <w:color w:val="auto"/>
          <w:sz w:val="30"/>
          <w:szCs w:val="30"/>
          <w:highlight w:val="none"/>
        </w:rPr>
      </w:pPr>
      <w:r>
        <w:rPr>
          <w:rFonts w:hint="eastAsia" w:ascii="宋体" w:hAnsi="宋体" w:cs="宋体"/>
          <w:b/>
          <w:color w:val="auto"/>
          <w:sz w:val="30"/>
          <w:szCs w:val="30"/>
          <w:highlight w:val="none"/>
        </w:rPr>
        <w:t>采购代理机构：温州正风招标代理有限公司</w:t>
      </w:r>
    </w:p>
    <w:p>
      <w:pPr>
        <w:spacing w:line="760" w:lineRule="exact"/>
        <w:ind w:left="753" w:hanging="753" w:hangingChars="250"/>
        <w:jc w:val="center"/>
        <w:rPr>
          <w:rFonts w:ascii="宋体" w:hAnsi="宋体" w:cs="宋体"/>
          <w:b/>
          <w:color w:val="auto"/>
          <w:sz w:val="30"/>
          <w:szCs w:val="30"/>
          <w:highlight w:val="none"/>
        </w:rPr>
      </w:pPr>
      <w:r>
        <w:rPr>
          <w:rFonts w:hint="eastAsia" w:ascii="宋体" w:hAnsi="宋体" w:cs="宋体"/>
          <w:b/>
          <w:color w:val="auto"/>
          <w:sz w:val="30"/>
          <w:szCs w:val="30"/>
          <w:highlight w:val="none"/>
        </w:rPr>
        <w:t>二〇二三年</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月</w:t>
      </w:r>
    </w:p>
    <w:p>
      <w:pPr>
        <w:pStyle w:val="5"/>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bookmarkStart w:id="0" w:name="_Toc230773770"/>
    </w:p>
    <w:p>
      <w:pPr>
        <w:pStyle w:val="5"/>
        <w:spacing w:line="600" w:lineRule="exact"/>
        <w:jc w:val="center"/>
        <w:rPr>
          <w:rFonts w:ascii="黑体" w:hAnsi="黑体" w:eastAsia="黑体"/>
          <w:bCs/>
          <w:color w:val="auto"/>
          <w:sz w:val="36"/>
          <w:szCs w:val="36"/>
          <w:highlight w:val="none"/>
        </w:rPr>
      </w:pPr>
      <w:bookmarkStart w:id="1" w:name="_Toc29778"/>
      <w:r>
        <w:rPr>
          <w:rFonts w:hint="eastAsia" w:ascii="黑体" w:hAnsi="黑体" w:eastAsia="黑体"/>
          <w:bCs/>
          <w:color w:val="auto"/>
          <w:sz w:val="36"/>
          <w:szCs w:val="36"/>
          <w:highlight w:val="none"/>
        </w:rPr>
        <w:t>目    录</w:t>
      </w:r>
      <w:bookmarkEnd w:id="0"/>
      <w:bookmarkEnd w:id="1"/>
    </w:p>
    <w:p>
      <w:pPr>
        <w:jc w:val="right"/>
        <w:rPr>
          <w:rFonts w:ascii="宋体" w:hAnsi="宋体" w:cs="宋体"/>
          <w:color w:val="auto"/>
          <w:highlight w:val="none"/>
        </w:rPr>
      </w:pPr>
    </w:p>
    <w:p>
      <w:pPr>
        <w:pStyle w:val="29"/>
        <w:tabs>
          <w:tab w:val="right" w:leader="dot" w:pos="9638"/>
          <w:tab w:val="clear" w:pos="9628"/>
        </w:tabs>
        <w:rPr>
          <w:color w:val="auto"/>
          <w:highlight w:val="none"/>
        </w:rPr>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_Toc29778 </w:instrText>
      </w:r>
      <w:r>
        <w:rPr>
          <w:rFonts w:hint="eastAsia" w:ascii="宋体" w:hAnsi="宋体" w:cs="宋体"/>
          <w:color w:val="auto"/>
          <w:szCs w:val="21"/>
          <w:highlight w:val="none"/>
        </w:rPr>
        <w:fldChar w:fldCharType="separate"/>
      </w:r>
      <w:r>
        <w:rPr>
          <w:rFonts w:hint="eastAsia" w:ascii="黑体" w:hAnsi="黑体" w:eastAsia="黑体"/>
          <w:bCs/>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_Toc29778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_Toc20406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_Toc20406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_Toc24243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_Toc24243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_Toc9520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_Toc9520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_Toc12938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一、 说   明</w:t>
      </w:r>
      <w:r>
        <w:rPr>
          <w:color w:val="auto"/>
          <w:highlight w:val="none"/>
        </w:rPr>
        <w:tab/>
      </w:r>
      <w:r>
        <w:rPr>
          <w:color w:val="auto"/>
          <w:highlight w:val="none"/>
        </w:rPr>
        <w:fldChar w:fldCharType="begin"/>
      </w:r>
      <w:r>
        <w:rPr>
          <w:color w:val="auto"/>
          <w:highlight w:val="none"/>
        </w:rPr>
        <w:instrText xml:space="preserve"> PAGEREF _Toc12938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_Toc30329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_Toc30329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_Toc31588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_Toc31588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_Toc31852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_Toc31852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_Toc1065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五、 开标和评标</w:t>
      </w:r>
      <w:r>
        <w:rPr>
          <w:color w:val="auto"/>
          <w:highlight w:val="none"/>
        </w:rPr>
        <w:tab/>
      </w:r>
      <w:r>
        <w:rPr>
          <w:color w:val="auto"/>
          <w:highlight w:val="none"/>
        </w:rPr>
        <w:fldChar w:fldCharType="begin"/>
      </w:r>
      <w:r>
        <w:rPr>
          <w:color w:val="auto"/>
          <w:highlight w:val="none"/>
        </w:rPr>
        <w:instrText xml:space="preserve"> PAGEREF _Toc1065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_Toc24033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六、 中标和合同</w:t>
      </w:r>
      <w:r>
        <w:rPr>
          <w:color w:val="auto"/>
          <w:highlight w:val="none"/>
        </w:rPr>
        <w:tab/>
      </w:r>
      <w:r>
        <w:rPr>
          <w:color w:val="auto"/>
          <w:highlight w:val="none"/>
        </w:rPr>
        <w:fldChar w:fldCharType="begin"/>
      </w:r>
      <w:r>
        <w:rPr>
          <w:color w:val="auto"/>
          <w:highlight w:val="none"/>
        </w:rPr>
        <w:instrText xml:space="preserve"> PAGEREF _Toc24033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_Toc2461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七、 可中止电子交易活动的情形</w:t>
      </w:r>
      <w:r>
        <w:rPr>
          <w:color w:val="auto"/>
          <w:highlight w:val="none"/>
        </w:rPr>
        <w:tab/>
      </w:r>
      <w:r>
        <w:rPr>
          <w:color w:val="auto"/>
          <w:highlight w:val="none"/>
        </w:rPr>
        <w:fldChar w:fldCharType="begin"/>
      </w:r>
      <w:r>
        <w:rPr>
          <w:color w:val="auto"/>
          <w:highlight w:val="none"/>
        </w:rPr>
        <w:instrText xml:space="preserve"> PAGEREF _Toc2461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aps/>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_Toc30897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 xml:space="preserve">第三部分 </w:t>
      </w:r>
      <w:r>
        <w:rPr>
          <w:rFonts w:ascii="黑体" w:hAnsi="黑体" w:eastAsia="黑体"/>
          <w:bCs/>
          <w:color w:val="auto"/>
          <w:szCs w:val="36"/>
          <w:highlight w:val="none"/>
        </w:rPr>
        <w:t xml:space="preserve"> </w:t>
      </w:r>
      <w:r>
        <w:rPr>
          <w:rFonts w:hint="eastAsia" w:ascii="黑体" w:hAnsi="黑体" w:eastAsia="黑体"/>
          <w:color w:val="auto"/>
          <w:szCs w:val="36"/>
          <w:highlight w:val="none"/>
        </w:rPr>
        <w:t>主要合同条款</w:t>
      </w:r>
      <w:r>
        <w:rPr>
          <w:color w:val="auto"/>
          <w:highlight w:val="none"/>
        </w:rPr>
        <w:tab/>
      </w:r>
      <w:r>
        <w:rPr>
          <w:color w:val="auto"/>
          <w:highlight w:val="none"/>
        </w:rPr>
        <w:fldChar w:fldCharType="begin"/>
      </w:r>
      <w:r>
        <w:rPr>
          <w:color w:val="auto"/>
          <w:highlight w:val="none"/>
        </w:rPr>
        <w:instrText xml:space="preserve"> PAGEREF _Toc30897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aps/>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_Toc15818 </w:instrText>
      </w:r>
      <w:r>
        <w:rPr>
          <w:rFonts w:hint="eastAsia" w:ascii="宋体" w:hAnsi="宋体" w:cs="宋体"/>
          <w:bCs/>
          <w:caps/>
          <w:color w:val="auto"/>
          <w:szCs w:val="21"/>
          <w:highlight w:val="none"/>
        </w:rPr>
        <w:fldChar w:fldCharType="separate"/>
      </w:r>
      <w:r>
        <w:rPr>
          <w:rFonts w:hint="eastAsia" w:ascii="黑体" w:hAnsi="黑体" w:eastAsia="黑体"/>
          <w:bCs/>
          <w:color w:val="auto"/>
          <w:kern w:val="44"/>
          <w:szCs w:val="36"/>
          <w:highlight w:val="none"/>
        </w:rPr>
        <w:t>第四部分  附   件</w:t>
      </w:r>
      <w:r>
        <w:rPr>
          <w:color w:val="auto"/>
          <w:highlight w:val="none"/>
        </w:rPr>
        <w:tab/>
      </w:r>
      <w:r>
        <w:rPr>
          <w:color w:val="auto"/>
          <w:highlight w:val="none"/>
        </w:rPr>
        <w:fldChar w:fldCharType="begin"/>
      </w:r>
      <w:r>
        <w:rPr>
          <w:color w:val="auto"/>
          <w:highlight w:val="none"/>
        </w:rPr>
        <w:instrText xml:space="preserve"> PAGEREF _Toc15818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_Toc15341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附件一 投标函</w:t>
      </w:r>
      <w:r>
        <w:rPr>
          <w:color w:val="auto"/>
          <w:highlight w:val="none"/>
        </w:rPr>
        <w:tab/>
      </w:r>
      <w:r>
        <w:rPr>
          <w:color w:val="auto"/>
          <w:highlight w:val="none"/>
        </w:rPr>
        <w:fldChar w:fldCharType="begin"/>
      </w:r>
      <w:r>
        <w:rPr>
          <w:color w:val="auto"/>
          <w:highlight w:val="none"/>
        </w:rPr>
        <w:instrText xml:space="preserve"> PAGEREF _Toc15341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_Toc3054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附件二 投标报价一览表</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_Toc25759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附件三 投标分项报价表</w:t>
      </w:r>
      <w:r>
        <w:rPr>
          <w:color w:val="auto"/>
          <w:highlight w:val="none"/>
        </w:rPr>
        <w:tab/>
      </w:r>
      <w:r>
        <w:rPr>
          <w:color w:val="auto"/>
          <w:highlight w:val="none"/>
        </w:rPr>
        <w:fldChar w:fldCharType="begin"/>
      </w:r>
      <w:r>
        <w:rPr>
          <w:color w:val="auto"/>
          <w:highlight w:val="none"/>
        </w:rPr>
        <w:instrText xml:space="preserve"> PAGEREF _Toc25759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_Toc18592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附件四 资格证明文件</w:t>
      </w:r>
      <w:r>
        <w:rPr>
          <w:color w:val="auto"/>
          <w:highlight w:val="none"/>
        </w:rPr>
        <w:tab/>
      </w:r>
      <w:r>
        <w:rPr>
          <w:color w:val="auto"/>
          <w:highlight w:val="none"/>
        </w:rPr>
        <w:fldChar w:fldCharType="begin"/>
      </w:r>
      <w:r>
        <w:rPr>
          <w:color w:val="auto"/>
          <w:highlight w:val="none"/>
        </w:rPr>
        <w:instrText xml:space="preserve"> PAGEREF _Toc18592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_Toc14804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附件五 商务条款、技术规格偏离表</w:t>
      </w:r>
      <w:r>
        <w:rPr>
          <w:color w:val="auto"/>
          <w:highlight w:val="none"/>
        </w:rPr>
        <w:tab/>
      </w:r>
      <w:r>
        <w:rPr>
          <w:color w:val="auto"/>
          <w:highlight w:val="none"/>
        </w:rPr>
        <w:fldChar w:fldCharType="begin"/>
      </w:r>
      <w:r>
        <w:rPr>
          <w:color w:val="auto"/>
          <w:highlight w:val="none"/>
        </w:rPr>
        <w:instrText xml:space="preserve"> PAGEREF _Toc14804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_Toc6210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 xml:space="preserve">附件六 </w:t>
      </w:r>
      <w:r>
        <w:rPr>
          <w:rFonts w:hint="eastAsia" w:ascii="宋体" w:hAnsi="宋体" w:eastAsia="宋体"/>
          <w:color w:val="auto"/>
          <w:szCs w:val="24"/>
          <w:highlight w:val="none"/>
        </w:rPr>
        <w:t>货物成套供货清单</w:t>
      </w:r>
      <w:r>
        <w:rPr>
          <w:color w:val="auto"/>
          <w:highlight w:val="none"/>
        </w:rPr>
        <w:tab/>
      </w:r>
      <w:r>
        <w:rPr>
          <w:color w:val="auto"/>
          <w:highlight w:val="none"/>
        </w:rPr>
        <w:fldChar w:fldCharType="begin"/>
      </w:r>
      <w:r>
        <w:rPr>
          <w:color w:val="auto"/>
          <w:highlight w:val="none"/>
        </w:rPr>
        <w:instrText xml:space="preserve"> PAGEREF _Toc6210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_Toc2501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附件七 同类项目业绩一览表</w:t>
      </w:r>
      <w:r>
        <w:rPr>
          <w:color w:val="auto"/>
          <w:highlight w:val="none"/>
        </w:rPr>
        <w:tab/>
      </w:r>
      <w:r>
        <w:rPr>
          <w:color w:val="auto"/>
          <w:highlight w:val="none"/>
        </w:rPr>
        <w:fldChar w:fldCharType="begin"/>
      </w:r>
      <w:r>
        <w:rPr>
          <w:color w:val="auto"/>
          <w:highlight w:val="none"/>
        </w:rPr>
        <w:instrText xml:space="preserve"> PAGEREF _Toc2501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_Toc26121 </w:instrText>
      </w:r>
      <w:r>
        <w:rPr>
          <w:rFonts w:hint="eastAsia" w:ascii="宋体" w:hAnsi="宋体" w:cs="宋体"/>
          <w:bCs/>
          <w:caps/>
          <w:color w:val="auto"/>
          <w:szCs w:val="21"/>
          <w:highlight w:val="none"/>
        </w:rPr>
        <w:fldChar w:fldCharType="separate"/>
      </w:r>
      <w:r>
        <w:rPr>
          <w:rFonts w:ascii="宋体" w:hAnsi="宋体" w:eastAsia="宋体"/>
          <w:color w:val="auto"/>
          <w:szCs w:val="24"/>
          <w:highlight w:val="none"/>
        </w:rPr>
        <w:t>附件</w:t>
      </w:r>
      <w:r>
        <w:rPr>
          <w:rFonts w:hint="eastAsia" w:ascii="宋体" w:hAnsi="宋体" w:eastAsia="宋体"/>
          <w:color w:val="auto"/>
          <w:szCs w:val="24"/>
          <w:highlight w:val="none"/>
        </w:rPr>
        <w:t>八 政府采购政策功能相关说明</w:t>
      </w:r>
      <w:r>
        <w:rPr>
          <w:color w:val="auto"/>
          <w:highlight w:val="none"/>
        </w:rPr>
        <w:tab/>
      </w:r>
      <w:r>
        <w:rPr>
          <w:color w:val="auto"/>
          <w:highlight w:val="none"/>
        </w:rPr>
        <w:fldChar w:fldCharType="begin"/>
      </w:r>
      <w:r>
        <w:rPr>
          <w:color w:val="auto"/>
          <w:highlight w:val="none"/>
        </w:rPr>
        <w:instrText xml:space="preserve"> PAGEREF _Toc26121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bCs/>
          <w:caps/>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_Toc31049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第五部分  招标内容及要求</w:t>
      </w:r>
      <w:r>
        <w:rPr>
          <w:color w:val="auto"/>
          <w:highlight w:val="none"/>
        </w:rPr>
        <w:tab/>
      </w:r>
      <w:r>
        <w:rPr>
          <w:color w:val="auto"/>
          <w:highlight w:val="none"/>
        </w:rPr>
        <w:fldChar w:fldCharType="begin"/>
      </w:r>
      <w:r>
        <w:rPr>
          <w:color w:val="auto"/>
          <w:highlight w:val="none"/>
        </w:rPr>
        <w:instrText xml:space="preserve"> PAGEREF _Toc31049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_Toc22546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一、相关说明</w:t>
      </w:r>
      <w:r>
        <w:rPr>
          <w:color w:val="auto"/>
          <w:highlight w:val="none"/>
        </w:rPr>
        <w:tab/>
      </w:r>
      <w:r>
        <w:rPr>
          <w:color w:val="auto"/>
          <w:highlight w:val="none"/>
        </w:rPr>
        <w:fldChar w:fldCharType="begin"/>
      </w:r>
      <w:r>
        <w:rPr>
          <w:color w:val="auto"/>
          <w:highlight w:val="none"/>
        </w:rPr>
        <w:instrText xml:space="preserve"> PAGEREF _Toc22546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bCs/>
          <w:caps/>
          <w:color w:val="auto"/>
          <w:szCs w:val="21"/>
          <w:highlight w:val="none"/>
        </w:rPr>
        <w:fldChar w:fldCharType="end"/>
      </w:r>
    </w:p>
    <w:p>
      <w:pPr>
        <w:pStyle w:val="31"/>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_Toc8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二、 采购内容及要求</w:t>
      </w:r>
      <w:r>
        <w:rPr>
          <w:color w:val="auto"/>
          <w:highlight w:val="none"/>
        </w:rPr>
        <w:tab/>
      </w:r>
      <w:r>
        <w:rPr>
          <w:color w:val="auto"/>
          <w:highlight w:val="none"/>
        </w:rPr>
        <w:fldChar w:fldCharType="begin"/>
      </w:r>
      <w:r>
        <w:rPr>
          <w:color w:val="auto"/>
          <w:highlight w:val="none"/>
        </w:rPr>
        <w:instrText xml:space="preserve"> PAGEREF _Toc8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bCs/>
          <w:caps/>
          <w:color w:val="auto"/>
          <w:szCs w:val="21"/>
          <w:highlight w:val="none"/>
        </w:rPr>
        <w:fldChar w:fldCharType="end"/>
      </w:r>
    </w:p>
    <w:p>
      <w:pPr>
        <w:pStyle w:val="29"/>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_Toc20837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第六部分  评标原则及方法</w:t>
      </w:r>
      <w:r>
        <w:rPr>
          <w:color w:val="auto"/>
          <w:highlight w:val="none"/>
        </w:rPr>
        <w:tab/>
      </w:r>
      <w:r>
        <w:rPr>
          <w:color w:val="auto"/>
          <w:highlight w:val="none"/>
        </w:rPr>
        <w:fldChar w:fldCharType="begin"/>
      </w:r>
      <w:r>
        <w:rPr>
          <w:color w:val="auto"/>
          <w:highlight w:val="none"/>
        </w:rPr>
        <w:instrText xml:space="preserve"> PAGEREF _Toc20837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bCs/>
          <w:caps/>
          <w:color w:val="auto"/>
          <w:szCs w:val="21"/>
          <w:highlight w:val="none"/>
        </w:rPr>
        <w:fldChar w:fldCharType="end"/>
      </w:r>
    </w:p>
    <w:p>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spacing w:line="360" w:lineRule="exact"/>
        <w:ind w:right="110"/>
        <w:rPr>
          <w:rFonts w:ascii="宋体" w:hAnsi="宋体" w:cs="宋体"/>
          <w:b/>
          <w:color w:val="auto"/>
          <w:sz w:val="22"/>
          <w:szCs w:val="22"/>
          <w:highlight w:val="none"/>
          <w:u w:val="single"/>
        </w:rPr>
      </w:pPr>
    </w:p>
    <w:p>
      <w:pPr>
        <w:pStyle w:val="35"/>
        <w:ind w:left="420" w:firstLine="480"/>
        <w:rPr>
          <w:color w:val="auto"/>
          <w:highlight w:val="none"/>
        </w:rPr>
      </w:pPr>
    </w:p>
    <w:p>
      <w:pPr>
        <w:pStyle w:val="2"/>
        <w:ind w:firstLine="210"/>
        <w:rPr>
          <w:color w:val="auto"/>
          <w:highlight w:val="none"/>
        </w:rPr>
      </w:pPr>
    </w:p>
    <w:p>
      <w:pPr>
        <w:pStyle w:val="35"/>
        <w:ind w:left="420" w:firstLine="480"/>
        <w:rPr>
          <w:color w:val="auto"/>
          <w:highlight w:val="none"/>
        </w:rPr>
      </w:pPr>
    </w:p>
    <w:p>
      <w:pPr>
        <w:rPr>
          <w:rFonts w:ascii="黑体" w:hAnsi="黑体" w:eastAsia="黑体"/>
          <w:bCs/>
          <w:color w:val="auto"/>
          <w:sz w:val="36"/>
          <w:szCs w:val="36"/>
          <w:highlight w:val="none"/>
        </w:rPr>
      </w:pPr>
    </w:p>
    <w:p>
      <w:pPr>
        <w:rPr>
          <w:rFonts w:hint="eastAsia" w:ascii="黑体" w:hAnsi="黑体" w:eastAsia="黑体"/>
          <w:bCs/>
          <w:color w:val="auto"/>
          <w:sz w:val="36"/>
          <w:szCs w:val="36"/>
          <w:highlight w:val="none"/>
        </w:rPr>
      </w:pPr>
      <w:bookmarkStart w:id="2" w:name="_Toc20406"/>
      <w:r>
        <w:rPr>
          <w:rFonts w:hint="eastAsia" w:ascii="黑体" w:hAnsi="黑体" w:eastAsia="黑体"/>
          <w:bCs/>
          <w:color w:val="auto"/>
          <w:sz w:val="36"/>
          <w:szCs w:val="36"/>
          <w:highlight w:val="none"/>
        </w:rPr>
        <w:br w:type="page"/>
      </w:r>
    </w:p>
    <w:p>
      <w:pPr>
        <w:pStyle w:val="5"/>
        <w:spacing w:line="600" w:lineRule="exact"/>
        <w:jc w:val="center"/>
        <w:rPr>
          <w:rFonts w:ascii="黑体" w:hAnsi="黑体" w:eastAsia="黑体"/>
          <w:bCs/>
          <w:color w:val="auto"/>
          <w:sz w:val="36"/>
          <w:szCs w:val="36"/>
          <w:highlight w:val="none"/>
        </w:rPr>
      </w:pPr>
      <w:r>
        <w:rPr>
          <w:rFonts w:hint="eastAsia" w:ascii="黑体" w:hAnsi="黑体" w:eastAsia="黑体"/>
          <w:bCs/>
          <w:color w:val="auto"/>
          <w:sz w:val="36"/>
          <w:szCs w:val="36"/>
          <w:highlight w:val="none"/>
        </w:rPr>
        <w:t>第一部分   招标公告</w:t>
      </w:r>
      <w:bookmarkEnd w:id="2"/>
    </w:p>
    <w:p>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lang w:eastAsia="zh-CN"/>
        </w:rPr>
        <w:t>安全防范系统建设与运维实训室</w:t>
      </w:r>
      <w:r>
        <w:rPr>
          <w:rFonts w:hint="eastAsia" w:ascii="宋体" w:hAnsi="宋体"/>
          <w:color w:val="auto"/>
          <w:sz w:val="22"/>
          <w:szCs w:val="22"/>
          <w:highlight w:val="none"/>
        </w:rPr>
        <w:t>招标项目的潜在投标人应在</w:t>
      </w:r>
      <w:r>
        <w:rPr>
          <w:rFonts w:hint="eastAsia" w:ascii="宋体" w:hAnsi="宋体"/>
          <w:color w:val="auto"/>
          <w:sz w:val="22"/>
          <w:szCs w:val="22"/>
          <w:highlight w:val="none"/>
          <w:u w:val="single"/>
        </w:rPr>
        <w:t>政采云平台（</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Style w:val="44"/>
          <w:rFonts w:hint="eastAsia" w:ascii="宋体" w:hAnsi="宋体"/>
          <w:color w:val="auto"/>
          <w:sz w:val="22"/>
          <w:szCs w:val="22"/>
          <w:highlight w:val="none"/>
        </w:rPr>
        <w:t>https://www.zcygov.cn）获取（下载）招标文件，并于</w:t>
      </w:r>
      <w:r>
        <w:rPr>
          <w:rStyle w:val="44"/>
          <w:rFonts w:ascii="宋体" w:hAnsi="宋体"/>
          <w:color w:val="auto"/>
          <w:sz w:val="22"/>
          <w:szCs w:val="22"/>
          <w:highlight w:val="none"/>
        </w:rPr>
        <w:t>2023</w:t>
      </w:r>
      <w:r>
        <w:rPr>
          <w:rStyle w:val="44"/>
          <w:rFonts w:hint="eastAsia" w:ascii="宋体" w:hAnsi="宋体"/>
          <w:bCs/>
          <w:color w:val="auto"/>
          <w:sz w:val="22"/>
          <w:szCs w:val="22"/>
          <w:highlight w:val="none"/>
        </w:rPr>
        <w:t>年</w:t>
      </w:r>
      <w:r>
        <w:rPr>
          <w:rStyle w:val="44"/>
          <w:rFonts w:hint="eastAsia" w:ascii="宋体" w:hAnsi="宋体"/>
          <w:bCs/>
          <w:color w:val="auto"/>
          <w:sz w:val="22"/>
          <w:szCs w:val="22"/>
          <w:highlight w:val="none"/>
        </w:rPr>
        <w:fldChar w:fldCharType="end"/>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7</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月</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10</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日</w:t>
      </w:r>
      <w:r>
        <w:rPr>
          <w:rFonts w:hint="eastAsia" w:ascii="宋体" w:hAnsi="宋体"/>
          <w:bCs/>
          <w:color w:val="auto"/>
          <w:sz w:val="22"/>
          <w:szCs w:val="22"/>
          <w:highlight w:val="none"/>
          <w:u w:val="single"/>
        </w:rPr>
        <w:t>14</w:t>
      </w:r>
      <w:r>
        <w:rPr>
          <w:rFonts w:hint="eastAsia" w:ascii="宋体" w:hAnsi="宋体"/>
          <w:bCs/>
          <w:color w:val="auto"/>
          <w:sz w:val="22"/>
          <w:szCs w:val="22"/>
          <w:highlight w:val="none"/>
        </w:rPr>
        <w:t>点</w:t>
      </w:r>
      <w:r>
        <w:rPr>
          <w:rFonts w:ascii="宋体" w:hAnsi="宋体"/>
          <w:bCs/>
          <w:color w:val="auto"/>
          <w:sz w:val="22"/>
          <w:szCs w:val="22"/>
          <w:highlight w:val="none"/>
          <w:u w:val="single"/>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pPr>
        <w:widowControl/>
        <w:spacing w:line="440" w:lineRule="exact"/>
        <w:rPr>
          <w:rFonts w:ascii="宋体" w:hAnsi="宋体" w:cs="宋体"/>
          <w:b/>
          <w:color w:val="auto"/>
          <w:sz w:val="22"/>
          <w:szCs w:val="22"/>
          <w:highlight w:val="none"/>
        </w:rPr>
      </w:pPr>
      <w:bookmarkStart w:id="3" w:name="_Toc35393790"/>
      <w:bookmarkStart w:id="4" w:name="_Toc28359079"/>
      <w:bookmarkStart w:id="5" w:name="_Toc28359002"/>
      <w:bookmarkStart w:id="6" w:name="_Toc35393621"/>
      <w:bookmarkStart w:id="7" w:name="_Hlk24379207"/>
      <w:r>
        <w:rPr>
          <w:rFonts w:hint="eastAsia" w:ascii="宋体" w:hAnsi="宋体" w:cs="宋体"/>
          <w:b/>
          <w:color w:val="auto"/>
          <w:sz w:val="22"/>
          <w:szCs w:val="22"/>
          <w:highlight w:val="none"/>
        </w:rPr>
        <w:t>一、项目基本情况</w:t>
      </w:r>
      <w:bookmarkEnd w:id="3"/>
      <w:bookmarkEnd w:id="4"/>
      <w:bookmarkEnd w:id="5"/>
      <w:bookmarkEnd w:id="6"/>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项目编号：WZZF2023(ZC)-05-121（GK）</w:t>
      </w:r>
    </w:p>
    <w:p>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安全防范系统建设与运维实训室</w:t>
      </w:r>
    </w:p>
    <w:bookmarkEnd w:id="7"/>
    <w:p>
      <w:pPr>
        <w:spacing w:line="44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预算金额（元）：</w:t>
      </w:r>
      <w:r>
        <w:rPr>
          <w:rFonts w:hint="eastAsia" w:ascii="宋体" w:hAnsi="宋体"/>
          <w:color w:val="auto"/>
          <w:sz w:val="22"/>
          <w:szCs w:val="22"/>
          <w:highlight w:val="none"/>
          <w:lang w:val="en-US" w:eastAsia="zh-CN"/>
        </w:rPr>
        <w:t>875514</w:t>
      </w:r>
    </w:p>
    <w:p>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最高限价（元）：</w:t>
      </w:r>
      <w:r>
        <w:rPr>
          <w:rFonts w:hint="eastAsia" w:ascii="宋体" w:hAnsi="宋体"/>
          <w:color w:val="auto"/>
          <w:sz w:val="22"/>
          <w:szCs w:val="22"/>
          <w:highlight w:val="none"/>
          <w:lang w:val="en-US" w:eastAsia="zh-CN"/>
        </w:rPr>
        <w:t>875514</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采购需求：</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标项一：</w:t>
      </w:r>
      <w:r>
        <w:rPr>
          <w:rFonts w:hint="eastAsia" w:ascii="宋体" w:hAnsi="宋体"/>
          <w:color w:val="auto"/>
          <w:sz w:val="22"/>
          <w:szCs w:val="22"/>
          <w:highlight w:val="none"/>
        </w:rPr>
        <w:br w:type="textWrapping"/>
      </w:r>
      <w:r>
        <w:rPr>
          <w:rFonts w:hint="eastAsia" w:ascii="宋体" w:hAnsi="宋体"/>
          <w:color w:val="auto"/>
          <w:sz w:val="22"/>
          <w:szCs w:val="22"/>
          <w:highlight w:val="none"/>
        </w:rPr>
        <w:t>   标项名称：</w:t>
      </w:r>
      <w:r>
        <w:rPr>
          <w:rFonts w:hint="eastAsia" w:ascii="宋体" w:hAnsi="宋体"/>
          <w:color w:val="auto"/>
          <w:sz w:val="22"/>
          <w:szCs w:val="22"/>
          <w:highlight w:val="none"/>
          <w:lang w:eastAsia="zh-CN"/>
        </w:rPr>
        <w:t>安全防范系统建设与运维实训室</w:t>
      </w:r>
      <w:r>
        <w:rPr>
          <w:rFonts w:hint="eastAsia" w:ascii="宋体" w:hAnsi="宋体"/>
          <w:color w:val="auto"/>
          <w:sz w:val="22"/>
          <w:szCs w:val="22"/>
          <w:highlight w:val="none"/>
        </w:rPr>
        <w:br w:type="textWrapping"/>
      </w:r>
      <w:r>
        <w:rPr>
          <w:rFonts w:hint="eastAsia" w:ascii="宋体" w:hAnsi="宋体"/>
          <w:color w:val="auto"/>
          <w:sz w:val="22"/>
          <w:szCs w:val="22"/>
          <w:highlight w:val="none"/>
        </w:rPr>
        <w:t>   数量: 1项</w:t>
      </w:r>
      <w:r>
        <w:rPr>
          <w:rFonts w:hint="eastAsia" w:ascii="宋体" w:hAnsi="宋体"/>
          <w:color w:val="auto"/>
          <w:sz w:val="22"/>
          <w:szCs w:val="22"/>
          <w:highlight w:val="none"/>
        </w:rPr>
        <w:br w:type="textWrapping"/>
      </w:r>
      <w:r>
        <w:rPr>
          <w:rFonts w:hint="eastAsia" w:ascii="宋体" w:hAnsi="宋体"/>
          <w:color w:val="auto"/>
          <w:sz w:val="22"/>
          <w:szCs w:val="22"/>
          <w:highlight w:val="none"/>
        </w:rPr>
        <w:t>   预算金额（元）：</w:t>
      </w:r>
      <w:r>
        <w:rPr>
          <w:rFonts w:hint="eastAsia" w:ascii="宋体" w:hAnsi="宋体"/>
          <w:color w:val="auto"/>
          <w:sz w:val="22"/>
          <w:szCs w:val="22"/>
          <w:highlight w:val="none"/>
          <w:lang w:val="en-US" w:eastAsia="zh-CN"/>
        </w:rPr>
        <w:t>875514</w:t>
      </w:r>
      <w:r>
        <w:rPr>
          <w:rFonts w:hint="eastAsia" w:ascii="宋体" w:hAnsi="宋体"/>
          <w:color w:val="auto"/>
          <w:sz w:val="22"/>
          <w:szCs w:val="22"/>
          <w:highlight w:val="none"/>
        </w:rPr>
        <w:br w:type="textWrapping"/>
      </w:r>
      <w:r>
        <w:rPr>
          <w:rFonts w:hint="eastAsia" w:ascii="宋体" w:hAnsi="宋体"/>
          <w:color w:val="auto"/>
          <w:sz w:val="22"/>
          <w:szCs w:val="22"/>
          <w:highlight w:val="none"/>
        </w:rPr>
        <w:t>   简要规格描述或项目基本概况介绍、用途：浙江安防职业技术学院</w:t>
      </w:r>
      <w:r>
        <w:rPr>
          <w:rFonts w:hint="eastAsia" w:ascii="宋体" w:hAnsi="宋体"/>
          <w:color w:val="auto"/>
          <w:sz w:val="22"/>
          <w:szCs w:val="22"/>
          <w:highlight w:val="none"/>
          <w:lang w:eastAsia="zh-CN"/>
        </w:rPr>
        <w:t>安全防范系统建设与运维实训室</w:t>
      </w:r>
      <w:r>
        <w:rPr>
          <w:rFonts w:hint="eastAsia" w:ascii="宋体" w:hAnsi="宋体"/>
          <w:color w:val="auto"/>
          <w:sz w:val="22"/>
          <w:szCs w:val="22"/>
          <w:highlight w:val="none"/>
          <w:lang w:val="en-US" w:eastAsia="zh-CN"/>
        </w:rPr>
        <w:t>设备采购</w:t>
      </w:r>
      <w:r>
        <w:rPr>
          <w:rFonts w:hint="eastAsia" w:ascii="宋体" w:hAnsi="宋体"/>
          <w:color w:val="auto"/>
          <w:sz w:val="22"/>
          <w:szCs w:val="22"/>
          <w:highlight w:val="none"/>
        </w:rPr>
        <w:t>，包括货物的</w:t>
      </w:r>
      <w:r>
        <w:rPr>
          <w:rFonts w:hint="eastAsia" w:ascii="宋体" w:hAnsi="宋体" w:cs="宋体"/>
          <w:color w:val="auto"/>
          <w:sz w:val="22"/>
          <w:szCs w:val="22"/>
          <w:highlight w:val="none"/>
        </w:rPr>
        <w:t>供货、安装、调试等内容，</w:t>
      </w:r>
      <w:r>
        <w:rPr>
          <w:rFonts w:hint="eastAsia" w:ascii="宋体" w:hAnsi="宋体"/>
          <w:color w:val="auto"/>
          <w:sz w:val="22"/>
          <w:szCs w:val="22"/>
          <w:highlight w:val="none"/>
        </w:rPr>
        <w:t>详见招标文件第六部分。</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备注：</w:t>
      </w:r>
    </w:p>
    <w:p>
      <w:pPr>
        <w:adjustRightInd w:val="0"/>
        <w:snapToGrid w:val="0"/>
        <w:spacing w:line="440" w:lineRule="exact"/>
        <w:ind w:firstLine="440" w:firstLineChars="200"/>
        <w:rPr>
          <w:rFonts w:ascii="宋体" w:hAnsi="宋体" w:cs="宋体"/>
          <w:color w:val="auto"/>
          <w:sz w:val="22"/>
          <w:szCs w:val="22"/>
          <w:highlight w:val="none"/>
        </w:rPr>
      </w:pPr>
      <w:r>
        <w:rPr>
          <w:rFonts w:hint="eastAsia" w:ascii="宋体" w:hAnsi="宋体"/>
          <w:color w:val="auto"/>
          <w:sz w:val="22"/>
          <w:szCs w:val="22"/>
          <w:highlight w:val="none"/>
        </w:rPr>
        <w:t>合同履行期限：</w:t>
      </w:r>
      <w:r>
        <w:rPr>
          <w:rFonts w:hint="eastAsia" w:ascii="宋体" w:hAnsi="宋体" w:cs="宋体"/>
          <w:color w:val="auto"/>
          <w:sz w:val="22"/>
          <w:highlight w:val="none"/>
        </w:rPr>
        <w:t>合同签订后30天内完成全部设备的</w:t>
      </w:r>
      <w:r>
        <w:rPr>
          <w:rFonts w:hint="eastAsia" w:ascii="宋体" w:hAnsi="宋体" w:cs="宋体"/>
          <w:color w:val="auto"/>
          <w:sz w:val="22"/>
          <w:szCs w:val="22"/>
          <w:highlight w:val="none"/>
        </w:rPr>
        <w:t>供货、安装、调试</w:t>
      </w:r>
      <w:r>
        <w:rPr>
          <w:rFonts w:hint="eastAsia" w:ascii="宋体" w:hAnsi="宋体" w:cs="宋体"/>
          <w:color w:val="auto"/>
          <w:sz w:val="22"/>
          <w:highlight w:val="none"/>
        </w:rPr>
        <w:t>，由采购人进行验收</w:t>
      </w:r>
      <w:r>
        <w:rPr>
          <w:rFonts w:hint="eastAsia" w:ascii="宋体" w:hAnsi="宋体" w:cs="宋体"/>
          <w:color w:val="auto"/>
          <w:sz w:val="22"/>
          <w:szCs w:val="22"/>
          <w:highlight w:val="none"/>
        </w:rPr>
        <w:t>。</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本项目（是）接受联合体投标。</w:t>
      </w:r>
    </w:p>
    <w:p>
      <w:pPr>
        <w:widowControl/>
        <w:spacing w:line="440" w:lineRule="exact"/>
        <w:rPr>
          <w:rFonts w:ascii="宋体" w:hAnsi="宋体" w:cs="宋体"/>
          <w:b/>
          <w:color w:val="auto"/>
          <w:sz w:val="22"/>
          <w:szCs w:val="22"/>
          <w:highlight w:val="none"/>
        </w:rPr>
      </w:pPr>
      <w:bookmarkStart w:id="8" w:name="_Toc28359080"/>
      <w:bookmarkStart w:id="9" w:name="_Toc28359003"/>
      <w:bookmarkStart w:id="10" w:name="_Toc35393791"/>
      <w:bookmarkStart w:id="11" w:name="_Toc35393622"/>
      <w:r>
        <w:rPr>
          <w:rFonts w:hint="eastAsia" w:ascii="宋体" w:hAnsi="宋体" w:cs="宋体"/>
          <w:b/>
          <w:color w:val="auto"/>
          <w:sz w:val="22"/>
          <w:szCs w:val="22"/>
          <w:highlight w:val="none"/>
        </w:rPr>
        <w:t>二、申请人的资格要求：</w:t>
      </w:r>
      <w:bookmarkEnd w:id="8"/>
      <w:bookmarkEnd w:id="9"/>
      <w:bookmarkEnd w:id="10"/>
      <w:bookmarkEnd w:id="11"/>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440" w:lineRule="exact"/>
        <w:ind w:firstLine="440" w:firstLineChars="200"/>
        <w:rPr>
          <w:rFonts w:ascii="宋体" w:hAnsi="宋体"/>
          <w:color w:val="auto"/>
          <w:sz w:val="22"/>
          <w:szCs w:val="22"/>
          <w:highlight w:val="none"/>
          <w:u w:val="single"/>
        </w:rPr>
      </w:pPr>
      <w:bookmarkStart w:id="12" w:name="_Toc28359081"/>
      <w:bookmarkStart w:id="13" w:name="_Toc28359004"/>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.落实政府采购政策需满足的资格要求：无；</w:t>
      </w:r>
    </w:p>
    <w:p>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3.本项目的特定资格要求：无。</w:t>
      </w:r>
    </w:p>
    <w:p>
      <w:pPr>
        <w:widowControl/>
        <w:spacing w:line="440" w:lineRule="exact"/>
        <w:rPr>
          <w:rFonts w:ascii="宋体" w:hAnsi="宋体" w:cs="宋体"/>
          <w:b/>
          <w:color w:val="auto"/>
          <w:sz w:val="22"/>
          <w:szCs w:val="22"/>
          <w:highlight w:val="none"/>
        </w:rPr>
      </w:pPr>
      <w:bookmarkStart w:id="14" w:name="_Toc35393623"/>
      <w:bookmarkStart w:id="15" w:name="_Toc35393792"/>
      <w:r>
        <w:rPr>
          <w:rFonts w:hint="eastAsia" w:ascii="宋体" w:hAnsi="宋体" w:cs="宋体"/>
          <w:b/>
          <w:color w:val="auto"/>
          <w:sz w:val="22"/>
          <w:szCs w:val="22"/>
          <w:highlight w:val="none"/>
        </w:rPr>
        <w:t>三、获取招标文件</w:t>
      </w:r>
      <w:bookmarkEnd w:id="12"/>
      <w:bookmarkEnd w:id="13"/>
      <w:bookmarkEnd w:id="14"/>
      <w:bookmarkEnd w:id="15"/>
    </w:p>
    <w:p>
      <w:pPr>
        <w:pStyle w:val="32"/>
        <w:spacing w:before="75" w:beforeAutospacing="0" w:after="75" w:afterAutospacing="0" w:line="440" w:lineRule="exact"/>
        <w:ind w:firstLine="440" w:firstLineChars="200"/>
        <w:rPr>
          <w:color w:val="auto"/>
          <w:sz w:val="22"/>
          <w:szCs w:val="22"/>
          <w:highlight w:val="none"/>
        </w:rPr>
      </w:pPr>
      <w:r>
        <w:rPr>
          <w:rFonts w:hint="eastAsia"/>
          <w:color w:val="auto"/>
          <w:sz w:val="22"/>
          <w:szCs w:val="22"/>
          <w:highlight w:val="none"/>
        </w:rPr>
        <w:t>时间：/ 至2023年</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7</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10</w:t>
      </w:r>
      <w:r>
        <w:rPr>
          <w:rFonts w:hint="eastAsia"/>
          <w:color w:val="auto"/>
          <w:sz w:val="22"/>
          <w:szCs w:val="22"/>
          <w:highlight w:val="none"/>
          <w:u w:val="single"/>
        </w:rPr>
        <w:t xml:space="preserve"> </w:t>
      </w:r>
      <w:r>
        <w:rPr>
          <w:rFonts w:hint="eastAsia"/>
          <w:color w:val="auto"/>
          <w:sz w:val="22"/>
          <w:szCs w:val="22"/>
          <w:highlight w:val="none"/>
        </w:rPr>
        <w:t>日，每天上午00:00至12:00，下午12:00至23:59（北京时间，线上获取法定节假日均可，线下获取文件法定节假日除外）</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地点（网址）：政采云平台（https://www.zcygov.cn）</w:t>
      </w:r>
    </w:p>
    <w:p>
      <w:pPr>
        <w:pStyle w:val="32"/>
        <w:spacing w:before="75" w:beforeAutospacing="0" w:after="75" w:afterAutospacing="0" w:line="440" w:lineRule="exact"/>
        <w:rPr>
          <w:color w:val="auto"/>
          <w:sz w:val="22"/>
          <w:szCs w:val="22"/>
          <w:highlight w:val="none"/>
          <w:u w:val="single"/>
        </w:rPr>
      </w:pPr>
      <w:r>
        <w:rPr>
          <w:rFonts w:hint="eastAsia"/>
          <w:color w:val="auto"/>
          <w:sz w:val="22"/>
          <w:szCs w:val="22"/>
          <w:highlight w:val="none"/>
        </w:rPr>
        <w:t xml:space="preserve">  方式：供应商登录政采云平台https://www.zcygov.cn/在线申请获取采购文件（进入“项目采购”应用，在获取采购文件菜单中选择项目，申请获取采购文件） </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售价（元）：0 </w:t>
      </w:r>
    </w:p>
    <w:p>
      <w:pPr>
        <w:widowControl/>
        <w:spacing w:line="440" w:lineRule="exact"/>
        <w:rPr>
          <w:rFonts w:ascii="宋体" w:hAnsi="宋体" w:cs="宋体"/>
          <w:color w:val="auto"/>
          <w:sz w:val="22"/>
          <w:szCs w:val="22"/>
          <w:highlight w:val="none"/>
        </w:rPr>
      </w:pPr>
      <w:r>
        <w:rPr>
          <w:rFonts w:hint="eastAsia" w:ascii="宋体" w:hAnsi="宋体" w:cs="宋体"/>
          <w:b/>
          <w:color w:val="auto"/>
          <w:sz w:val="22"/>
          <w:szCs w:val="22"/>
          <w:highlight w:val="none"/>
        </w:rPr>
        <w:t>四、提交投标文件截止时间、开标时间和地点</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提交投标文件截止时间：2023年</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7</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10</w:t>
      </w:r>
      <w:r>
        <w:rPr>
          <w:rFonts w:hint="eastAsia"/>
          <w:color w:val="auto"/>
          <w:sz w:val="22"/>
          <w:szCs w:val="22"/>
          <w:highlight w:val="none"/>
          <w:u w:val="single"/>
        </w:rPr>
        <w:t xml:space="preserve"> </w:t>
      </w:r>
      <w:r>
        <w:rPr>
          <w:rFonts w:hint="eastAsia"/>
          <w:color w:val="auto"/>
          <w:sz w:val="22"/>
          <w:szCs w:val="22"/>
          <w:highlight w:val="none"/>
        </w:rPr>
        <w:t>日14:30（北京时间）</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投标地点（网址）：请登录政采云投标客户端投标</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开标时间：2023年</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7</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10</w:t>
      </w:r>
      <w:r>
        <w:rPr>
          <w:rFonts w:hint="eastAsia"/>
          <w:color w:val="auto"/>
          <w:sz w:val="22"/>
          <w:szCs w:val="22"/>
          <w:highlight w:val="none"/>
          <w:u w:val="single"/>
        </w:rPr>
        <w:t xml:space="preserve"> </w:t>
      </w:r>
      <w:r>
        <w:rPr>
          <w:rFonts w:hint="eastAsia"/>
          <w:color w:val="auto"/>
          <w:sz w:val="22"/>
          <w:szCs w:val="22"/>
          <w:highlight w:val="none"/>
        </w:rPr>
        <w:t>日14:30（北京时间）</w:t>
      </w:r>
    </w:p>
    <w:p>
      <w:pPr>
        <w:pStyle w:val="32"/>
        <w:spacing w:before="75" w:beforeAutospacing="0" w:after="75" w:afterAutospacing="0" w:line="440" w:lineRule="exact"/>
        <w:rPr>
          <w:color w:val="auto"/>
          <w:sz w:val="22"/>
          <w:szCs w:val="22"/>
          <w:highlight w:val="none"/>
        </w:rPr>
      </w:pPr>
      <w:r>
        <w:rPr>
          <w:rFonts w:hint="eastAsia"/>
          <w:color w:val="auto"/>
          <w:sz w:val="22"/>
          <w:szCs w:val="22"/>
          <w:highlight w:val="none"/>
        </w:rPr>
        <w:t>   开标地点（网址）：温州市瓯海区南塘一组团1幢1504室，政采云平台（https://www.zcygov.cn）在线评标</w:t>
      </w:r>
    </w:p>
    <w:p>
      <w:pPr>
        <w:widowControl/>
        <w:spacing w:line="440" w:lineRule="exact"/>
        <w:rPr>
          <w:rFonts w:ascii="宋体" w:hAnsi="宋体" w:cs="宋体"/>
          <w:b/>
          <w:color w:val="auto"/>
          <w:sz w:val="22"/>
          <w:szCs w:val="22"/>
          <w:highlight w:val="none"/>
        </w:rPr>
      </w:pPr>
      <w:bookmarkStart w:id="16" w:name="_Toc28359007"/>
      <w:bookmarkStart w:id="17" w:name="_Toc35393625"/>
      <w:bookmarkStart w:id="18" w:name="_Toc28359084"/>
      <w:bookmarkStart w:id="19" w:name="_Toc35393794"/>
      <w:r>
        <w:rPr>
          <w:rFonts w:hint="eastAsia" w:ascii="宋体" w:hAnsi="宋体" w:cs="宋体"/>
          <w:b/>
          <w:color w:val="auto"/>
          <w:sz w:val="22"/>
          <w:szCs w:val="22"/>
          <w:highlight w:val="none"/>
        </w:rPr>
        <w:t>五、公告期限</w:t>
      </w:r>
      <w:bookmarkEnd w:id="16"/>
      <w:bookmarkEnd w:id="17"/>
      <w:bookmarkEnd w:id="18"/>
      <w:bookmarkEnd w:id="19"/>
    </w:p>
    <w:p>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pPr>
        <w:widowControl/>
        <w:spacing w:line="440" w:lineRule="exact"/>
        <w:rPr>
          <w:rFonts w:ascii="宋体" w:hAnsi="宋体" w:cs="宋体"/>
          <w:b/>
          <w:color w:val="auto"/>
          <w:sz w:val="22"/>
          <w:szCs w:val="22"/>
          <w:highlight w:val="none"/>
        </w:rPr>
      </w:pPr>
      <w:bookmarkStart w:id="20" w:name="_Toc35393795"/>
      <w:bookmarkStart w:id="21" w:name="_Toc35393626"/>
      <w:r>
        <w:rPr>
          <w:rFonts w:hint="eastAsia" w:ascii="宋体" w:hAnsi="宋体" w:cs="宋体"/>
          <w:b/>
          <w:color w:val="auto"/>
          <w:sz w:val="22"/>
          <w:szCs w:val="22"/>
          <w:highlight w:val="none"/>
        </w:rPr>
        <w:t>六、其他补充事宜</w:t>
      </w:r>
      <w:bookmarkEnd w:id="20"/>
      <w:bookmarkEnd w:id="21"/>
    </w:p>
    <w:p>
      <w:pPr>
        <w:spacing w:line="440" w:lineRule="exact"/>
        <w:rPr>
          <w:rFonts w:ascii="宋体" w:hAnsi="宋体"/>
          <w:color w:val="auto"/>
          <w:sz w:val="22"/>
          <w:szCs w:val="22"/>
          <w:highlight w:val="none"/>
        </w:rPr>
      </w:pPr>
      <w:bookmarkStart w:id="22" w:name="_Hlk47793939"/>
      <w:r>
        <w:rPr>
          <w:rFonts w:hint="eastAsia" w:ascii="宋体" w:hAnsi="宋体" w:cs="宋体"/>
          <w:color w:val="auto"/>
          <w:sz w:val="22"/>
          <w:szCs w:val="22"/>
          <w:highlight w:val="none"/>
        </w:rPr>
        <w:t xml:space="preserve">    </w:t>
      </w:r>
      <w:r>
        <w:rPr>
          <w:rFonts w:hint="eastAsia" w:ascii="宋体" w:hAnsi="宋体"/>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widowControl/>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idowControl/>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3.其他事项：</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本项目实行电子投标，应按照本项目招标文件和政采云平台的要求编制、加密并递交投标文件。供应商在使用系统进行投标的过程中遇到涉及平台使用的任何问题，可致电政采云平台技术支持热线咨询，联系方式：400-881-7190。 （2）投标人应在开标前完成CA数字证书办理。（办理流程详见：http://www.zjzfcg.gov.cn/bidClientTemplate/2019-05-27/12945.html）。完成CA数字证书办理预计一周左右，建议各投标人抓紧时间办理。 (3)投标人通过政采云平台电子投标工具制作投标文件，电子投标工具请供应商自行前往浙江省政府采购网下载并安装，（下载网址：http://www.zjzfcg.gov.cn/bidClientTemplate/2019-05-27/12946.html），电子投标具体流程详见（网址：https://help.zcygov.cn/web/site_2/2018/12/25/2547.html）。</w:t>
      </w:r>
    </w:p>
    <w:p>
      <w:pPr>
        <w:widowControl/>
        <w:spacing w:line="440" w:lineRule="exact"/>
        <w:rPr>
          <w:rFonts w:ascii="宋体" w:hAnsi="宋体" w:cs="宋体"/>
          <w:color w:val="auto"/>
          <w:sz w:val="22"/>
          <w:szCs w:val="22"/>
          <w:highlight w:val="none"/>
        </w:rPr>
      </w:pPr>
      <w:r>
        <w:rPr>
          <w:rFonts w:hint="eastAsia" w:ascii="宋体" w:hAnsi="宋体" w:cs="宋体"/>
          <w:b/>
          <w:color w:val="auto"/>
          <w:sz w:val="22"/>
          <w:szCs w:val="22"/>
          <w:highlight w:val="none"/>
        </w:rPr>
        <w:t>七、对本次招标提出询问、质疑、投诉，请按以下方式联系</w:t>
      </w:r>
    </w:p>
    <w:bookmarkEnd w:id="22"/>
    <w:p>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1.采购人信息</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名    称：浙江安防职业技术学院</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地    址：</w:t>
      </w:r>
      <w:r>
        <w:rPr>
          <w:rFonts w:hint="eastAsia" w:ascii="宋体" w:hAnsi="宋体" w:cs="宋体"/>
          <w:color w:val="auto"/>
          <w:szCs w:val="22"/>
          <w:highlight w:val="none"/>
        </w:rPr>
        <w:t>温州市瓯海大道2555号</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传    真：/</w:t>
      </w:r>
    </w:p>
    <w:p>
      <w:pPr>
        <w:widowControl/>
        <w:spacing w:line="440" w:lineRule="exact"/>
        <w:jc w:val="left"/>
        <w:rPr>
          <w:rFonts w:ascii="宋体" w:hAnsi="宋体" w:cs="宋体"/>
          <w:color w:val="auto"/>
          <w:szCs w:val="22"/>
          <w:highlight w:val="none"/>
        </w:rPr>
      </w:pPr>
      <w:r>
        <w:rPr>
          <w:rFonts w:hint="eastAsia" w:ascii="宋体" w:hAnsi="宋体" w:cs="宋体"/>
          <w:color w:val="auto"/>
          <w:szCs w:val="22"/>
          <w:highlight w:val="none"/>
          <w:lang w:bidi="ar"/>
        </w:rPr>
        <w:t>   </w:t>
      </w:r>
      <w:bookmarkStart w:id="23" w:name="_Hlk47793869"/>
      <w:r>
        <w:rPr>
          <w:rFonts w:hint="eastAsia" w:ascii="宋体" w:hAnsi="宋体" w:cs="宋体"/>
          <w:color w:val="auto"/>
          <w:szCs w:val="22"/>
          <w:highlight w:val="none"/>
          <w:lang w:bidi="ar"/>
        </w:rPr>
        <w:t xml:space="preserve"> </w:t>
      </w:r>
      <w:r>
        <w:rPr>
          <w:rFonts w:hint="eastAsia" w:ascii="宋体" w:hAnsi="宋体" w:cs="宋体"/>
          <w:color w:val="auto"/>
          <w:szCs w:val="22"/>
          <w:highlight w:val="none"/>
        </w:rPr>
        <w:t>项目联系人（询问）：赵老师</w:t>
      </w:r>
    </w:p>
    <w:p>
      <w:pPr>
        <w:widowControl/>
        <w:spacing w:line="440" w:lineRule="exact"/>
        <w:jc w:val="left"/>
        <w:rPr>
          <w:rFonts w:ascii="宋体" w:hAnsi="宋体" w:cs="宋体"/>
          <w:color w:val="auto"/>
          <w:szCs w:val="22"/>
          <w:highlight w:val="none"/>
        </w:rPr>
      </w:pPr>
      <w:r>
        <w:rPr>
          <w:rFonts w:hint="eastAsia" w:ascii="宋体" w:hAnsi="宋体" w:cs="宋体"/>
          <w:color w:val="auto"/>
          <w:szCs w:val="22"/>
          <w:highlight w:val="none"/>
        </w:rPr>
        <w:t>    项目联系方式（询问）：0577-85103996</w:t>
      </w:r>
    </w:p>
    <w:p>
      <w:pPr>
        <w:widowControl/>
        <w:spacing w:line="440" w:lineRule="exact"/>
        <w:jc w:val="left"/>
        <w:rPr>
          <w:rFonts w:ascii="宋体" w:hAnsi="宋体" w:cs="宋体"/>
          <w:color w:val="auto"/>
          <w:szCs w:val="22"/>
          <w:highlight w:val="none"/>
        </w:rPr>
      </w:pPr>
      <w:r>
        <w:rPr>
          <w:rFonts w:hint="eastAsia" w:ascii="宋体" w:hAnsi="宋体" w:cs="宋体"/>
          <w:color w:val="auto"/>
          <w:szCs w:val="22"/>
          <w:highlight w:val="none"/>
        </w:rPr>
        <w:t>    质疑联系人：余老师</w:t>
      </w:r>
    </w:p>
    <w:p>
      <w:pPr>
        <w:widowControl/>
        <w:spacing w:line="440" w:lineRule="exact"/>
        <w:jc w:val="left"/>
        <w:rPr>
          <w:rFonts w:ascii="宋体" w:hAnsi="宋体" w:cs="宋体"/>
          <w:color w:val="auto"/>
          <w:szCs w:val="22"/>
          <w:highlight w:val="none"/>
        </w:rPr>
      </w:pPr>
      <w:r>
        <w:rPr>
          <w:rFonts w:hint="eastAsia" w:ascii="宋体" w:hAnsi="宋体" w:cs="宋体"/>
          <w:color w:val="auto"/>
          <w:szCs w:val="22"/>
          <w:highlight w:val="none"/>
        </w:rPr>
        <w:t>    质疑联系方式：</w:t>
      </w:r>
      <w:r>
        <w:rPr>
          <w:rFonts w:hint="eastAsia" w:ascii="宋体" w:hAnsi="宋体" w:cs="宋体"/>
          <w:bCs/>
          <w:color w:val="auto"/>
          <w:sz w:val="22"/>
          <w:szCs w:val="22"/>
          <w:highlight w:val="none"/>
        </w:rPr>
        <w:t>0577-85102826</w:t>
      </w:r>
    </w:p>
    <w:bookmarkEnd w:id="23"/>
    <w:p>
      <w:pPr>
        <w:widowControl/>
        <w:spacing w:line="440" w:lineRule="exact"/>
        <w:ind w:firstLine="660" w:firstLineChars="300"/>
        <w:jc w:val="left"/>
        <w:rPr>
          <w:rFonts w:ascii="宋体" w:hAnsi="宋体" w:cs="宋体"/>
          <w:color w:val="auto"/>
          <w:sz w:val="22"/>
          <w:szCs w:val="22"/>
          <w:highlight w:val="none"/>
        </w:rPr>
      </w:pPr>
    </w:p>
    <w:p>
      <w:pPr>
        <w:widowControl/>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2.采购代理机构信息</w:t>
      </w:r>
    </w:p>
    <w:p>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名    称：温州正风招标代理有限公司</w:t>
      </w:r>
    </w:p>
    <w:p>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地    址：温州市瓯海区南塘一组团1幢（商务楼）1504室</w:t>
      </w:r>
    </w:p>
    <w:p>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项目联系人（询问）：刘慧聪</w:t>
      </w:r>
    </w:p>
    <w:p>
      <w:pPr>
        <w:widowControl/>
        <w:spacing w:line="440" w:lineRule="exact"/>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项目联系方式（询问）：15858517848</w:t>
      </w:r>
    </w:p>
    <w:p>
      <w:pPr>
        <w:widowControl/>
        <w:spacing w:line="440" w:lineRule="exact"/>
        <w:ind w:firstLine="660"/>
        <w:jc w:val="left"/>
        <w:rPr>
          <w:rFonts w:ascii="宋体" w:hAnsi="宋体" w:cs="宋体"/>
          <w:color w:val="auto"/>
          <w:sz w:val="22"/>
          <w:szCs w:val="22"/>
          <w:highlight w:val="none"/>
        </w:rPr>
      </w:pPr>
      <w:r>
        <w:rPr>
          <w:rFonts w:hint="eastAsia" w:ascii="宋体" w:hAnsi="宋体" w:cs="宋体"/>
          <w:color w:val="auto"/>
          <w:sz w:val="22"/>
          <w:szCs w:val="22"/>
          <w:highlight w:val="none"/>
        </w:rPr>
        <w:t>质疑联系人：诸葛先生</w:t>
      </w:r>
    </w:p>
    <w:p>
      <w:pPr>
        <w:widowControl/>
        <w:spacing w:line="440" w:lineRule="exact"/>
        <w:ind w:firstLine="660"/>
        <w:jc w:val="left"/>
        <w:rPr>
          <w:rFonts w:ascii="宋体" w:hAnsi="宋体" w:cs="宋体"/>
          <w:color w:val="auto"/>
          <w:sz w:val="22"/>
          <w:szCs w:val="22"/>
          <w:highlight w:val="none"/>
        </w:rPr>
      </w:pPr>
      <w:r>
        <w:rPr>
          <w:rFonts w:hint="eastAsia" w:ascii="宋体" w:hAnsi="宋体" w:cs="宋体"/>
          <w:color w:val="auto"/>
          <w:sz w:val="22"/>
          <w:szCs w:val="22"/>
          <w:highlight w:val="none"/>
        </w:rPr>
        <w:t>质疑联系方式：</w:t>
      </w:r>
      <w:r>
        <w:rPr>
          <w:rFonts w:ascii="宋体" w:hAnsi="宋体" w:cs="宋体"/>
          <w:color w:val="auto"/>
          <w:sz w:val="22"/>
          <w:szCs w:val="22"/>
          <w:highlight w:val="none"/>
        </w:rPr>
        <w:t>0577</w:t>
      </w:r>
      <w:r>
        <w:rPr>
          <w:rFonts w:hint="eastAsia" w:ascii="宋体" w:hAnsi="宋体" w:cs="宋体"/>
          <w:color w:val="auto"/>
          <w:sz w:val="22"/>
          <w:szCs w:val="22"/>
          <w:highlight w:val="none"/>
        </w:rPr>
        <w:t>-</w:t>
      </w:r>
      <w:r>
        <w:rPr>
          <w:rFonts w:ascii="宋体" w:hAnsi="宋体" w:cs="宋体"/>
          <w:color w:val="auto"/>
          <w:sz w:val="22"/>
          <w:szCs w:val="22"/>
          <w:highlight w:val="none"/>
        </w:rPr>
        <w:t>88119278</w:t>
      </w:r>
    </w:p>
    <w:p>
      <w:pPr>
        <w:widowControl/>
        <w:spacing w:line="440" w:lineRule="exact"/>
        <w:ind w:firstLine="660"/>
        <w:jc w:val="left"/>
        <w:rPr>
          <w:rFonts w:ascii="宋体" w:hAnsi="宋体" w:cs="宋体"/>
          <w:color w:val="auto"/>
          <w:sz w:val="22"/>
          <w:szCs w:val="22"/>
          <w:highlight w:val="none"/>
        </w:rPr>
      </w:pPr>
    </w:p>
    <w:p>
      <w:pPr>
        <w:widowControl/>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3.同级政府采购监督管理部门</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名    称：温州市财政局政府采购监管处 </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地    址：温州市鹿城区绣山路299号 </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传     真：/</w:t>
      </w:r>
    </w:p>
    <w:p>
      <w:pPr>
        <w:widowControl/>
        <w:spacing w:line="440" w:lineRule="exact"/>
        <w:jc w:val="left"/>
        <w:rPr>
          <w:rFonts w:ascii="宋体" w:hAnsi="宋体" w:cs="宋体"/>
          <w:color w:val="auto"/>
          <w:szCs w:val="22"/>
          <w:highlight w:val="none"/>
          <w:lang w:bidi="ar"/>
        </w:rPr>
      </w:pPr>
      <w:r>
        <w:rPr>
          <w:rFonts w:hint="eastAsia" w:ascii="宋体" w:hAnsi="宋体" w:cs="宋体"/>
          <w:color w:val="auto"/>
          <w:szCs w:val="22"/>
          <w:highlight w:val="none"/>
          <w:lang w:bidi="ar"/>
        </w:rPr>
        <w:t>    联系人 ：项先生、蔡女士 </w:t>
      </w:r>
    </w:p>
    <w:p>
      <w:pPr>
        <w:widowControl/>
        <w:spacing w:line="440" w:lineRule="exact"/>
        <w:jc w:val="left"/>
        <w:rPr>
          <w:rFonts w:ascii="宋体" w:hAnsi="宋体" w:cs="宋体"/>
          <w:color w:val="auto"/>
          <w:sz w:val="24"/>
          <w:highlight w:val="none"/>
          <w:lang w:bidi="ar"/>
        </w:rPr>
      </w:pPr>
      <w:r>
        <w:rPr>
          <w:rFonts w:hint="eastAsia" w:ascii="宋体" w:hAnsi="宋体" w:cs="宋体"/>
          <w:color w:val="auto"/>
          <w:szCs w:val="22"/>
          <w:highlight w:val="none"/>
          <w:lang w:bidi="ar"/>
        </w:rPr>
        <w:t>    监督投诉电话：0577-88532725、88521948</w:t>
      </w:r>
    </w:p>
    <w:p>
      <w:pPr>
        <w:pStyle w:val="51"/>
        <w:ind w:firstLine="560"/>
        <w:rPr>
          <w:rFonts w:ascii="Times New Roman" w:eastAsia="宋体"/>
          <w:color w:val="auto"/>
          <w:highlight w:val="none"/>
        </w:rPr>
      </w:pPr>
    </w:p>
    <w:p>
      <w:pPr>
        <w:adjustRightInd w:val="0"/>
        <w:snapToGrid w:val="0"/>
        <w:spacing w:line="440" w:lineRule="exact"/>
        <w:ind w:firstLine="660"/>
        <w:rPr>
          <w:rFonts w:ascii="宋体" w:hAnsi="宋体" w:cs="宋体"/>
          <w:color w:val="auto"/>
          <w:sz w:val="22"/>
          <w:szCs w:val="22"/>
          <w:highlight w:val="none"/>
        </w:rPr>
      </w:pPr>
      <w:r>
        <w:rPr>
          <w:rFonts w:hint="eastAsia" w:ascii="宋体" w:hAnsi="宋体" w:cs="宋体"/>
          <w:color w:val="auto"/>
          <w:sz w:val="22"/>
          <w:szCs w:val="22"/>
          <w:highlight w:val="none"/>
        </w:rPr>
        <w:t>若对项目采购电子交易系统操作有疑问，可登录政采云（https://www.zcygov.cn/），点击右侧咨询小采，获取采小蜜智能服务管家帮助，或拨打政采云服务热线400-881-7190获取热线服务帮助。</w:t>
      </w:r>
    </w:p>
    <w:p>
      <w:pPr>
        <w:adjustRightInd w:val="0"/>
        <w:snapToGrid w:val="0"/>
        <w:spacing w:line="440" w:lineRule="exact"/>
        <w:ind w:firstLine="660"/>
        <w:rPr>
          <w:rFonts w:ascii="宋体" w:hAnsi="宋体" w:cs="宋体"/>
          <w:color w:val="auto"/>
          <w:sz w:val="22"/>
          <w:szCs w:val="22"/>
          <w:highlight w:val="none"/>
        </w:rPr>
      </w:pPr>
      <w:r>
        <w:rPr>
          <w:rFonts w:hint="eastAsia" w:ascii="宋体" w:hAnsi="宋体" w:cs="宋体"/>
          <w:color w:val="auto"/>
          <w:sz w:val="22"/>
          <w:szCs w:val="22"/>
          <w:highlight w:val="none"/>
        </w:rPr>
        <w:t>CA问题联系电话（人工）：汇信CA 400-888-4636；天谷CA 400-087-8198。</w:t>
      </w:r>
    </w:p>
    <w:p>
      <w:pPr>
        <w:pStyle w:val="51"/>
        <w:ind w:firstLine="560"/>
        <w:rPr>
          <w:rFonts w:ascii="Times New Roman" w:eastAsia="宋体"/>
          <w:color w:val="auto"/>
          <w:highlight w:val="none"/>
        </w:rPr>
      </w:pPr>
    </w:p>
    <w:p>
      <w:pPr>
        <w:spacing w:line="400" w:lineRule="exact"/>
        <w:ind w:right="440"/>
        <w:jc w:val="right"/>
        <w:rPr>
          <w:rFonts w:ascii="宋体" w:hAnsi="宋体" w:cs="宋体"/>
          <w:color w:val="auto"/>
          <w:sz w:val="22"/>
          <w:szCs w:val="22"/>
          <w:highlight w:val="none"/>
        </w:rPr>
      </w:pPr>
    </w:p>
    <w:p>
      <w:pPr>
        <w:pStyle w:val="5"/>
        <w:spacing w:line="600" w:lineRule="exact"/>
        <w:jc w:val="center"/>
        <w:rPr>
          <w:rFonts w:ascii="黑体" w:hAnsi="黑体" w:eastAsia="黑体"/>
          <w:bCs/>
          <w:color w:val="auto"/>
          <w:sz w:val="36"/>
          <w:szCs w:val="36"/>
          <w:highlight w:val="none"/>
        </w:rPr>
      </w:pPr>
      <w:bookmarkStart w:id="24" w:name="_Toc230773774"/>
      <w:r>
        <w:rPr>
          <w:rFonts w:ascii="黑体" w:hAnsi="黑体" w:eastAsia="黑体"/>
          <w:bCs/>
          <w:color w:val="auto"/>
          <w:sz w:val="36"/>
          <w:szCs w:val="36"/>
          <w:highlight w:val="none"/>
        </w:rPr>
        <w:br w:type="page"/>
      </w:r>
      <w:bookmarkStart w:id="25" w:name="_Toc24243"/>
      <w:r>
        <w:rPr>
          <w:rFonts w:hint="eastAsia" w:ascii="黑体" w:hAnsi="黑体" w:eastAsia="黑体"/>
          <w:bCs/>
          <w:color w:val="auto"/>
          <w:sz w:val="36"/>
          <w:szCs w:val="36"/>
          <w:highlight w:val="none"/>
        </w:rPr>
        <w:t>第二部分   投标人须知</w:t>
      </w:r>
      <w:bookmarkEnd w:id="24"/>
      <w:bookmarkEnd w:id="25"/>
    </w:p>
    <w:p>
      <w:pPr>
        <w:pStyle w:val="6"/>
        <w:tabs>
          <w:tab w:val="left" w:pos="840"/>
        </w:tabs>
        <w:spacing w:line="680" w:lineRule="exact"/>
        <w:jc w:val="center"/>
        <w:rPr>
          <w:rFonts w:ascii="宋体" w:hAnsi="宋体" w:eastAsia="宋体" w:cs="宋体"/>
          <w:color w:val="auto"/>
          <w:sz w:val="28"/>
          <w:szCs w:val="28"/>
          <w:highlight w:val="none"/>
        </w:rPr>
      </w:pPr>
      <w:bookmarkStart w:id="26" w:name="_Toc9520"/>
      <w:bookmarkStart w:id="27" w:name="_Toc486600281"/>
      <w:r>
        <w:rPr>
          <w:rFonts w:hint="eastAsia" w:ascii="宋体" w:hAnsi="宋体" w:eastAsia="宋体" w:cs="宋体"/>
          <w:color w:val="auto"/>
          <w:sz w:val="28"/>
          <w:szCs w:val="28"/>
          <w:highlight w:val="none"/>
        </w:rPr>
        <w:t>投标人须知前附表</w:t>
      </w:r>
      <w:bookmarkEnd w:id="26"/>
      <w:bookmarkEnd w:id="27"/>
    </w:p>
    <w:tbl>
      <w:tblPr>
        <w:tblStyle w:val="36"/>
        <w:tblW w:w="10008" w:type="dxa"/>
        <w:tblInd w:w="0" w:type="dxa"/>
        <w:tblLayout w:type="fixed"/>
        <w:tblCellMar>
          <w:top w:w="0" w:type="dxa"/>
          <w:left w:w="108" w:type="dxa"/>
          <w:bottom w:w="0" w:type="dxa"/>
          <w:right w:w="108" w:type="dxa"/>
        </w:tblCellMar>
      </w:tblPr>
      <w:tblGrid>
        <w:gridCol w:w="1001"/>
        <w:gridCol w:w="1712"/>
        <w:gridCol w:w="7295"/>
      </w:tblGrid>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olor w:val="auto"/>
                <w:sz w:val="22"/>
                <w:szCs w:val="22"/>
                <w:highlight w:val="none"/>
              </w:rPr>
              <w:t>交付时间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highlight w:val="none"/>
              </w:rPr>
              <w:t>合同签订后30天内完成全部货物供货及安装调试，由采购人进行验收。</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宋体"/>
                <w:color w:val="auto"/>
                <w:sz w:val="22"/>
                <w:szCs w:val="22"/>
                <w:highlight w:val="none"/>
              </w:rPr>
              <w:t>不接受</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52"/>
            </w:r>
            <w:r>
              <w:rPr>
                <w:rFonts w:hint="eastAsia" w:ascii="宋体" w:hAnsi="宋体" w:cs="宋体"/>
                <w:color w:val="auto"/>
                <w:sz w:val="22"/>
                <w:szCs w:val="22"/>
                <w:highlight w:val="none"/>
              </w:rPr>
              <w:t>接受，应满足下列要求：无。</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□组织</w:t>
            </w:r>
          </w:p>
          <w:p>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sz w:val="22"/>
                <w:szCs w:val="22"/>
                <w:highlight w:val="none"/>
              </w:rPr>
              <w:t>不组织</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FE"/>
            </w:r>
            <w:r>
              <w:rPr>
                <w:rFonts w:hint="eastAsia" w:ascii="宋体" w:hAnsi="宋体" w:cs="仿宋"/>
                <w:bCs/>
                <w:color w:val="auto"/>
                <w:sz w:val="22"/>
                <w:szCs w:val="22"/>
                <w:highlight w:val="none"/>
              </w:rPr>
              <w:t>同意将非主体、非关键性的工作分包。</w:t>
            </w:r>
          </w:p>
          <w:p>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仿宋"/>
                <w:bCs/>
                <w:color w:val="auto"/>
                <w:sz w:val="22"/>
                <w:szCs w:val="22"/>
                <w:highlight w:val="none"/>
              </w:rPr>
              <w:t>不同意分包。</w:t>
            </w:r>
          </w:p>
          <w:p>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pPr>
              <w:pStyle w:val="23"/>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pPr>
              <w:pStyle w:val="23"/>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pPr>
              <w:pStyle w:val="23"/>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(1)电子响应文件：通过政采云电子交易客户端（政采云投标客户端）完成响应文件编制后生成并加密的数据电文形式的响应文件（文件扩展名为.jmbs）</w:t>
            </w:r>
            <w:r>
              <w:rPr>
                <w:rFonts w:hint="eastAsia" w:hAnsi="宋体" w:cs="宋体"/>
                <w:b/>
                <w:bCs/>
                <w:color w:val="auto"/>
                <w:szCs w:val="22"/>
                <w:highlight w:val="none"/>
                <w:lang w:val="zh-CN"/>
              </w:rPr>
              <w:t>。</w:t>
            </w:r>
          </w:p>
          <w:p>
            <w:pPr>
              <w:spacing w:line="360" w:lineRule="exact"/>
              <w:ind w:firstLine="211" w:firstLineChars="100"/>
              <w:rPr>
                <w:rStyle w:val="39"/>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39"/>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pPr>
              <w:pStyle w:val="23"/>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上述程序将根据政采云电子评标系统的调整而变动。</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评标委员会成员由采购人代表和有关技术、经济等方面的专家组成，成员人数为5人或以上单数，除采购人代表外的专家将在温州市财政局的评标专家库中随机抽取产生。</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履约担保的形式：接受</w:t>
            </w:r>
            <w:r>
              <w:rPr>
                <w:rFonts w:ascii="宋体" w:hAnsi="宋体" w:cs="宋体"/>
                <w:color w:val="auto"/>
                <w:sz w:val="22"/>
                <w:szCs w:val="22"/>
                <w:highlight w:val="none"/>
              </w:rPr>
              <w:t>支票、汇票、本票或者金融机构、担保机构出具的保函等非现金形式</w:t>
            </w:r>
            <w:r>
              <w:rPr>
                <w:rFonts w:hint="eastAsia" w:ascii="宋体" w:hAnsi="宋体" w:cs="宋体"/>
                <w:color w:val="auto"/>
                <w:sz w:val="22"/>
                <w:szCs w:val="22"/>
                <w:highlight w:val="none"/>
              </w:rPr>
              <w:t>。</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履约担保的金额：合同金额的</w:t>
            </w:r>
            <w:r>
              <w:rPr>
                <w:rFonts w:ascii="宋体" w:hAnsi="宋体" w:cs="宋体"/>
                <w:color w:val="auto"/>
                <w:sz w:val="22"/>
                <w:szCs w:val="22"/>
                <w:highlight w:val="none"/>
              </w:rPr>
              <w:t>1</w:t>
            </w:r>
            <w:r>
              <w:rPr>
                <w:rFonts w:hint="eastAsia" w:ascii="宋体" w:hAnsi="宋体" w:cs="宋体"/>
                <w:color w:val="auto"/>
                <w:sz w:val="22"/>
                <w:szCs w:val="22"/>
                <w:highlight w:val="none"/>
              </w:rPr>
              <w:t>%</w:t>
            </w:r>
          </w:p>
          <w:p>
            <w:pPr>
              <w:spacing w:line="360" w:lineRule="exact"/>
              <w:rPr>
                <w:rFonts w:ascii="宋体" w:hAnsi="宋体" w:cs="宋体"/>
                <w:b/>
                <w:color w:val="auto"/>
                <w:sz w:val="22"/>
                <w:szCs w:val="22"/>
                <w:highlight w:val="none"/>
              </w:rPr>
            </w:pPr>
            <w:r>
              <w:rPr>
                <w:rFonts w:hint="eastAsia" w:ascii="宋体" w:hAnsi="宋体"/>
                <w:color w:val="auto"/>
                <w:sz w:val="22"/>
                <w:szCs w:val="22"/>
                <w:highlight w:val="none"/>
              </w:rPr>
              <w:t>供应商</w:t>
            </w:r>
            <w:r>
              <w:rPr>
                <w:rFonts w:hint="eastAsia" w:ascii="宋体" w:hAnsi="宋体" w:cs="宋体"/>
                <w:color w:val="auto"/>
                <w:sz w:val="22"/>
                <w:szCs w:val="22"/>
                <w:highlight w:val="none"/>
              </w:rPr>
              <w:t>在签订合同后7个工作日内提交，用于补偿因</w:t>
            </w:r>
            <w:r>
              <w:rPr>
                <w:rFonts w:hint="eastAsia" w:ascii="宋体" w:hAnsi="宋体"/>
                <w:color w:val="auto"/>
                <w:sz w:val="22"/>
                <w:szCs w:val="22"/>
                <w:highlight w:val="none"/>
              </w:rPr>
              <w:t>供应商</w:t>
            </w:r>
            <w:r>
              <w:rPr>
                <w:rFonts w:hint="eastAsia" w:ascii="宋体" w:hAnsi="宋体" w:cs="宋体"/>
                <w:color w:val="auto"/>
                <w:sz w:val="22"/>
                <w:szCs w:val="22"/>
                <w:highlight w:val="none"/>
              </w:rPr>
              <w:t>不能履行其合同义务而造成的损失。项目验收结束后扣除</w:t>
            </w:r>
            <w:r>
              <w:rPr>
                <w:rFonts w:hint="eastAsia" w:ascii="宋体" w:hAnsi="宋体"/>
                <w:color w:val="auto"/>
                <w:sz w:val="22"/>
                <w:szCs w:val="22"/>
                <w:highlight w:val="none"/>
              </w:rPr>
              <w:t>供应商</w:t>
            </w:r>
            <w:r>
              <w:rPr>
                <w:rFonts w:hint="eastAsia" w:ascii="宋体" w:hAnsi="宋体" w:cs="宋体"/>
                <w:color w:val="auto"/>
                <w:sz w:val="22"/>
                <w:szCs w:val="22"/>
                <w:highlight w:val="none"/>
              </w:rPr>
              <w:t>应承担的违约赔偿责任外，剩余部分返还</w:t>
            </w:r>
            <w:r>
              <w:rPr>
                <w:rFonts w:hint="eastAsia" w:ascii="宋体" w:hAnsi="宋体"/>
                <w:color w:val="auto"/>
                <w:sz w:val="22"/>
                <w:szCs w:val="22"/>
                <w:highlight w:val="none"/>
              </w:rPr>
              <w:t>供应商</w:t>
            </w:r>
            <w:r>
              <w:rPr>
                <w:rFonts w:hint="eastAsia" w:ascii="宋体" w:hAnsi="宋体" w:cs="宋体"/>
                <w:color w:val="auto"/>
                <w:sz w:val="22"/>
                <w:szCs w:val="22"/>
                <w:highlight w:val="none"/>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w:t>
            </w:r>
            <w:r>
              <w:rPr>
                <w:rFonts w:ascii="宋体" w:hAnsi="宋体" w:cs="宋体"/>
                <w:b/>
                <w:color w:val="auto"/>
                <w:sz w:val="22"/>
                <w:szCs w:val="22"/>
                <w:highlight w:val="none"/>
              </w:rPr>
              <w:t>8</w:t>
            </w:r>
            <w:r>
              <w:rPr>
                <w:rFonts w:hint="eastAsia" w:ascii="宋体" w:hAnsi="宋体" w:cs="宋体"/>
                <w:b/>
                <w:color w:val="auto"/>
                <w:sz w:val="22"/>
                <w:szCs w:val="22"/>
                <w:highlight w:val="none"/>
              </w:rPr>
              <w:t>页，第7点。</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4"/>
                <w:rFonts w:hint="eastAsia" w:ascii="宋体" w:hAnsi="宋体" w:cs="宋体"/>
                <w:color w:val="auto"/>
                <w:sz w:val="22"/>
                <w:szCs w:val="22"/>
                <w:highlight w:val="none"/>
              </w:rPr>
              <w:t>www.creditchina.gov.cn</w:t>
            </w:r>
            <w:r>
              <w:rPr>
                <w:rStyle w:val="44"/>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4"/>
                <w:rFonts w:hint="eastAsia" w:ascii="宋体" w:hAnsi="宋体" w:cs="宋体"/>
                <w:color w:val="auto"/>
                <w:sz w:val="22"/>
                <w:szCs w:val="22"/>
                <w:highlight w:val="none"/>
              </w:rPr>
              <w:t>www.ccgp.gov.cn</w:t>
            </w:r>
            <w:r>
              <w:rPr>
                <w:rStyle w:val="44"/>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
                <w:bCs/>
                <w:color w:val="auto"/>
                <w:sz w:val="22"/>
                <w:szCs w:val="22"/>
                <w:highlight w:val="none"/>
              </w:rPr>
            </w:pPr>
            <w:r>
              <w:rPr>
                <w:rFonts w:ascii="宋体" w:hAnsi="宋体" w:cs="仿宋"/>
                <w:b/>
                <w:bCs/>
                <w:color w:val="auto"/>
                <w:sz w:val="22"/>
                <w:szCs w:val="22"/>
                <w:highlight w:val="none"/>
              </w:rPr>
              <w:t xml:space="preserve">1、扶持中小企业（监狱企业、残疾人福利性单位）： </w:t>
            </w:r>
          </w:p>
          <w:p>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w:t>
            </w:r>
            <w:r>
              <w:rPr>
                <w:rFonts w:ascii="宋体" w:hAnsi="宋体" w:cs="仿宋"/>
                <w:color w:val="auto"/>
                <w:sz w:val="22"/>
                <w:szCs w:val="22"/>
                <w:highlight w:val="none"/>
              </w:rPr>
              <w:t>1）根据工信部等部委发布的《关于印发中小企业划型标准规定的通知》（工信部联企业〔2011〕300号），本项目属于</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工业（包括采矿业，制造业，电力、热力、燃气及水生产和供应业），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物业管理，</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其他未列明行业（包括科学研究和技术服务业，水利、环境和公共设施管理业，居民服务、修理和其他服务业，社会工作，文化、体育和娱乐业等）</w:t>
            </w:r>
            <w:r>
              <w:rPr>
                <w:rFonts w:ascii="宋体" w:hAnsi="宋体" w:cs="仿宋"/>
                <w:color w:val="auto"/>
                <w:sz w:val="22"/>
                <w:szCs w:val="22"/>
                <w:highlight w:val="none"/>
              </w:rPr>
              <w:t xml:space="preserve"> 行业。</w:t>
            </w:r>
          </w:p>
          <w:p>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w:t>
            </w:r>
            <w:r>
              <w:rPr>
                <w:rFonts w:ascii="宋体" w:hAnsi="宋体" w:cs="仿宋"/>
                <w:color w:val="auto"/>
                <w:sz w:val="22"/>
                <w:szCs w:val="22"/>
                <w:highlight w:val="none"/>
              </w:rPr>
              <w:t>2）中小企业划型标准：根据（关于印发《中小企业划型标准规定》的通知）（工信部联企业【2011</w:t>
            </w:r>
            <w:r>
              <w:rPr>
                <w:rFonts w:hint="eastAsia" w:ascii="宋体" w:hAnsi="宋体" w:cs="仿宋"/>
                <w:color w:val="auto"/>
                <w:sz w:val="22"/>
                <w:szCs w:val="22"/>
                <w:highlight w:val="none"/>
              </w:rPr>
              <w:t>】</w:t>
            </w:r>
            <w:r>
              <w:rPr>
                <w:rFonts w:ascii="宋体" w:hAnsi="宋体" w:cs="仿宋"/>
                <w:color w:val="auto"/>
                <w:sz w:val="22"/>
                <w:szCs w:val="22"/>
                <w:highlight w:val="none"/>
              </w:rPr>
              <w:t>300</w:t>
            </w:r>
            <w:r>
              <w:rPr>
                <w:rFonts w:hint="eastAsia" w:ascii="宋体" w:hAnsi="宋体" w:cs="仿宋"/>
                <w:color w:val="auto"/>
                <w:sz w:val="22"/>
                <w:szCs w:val="22"/>
                <w:highlight w:val="none"/>
              </w:rPr>
              <w:t>号）的文件规定确定。</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w:t>
            </w:r>
            <w:r>
              <w:rPr>
                <w:rFonts w:hint="eastAsia" w:ascii="宋体" w:hAnsi="宋体" w:cs="仿宋"/>
                <w:color w:val="auto"/>
                <w:sz w:val="22"/>
                <w:szCs w:val="22"/>
                <w:highlight w:val="none"/>
              </w:rPr>
              <w:t>号）、（财库〔</w:t>
            </w:r>
            <w:r>
              <w:rPr>
                <w:rFonts w:ascii="宋体" w:hAnsi="宋体" w:cs="仿宋"/>
                <w:color w:val="auto"/>
                <w:sz w:val="22"/>
                <w:szCs w:val="22"/>
                <w:highlight w:val="none"/>
              </w:rPr>
              <w:t>2022〕19</w:t>
            </w:r>
            <w:r>
              <w:rPr>
                <w:rFonts w:hint="eastAsia" w:ascii="宋体" w:hAnsi="宋体" w:cs="仿宋"/>
                <w:color w:val="auto"/>
                <w:sz w:val="22"/>
                <w:szCs w:val="22"/>
                <w:highlight w:val="none"/>
              </w:rPr>
              <w:t>号）的相关规定：</w:t>
            </w:r>
          </w:p>
          <w:p>
            <w:pPr>
              <w:spacing w:line="360" w:lineRule="exact"/>
              <w:ind w:firstLine="110" w:firstLineChars="50"/>
              <w:rPr>
                <w:rFonts w:ascii="宋体" w:hAnsi="宋体" w:cs="仿宋"/>
                <w:color w:val="auto"/>
                <w:sz w:val="22"/>
                <w:szCs w:val="22"/>
                <w:highlight w:val="none"/>
              </w:rPr>
            </w:pPr>
            <w:r>
              <w:rPr>
                <w:rFonts w:ascii="宋体" w:hAnsi="宋体" w:cs="仿宋"/>
                <w:color w:val="auto"/>
                <w:sz w:val="22"/>
                <w:szCs w:val="22"/>
                <w:highlight w:val="none"/>
              </w:rPr>
              <w:t>2.1.是否为预留份额项目：</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本项目为预留份额项目，专门面向中小企业采购。</w:t>
            </w:r>
          </w:p>
          <w:p>
            <w:pPr>
              <w:spacing w:line="360" w:lineRule="exact"/>
              <w:ind w:left="221" w:hanging="221" w:hangingChars="100"/>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本项目为非预留份额项目、非专门面向中小企业的项目</w:t>
            </w:r>
          </w:p>
          <w:p>
            <w:pPr>
              <w:spacing w:line="360" w:lineRule="exact"/>
              <w:ind w:left="221" w:hanging="221" w:hangingChars="100"/>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 xml:space="preserve"> 10% </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highlight w:val="none"/>
                <w:u w:val="single"/>
              </w:rPr>
              <w:t>/</w:t>
            </w:r>
            <w:r>
              <w:rPr>
                <w:rFonts w:hint="eastAsia" w:ascii="宋体" w:hAnsi="宋体" w:cs="仿宋"/>
                <w:color w:val="auto"/>
                <w:sz w:val="22"/>
                <w:szCs w:val="22"/>
                <w:highlight w:val="none"/>
              </w:rPr>
              <w:t>%（3%-5%）作为其价格分。</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sym w:font="Wingdings" w:char="00FE"/>
            </w:r>
            <w:r>
              <w:rPr>
                <w:rFonts w:hint="eastAsia" w:ascii="宋体" w:hAnsi="宋体" w:cs="仿宋"/>
                <w:color w:val="auto"/>
                <w:sz w:val="22"/>
                <w:szCs w:val="22"/>
                <w:highlight w:val="none"/>
              </w:rPr>
              <w:t>本项目为</w:t>
            </w:r>
            <w:r>
              <w:rPr>
                <w:rFonts w:ascii="宋体" w:hAnsi="宋体" w:cs="仿宋"/>
                <w:color w:val="auto"/>
                <w:sz w:val="22"/>
                <w:szCs w:val="22"/>
                <w:highlight w:val="none"/>
              </w:rPr>
              <w:sym w:font="Wingdings" w:char="00FE"/>
            </w:r>
            <w:r>
              <w:rPr>
                <w:rFonts w:hint="eastAsia" w:ascii="宋体" w:hAnsi="宋体" w:cs="仿宋"/>
                <w:color w:val="auto"/>
                <w:sz w:val="22"/>
                <w:szCs w:val="22"/>
                <w:highlight w:val="none"/>
              </w:rPr>
              <w:t>接受大中型企业与小微企业组成联合体、</w:t>
            </w:r>
            <w:r>
              <w:rPr>
                <w:rFonts w:ascii="宋体" w:hAnsi="宋体" w:cs="仿宋"/>
                <w:color w:val="auto"/>
                <w:sz w:val="22"/>
                <w:szCs w:val="22"/>
                <w:highlight w:val="none"/>
              </w:rPr>
              <w:sym w:font="Wingdings" w:char="00FE"/>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w:t>
            </w:r>
            <w:r>
              <w:rPr>
                <w:rFonts w:ascii="宋体" w:hAnsi="宋体" w:cs="仿宋"/>
                <w:color w:val="auto"/>
                <w:sz w:val="22"/>
                <w:szCs w:val="22"/>
                <w:highlight w:val="none"/>
              </w:rPr>
              <w:t>30%以上的，对联合体或者大中型企业的报价给予</w:t>
            </w:r>
            <w:r>
              <w:rPr>
                <w:rFonts w:ascii="宋体" w:hAnsi="宋体" w:cs="仿宋"/>
                <w:color w:val="auto"/>
                <w:sz w:val="22"/>
                <w:szCs w:val="22"/>
                <w:highlight w:val="none"/>
                <w:u w:val="single"/>
              </w:rPr>
              <w:t>4</w:t>
            </w:r>
            <w:r>
              <w:rPr>
                <w:rFonts w:ascii="宋体" w:hAnsi="宋体" w:cs="仿宋"/>
                <w:color w:val="auto"/>
                <w:sz w:val="22"/>
                <w:szCs w:val="22"/>
                <w:highlight w:val="none"/>
              </w:rPr>
              <w:t>%（4%-6%），工程项目为</w:t>
            </w:r>
            <w:r>
              <w:rPr>
                <w:rFonts w:ascii="宋体" w:hAnsi="宋体" w:cs="仿宋"/>
                <w:color w:val="auto"/>
                <w:sz w:val="22"/>
                <w:szCs w:val="22"/>
                <w:highlight w:val="none"/>
                <w:u w:val="single"/>
              </w:rPr>
              <w:t>/ %（1%—2%）</w:t>
            </w:r>
            <w:r>
              <w:rPr>
                <w:rFonts w:hint="eastAsia" w:ascii="宋体" w:hAnsi="宋体" w:cs="仿宋"/>
                <w:color w:val="auto"/>
                <w:sz w:val="22"/>
                <w:szCs w:val="22"/>
                <w:highlight w:val="none"/>
              </w:rPr>
              <w:t>的扣除，用扣除后的价格参加评审。</w:t>
            </w:r>
            <w:r>
              <w:rPr>
                <w:rFonts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highlight w:val="none"/>
                <w:u w:val="single"/>
              </w:rPr>
              <w:t>/</w:t>
            </w:r>
            <w:r>
              <w:rPr>
                <w:rFonts w:ascii="宋体" w:hAnsi="宋体" w:cs="仿宋"/>
                <w:color w:val="auto"/>
                <w:sz w:val="22"/>
                <w:szCs w:val="22"/>
                <w:highlight w:val="none"/>
              </w:rPr>
              <w:t xml:space="preserve"> %（1%—2%）作为其价格分。</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t>2.2组成联合体或者接受分包的小微企业与联合体内其他企业、分包企业之间存在直接控股、管理关系的，不享受价格扣除优惠政策。</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t>2.3价格扣除比例或者价格分加分比例对小型企业和微型企业同等对待，不作区分。</w:t>
            </w:r>
          </w:p>
          <w:p>
            <w:pPr>
              <w:spacing w:line="360" w:lineRule="exact"/>
              <w:rPr>
                <w:rFonts w:ascii="宋体" w:hAnsi="宋体" w:cs="仿宋"/>
                <w:color w:val="auto"/>
                <w:sz w:val="22"/>
                <w:szCs w:val="22"/>
                <w:highlight w:val="none"/>
              </w:rPr>
            </w:pPr>
            <w:r>
              <w:rPr>
                <w:rFonts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w:t>
            </w:r>
            <w:r>
              <w:rPr>
                <w:rFonts w:hint="eastAsia" w:ascii="宋体" w:hAnsi="宋体" w:cs="仿宋"/>
                <w:color w:val="auto"/>
                <w:sz w:val="22"/>
                <w:szCs w:val="22"/>
                <w:highlight w:val="none"/>
              </w:rPr>
              <w:t>，联合体视同中小企业。其中，联合体各方均为小微企业的，联合体视同小微企业。</w:t>
            </w:r>
          </w:p>
          <w:p>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pPr>
              <w:spacing w:line="360" w:lineRule="exact"/>
              <w:rPr>
                <w:rFonts w:ascii="宋体" w:hAnsi="宋体"/>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单一产品或核心产品为：。</w:t>
            </w:r>
            <w:r>
              <w:rPr>
                <w:rFonts w:hint="eastAsia" w:ascii="宋体" w:hAnsi="宋体" w:cs="宋体"/>
                <w:b/>
                <w:snapToGrid w:val="0"/>
                <w:color w:val="auto"/>
                <w:szCs w:val="22"/>
                <w:highlight w:val="none"/>
              </w:rPr>
              <w:sym w:font="Wingdings" w:char="00FE"/>
            </w:r>
            <w:r>
              <w:rPr>
                <w:rFonts w:hint="eastAsia" w:ascii="宋体" w:hAnsi="宋体" w:cs="宋体"/>
                <w:color w:val="auto"/>
                <w:szCs w:val="22"/>
                <w:highlight w:val="none"/>
              </w:rPr>
              <w:t>非单一产品采购项目，采购人应当根据采购项目技术构成、产品价格比重等合理确定核心产品，并在采购文件中载明。本项目无核心产品。</w:t>
            </w:r>
          </w:p>
          <w:p>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服务类。</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政府采购信用融资</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hint="eastAsia" w:ascii="宋体" w:hAnsi="宋体" w:cs="宋体"/>
                <w:b/>
                <w:color w:val="auto"/>
                <w:sz w:val="22"/>
                <w:szCs w:val="22"/>
                <w:highlight w:val="none"/>
              </w:rPr>
              <w:t>▲</w:t>
            </w:r>
            <w:r>
              <w:rPr>
                <w:rFonts w:hint="eastAsia" w:ascii="宋体" w:hAnsi="宋体" w:cs="宋体"/>
                <w:bCs/>
                <w:color w:val="auto"/>
                <w:sz w:val="22"/>
                <w:szCs w:val="22"/>
                <w:highlight w:val="none"/>
                <w:u w:val="single"/>
              </w:rPr>
              <w:t>采购代理服务费系根据国家计委印发的《招标代理服务收费管理暂行办法》计价格【2002】1980号文（货物类）的规定按标准计算后下浮20%收取</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highlight w:val="none"/>
              </w:rPr>
              <w:t>支持创新发展</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highlight w:val="none"/>
              </w:rPr>
              <w:t>根据浙财采监〔2022〕8号文相关的规定，对省级以上主管部门认定的首台套产品，自纳入《省推广应用指导目录》起三年内参加政府采购活动，视同已具备相应销售业绩，业绩分为满分。</w:t>
            </w:r>
          </w:p>
        </w:tc>
      </w:tr>
    </w:tbl>
    <w:p>
      <w:pPr>
        <w:pStyle w:val="6"/>
        <w:spacing w:line="680" w:lineRule="exact"/>
        <w:jc w:val="center"/>
        <w:rPr>
          <w:rFonts w:ascii="宋体" w:hAnsi="宋体" w:eastAsia="宋体" w:cs="宋体"/>
          <w:color w:val="auto"/>
          <w:sz w:val="28"/>
          <w:szCs w:val="28"/>
          <w:highlight w:val="none"/>
        </w:rPr>
      </w:pPr>
      <w:bookmarkStart w:id="28" w:name="_Toc12938"/>
      <w:r>
        <w:rPr>
          <w:rFonts w:hint="eastAsia" w:ascii="宋体" w:hAnsi="宋体" w:eastAsia="宋体" w:cs="宋体"/>
          <w:color w:val="auto"/>
          <w:sz w:val="28"/>
          <w:szCs w:val="28"/>
          <w:highlight w:val="none"/>
        </w:rPr>
        <w:t>一、 说   明</w:t>
      </w:r>
      <w:bookmarkEnd w:id="28"/>
    </w:p>
    <w:p>
      <w:pPr>
        <w:tabs>
          <w:tab w:val="left" w:pos="360"/>
        </w:tabs>
        <w:spacing w:line="440" w:lineRule="exact"/>
        <w:ind w:left="550" w:hanging="550" w:hangingChars="250"/>
        <w:rPr>
          <w:rFonts w:ascii="宋体" w:hAnsi="宋体" w:cs="宋体"/>
          <w:color w:val="auto"/>
          <w:sz w:val="22"/>
          <w:szCs w:val="22"/>
          <w:highlight w:val="none"/>
        </w:rPr>
      </w:pPr>
      <w:bookmarkStart w:id="29" w:name="_Toc230773776"/>
      <w:r>
        <w:rPr>
          <w:rFonts w:hint="eastAsia" w:ascii="宋体" w:hAnsi="宋体" w:cs="宋体"/>
          <w:color w:val="auto"/>
          <w:sz w:val="22"/>
          <w:szCs w:val="22"/>
          <w:highlight w:val="none"/>
        </w:rPr>
        <w:t>1.   本次招标是根据《中华人民共和国政府采购法》、《中华人民共和国政府采购法实施条例》、《政府采购货物和服务招标投标管理办法》（财政部第87号令）、《浙江省政府采购项目电子交易管理暂行办法》（浙财采监〔2019〕10号）及浙江省市等有关政府采购的规范性文件组织和实施。</w:t>
      </w:r>
    </w:p>
    <w:p>
      <w:pPr>
        <w:tabs>
          <w:tab w:val="left" w:pos="360"/>
        </w:tabs>
        <w:spacing w:line="440" w:lineRule="exact"/>
        <w:ind w:left="550" w:hanging="550" w:hangingChars="250"/>
        <w:rPr>
          <w:rFonts w:ascii="宋体" w:hAnsi="宋体" w:cs="宋体"/>
          <w:color w:val="auto"/>
          <w:sz w:val="22"/>
          <w:szCs w:val="22"/>
          <w:highlight w:val="none"/>
        </w:rPr>
      </w:pPr>
      <w:bookmarkStart w:id="30" w:name="_Toc3235"/>
      <w:bookmarkStart w:id="31" w:name="_Toc19066"/>
      <w:bookmarkStart w:id="32" w:name="_Toc31546"/>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0"/>
      <w:bookmarkEnd w:id="31"/>
      <w:bookmarkEnd w:id="32"/>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“投标人、供应商”均系指是指响应招标、参加投标竞争的法人、其他组织或者自然人。</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2.6“电子交易平台”是指本项目政府采购活动所依托的政府采购云平台（https://www.zcygov.cn/）。</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pPr>
        <w:snapToGrid w:val="0"/>
        <w:spacing w:line="440" w:lineRule="exact"/>
        <w:ind w:firstLine="464" w:firstLineChars="200"/>
        <w:rPr>
          <w:rFonts w:ascii="宋体" w:hAnsi="宋体" w:cs="仿宋"/>
          <w:bCs/>
          <w:color w:val="auto"/>
          <w:spacing w:val="6"/>
          <w:sz w:val="22"/>
          <w:szCs w:val="22"/>
          <w:highlight w:val="none"/>
        </w:rPr>
      </w:pPr>
      <w:r>
        <w:rPr>
          <w:rFonts w:hint="eastAsia" w:ascii="宋体" w:hAnsi="宋体" w:cs="仿宋"/>
          <w:bCs/>
          <w:color w:val="auto"/>
          <w:spacing w:val="6"/>
          <w:sz w:val="22"/>
          <w:szCs w:val="22"/>
          <w:highlight w:val="none"/>
        </w:rPr>
        <w:t>3.4采用最低评标价法的</w:t>
      </w:r>
      <w:r>
        <w:rPr>
          <w:rFonts w:hint="eastAsia" w:ascii="宋体" w:hAnsi="宋体" w:cs="仿宋"/>
          <w:color w:val="auto"/>
          <w:sz w:val="22"/>
          <w:szCs w:val="22"/>
          <w:highlight w:val="none"/>
        </w:rPr>
        <w:t>货物类</w:t>
      </w:r>
      <w:r>
        <w:rPr>
          <w:rFonts w:hint="eastAsia" w:ascii="宋体" w:hAnsi="宋体" w:cs="仿宋"/>
          <w:bCs/>
          <w:color w:val="auto"/>
          <w:spacing w:val="6"/>
          <w:sz w:val="22"/>
          <w:szCs w:val="22"/>
          <w:highlight w:val="none"/>
        </w:rPr>
        <w:t>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440" w:lineRule="exact"/>
        <w:ind w:firstLine="464" w:firstLineChars="200"/>
        <w:rPr>
          <w:rFonts w:ascii="宋体" w:hAnsi="宋体" w:cs="仿宋"/>
          <w:bCs/>
          <w:color w:val="auto"/>
          <w:spacing w:val="6"/>
          <w:sz w:val="22"/>
          <w:szCs w:val="22"/>
          <w:highlight w:val="none"/>
        </w:rPr>
      </w:pPr>
      <w:r>
        <w:rPr>
          <w:rFonts w:hint="eastAsia" w:ascii="宋体" w:hAnsi="宋体" w:cs="仿宋"/>
          <w:bCs/>
          <w:color w:val="auto"/>
          <w:spacing w:val="6"/>
          <w:sz w:val="22"/>
          <w:szCs w:val="22"/>
          <w:highlight w:val="none"/>
        </w:rPr>
        <w:t>使用综合评分法的</w:t>
      </w:r>
      <w:r>
        <w:rPr>
          <w:rFonts w:hint="eastAsia" w:ascii="宋体" w:hAnsi="宋体" w:cs="仿宋"/>
          <w:color w:val="auto"/>
          <w:sz w:val="22"/>
          <w:szCs w:val="22"/>
          <w:highlight w:val="none"/>
        </w:rPr>
        <w:t>货物类</w:t>
      </w:r>
      <w:r>
        <w:rPr>
          <w:rFonts w:hint="eastAsia" w:ascii="宋体" w:hAnsi="宋体" w:cs="仿宋"/>
          <w:bCs/>
          <w:color w:val="auto"/>
          <w:spacing w:val="6"/>
          <w:sz w:val="22"/>
          <w:szCs w:val="22"/>
          <w:highlight w:val="none"/>
        </w:rPr>
        <w:t>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440" w:lineRule="exact"/>
        <w:ind w:firstLine="464" w:firstLineChars="200"/>
        <w:rPr>
          <w:rFonts w:ascii="宋体" w:hAnsi="宋体" w:cs="仿宋"/>
          <w:bCs/>
          <w:color w:val="auto"/>
          <w:spacing w:val="6"/>
          <w:sz w:val="22"/>
          <w:szCs w:val="22"/>
          <w:highlight w:val="none"/>
        </w:rPr>
      </w:pPr>
      <w:r>
        <w:rPr>
          <w:rFonts w:hint="eastAsia" w:ascii="宋体" w:hAnsi="宋体" w:cs="仿宋"/>
          <w:bCs/>
          <w:color w:val="auto"/>
          <w:spacing w:val="6"/>
          <w:sz w:val="22"/>
          <w:szCs w:val="22"/>
          <w:highlight w:val="none"/>
        </w:rPr>
        <w:t>非单一产品采购项目，多家投标人提供的核心产品（见</w:t>
      </w:r>
      <w:r>
        <w:rPr>
          <w:rFonts w:hint="eastAsia" w:ascii="宋体" w:hAnsi="宋体" w:cs="仿宋"/>
          <w:color w:val="auto"/>
          <w:sz w:val="22"/>
          <w:szCs w:val="22"/>
          <w:highlight w:val="none"/>
        </w:rPr>
        <w:t>投标人须知前附表</w:t>
      </w:r>
      <w:r>
        <w:rPr>
          <w:rFonts w:hint="eastAsia" w:ascii="宋体" w:hAnsi="宋体" w:cs="仿宋"/>
          <w:bCs/>
          <w:color w:val="auto"/>
          <w:spacing w:val="6"/>
          <w:sz w:val="22"/>
          <w:szCs w:val="22"/>
          <w:highlight w:val="none"/>
        </w:rPr>
        <w:t>）品牌相同的，按前两款规定处理。</w:t>
      </w:r>
    </w:p>
    <w:p>
      <w:pPr>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3.5货物类是否允许采购进口产品、是否要求节能/环境标志产品等情况见投标人须知前附表。</w:t>
      </w:r>
    </w:p>
    <w:p>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4.  </w:t>
      </w:r>
      <w:r>
        <w:rPr>
          <w:rFonts w:hint="eastAsia" w:ascii="宋体" w:hAnsi="宋体" w:cs="仿宋"/>
          <w:b/>
          <w:color w:val="auto"/>
          <w:sz w:val="22"/>
          <w:szCs w:val="22"/>
          <w:highlight w:val="none"/>
        </w:rPr>
        <w:t>采购项目需要落实的政府采购政策</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4.1 根据《政府采购进口产品管理办法》的通知（财库〔2007〕119 号）文件相关规定，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4.2 支持绿色发展</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4.3支持中小企业发展</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符合中小企业划分标准的个体工商户，在政府采购活动中视同中小企业。</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bCs/>
          <w:color w:val="auto"/>
          <w:sz w:val="22"/>
          <w:szCs w:val="22"/>
          <w:highlight w:val="none"/>
        </w:rPr>
        <w:t>4.3.2</w:t>
      </w:r>
      <w:r>
        <w:rPr>
          <w:rFonts w:hint="eastAsia" w:ascii="宋体" w:hAnsi="宋体" w:cs="仿宋"/>
          <w:color w:val="auto"/>
          <w:sz w:val="22"/>
          <w:szCs w:val="22"/>
          <w:highlight w:val="none"/>
        </w:rPr>
        <w:t>在政府采购活动中，投标人提供的货物、工程或者服务符合下列情形的，享受中小企业扶持政策：</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color w:val="auto"/>
          <w:sz w:val="22"/>
          <w:szCs w:val="22"/>
          <w:highlight w:val="none"/>
        </w:rPr>
        <w:t>4.3.2.1在货物采购项目中，货物由中小企业制造，即货物由中小企业生产且使用该中小企业商号或者注册商标。</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color w:val="auto"/>
          <w:sz w:val="22"/>
          <w:szCs w:val="22"/>
          <w:highlight w:val="none"/>
        </w:rPr>
        <w:t>4.3.2.2在工程采购项目中，工程由中小企业承建，即工程施工单位为中小企业。</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color w:val="auto"/>
          <w:sz w:val="22"/>
          <w:szCs w:val="22"/>
          <w:highlight w:val="none"/>
        </w:rPr>
        <w:t>4.3.2.3在服务采购项目中，服务由中小企业承接，即提供服务的人员为中小企业依照《中华人民共和国劳动合同法》订立劳动合同的从业人员。</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color w:val="auto"/>
          <w:sz w:val="22"/>
          <w:szCs w:val="22"/>
          <w:highlight w:val="none"/>
        </w:rPr>
        <w:t>在货物采购项目中，投标人提供的货物既有中小企业制造货物，也有大型企业制造货物的，不享受中小企业扶持政策。</w:t>
      </w:r>
    </w:p>
    <w:p>
      <w:pPr>
        <w:widowControl/>
        <w:spacing w:line="440" w:lineRule="exact"/>
        <w:ind w:firstLine="440" w:firstLineChars="200"/>
        <w:jc w:val="left"/>
        <w:rPr>
          <w:rFonts w:ascii="宋体" w:hAnsi="宋体" w:cs="仿宋"/>
          <w:color w:val="auto"/>
          <w:sz w:val="22"/>
          <w:szCs w:val="22"/>
          <w:highlight w:val="none"/>
        </w:rPr>
      </w:pPr>
      <w:r>
        <w:rPr>
          <w:rFonts w:hint="eastAsia" w:ascii="宋体" w:hAnsi="宋体" w:cs="仿宋"/>
          <w:color w:val="auto"/>
          <w:sz w:val="22"/>
          <w:szCs w:val="22"/>
          <w:highlight w:val="none"/>
        </w:rPr>
        <w:t>以联合体形式参加政府采购活动，联合体各方均为中小企业的，联合体视同中小企业。其中，联合体各方均为小微企业的，联合体视同小微企业。</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4.3.3对于未预留份额专门面向中小企业的政府采购货物或服务项目，以及预留份额政府采购货物或服务项目中的非预留部分标项，对小型和微型企业的投标报价给予</w:t>
      </w:r>
      <w:r>
        <w:rPr>
          <w:rFonts w:hint="eastAsia" w:ascii="宋体" w:hAnsi="宋体" w:cs="仿宋"/>
          <w:color w:val="auto"/>
          <w:sz w:val="22"/>
          <w:szCs w:val="22"/>
          <w:highlight w:val="none"/>
          <w:lang w:val="en-US" w:eastAsia="zh-CN"/>
        </w:rPr>
        <w:t>10</w:t>
      </w:r>
      <w:r>
        <w:rPr>
          <w:rFonts w:hint="eastAsia" w:ascii="宋体" w:hAnsi="宋体" w:cs="仿宋"/>
          <w:color w:val="auto"/>
          <w:sz w:val="22"/>
          <w:szCs w:val="22"/>
          <w:highlight w:val="none"/>
        </w:rPr>
        <w:t>-</w:t>
      </w:r>
      <w:r>
        <w:rPr>
          <w:rFonts w:hint="eastAsia" w:ascii="宋体" w:hAnsi="宋体" w:cs="仿宋"/>
          <w:color w:val="auto"/>
          <w:sz w:val="22"/>
          <w:szCs w:val="22"/>
          <w:highlight w:val="none"/>
          <w:lang w:val="en-US" w:eastAsia="zh-CN"/>
        </w:rPr>
        <w:t>2</w:t>
      </w:r>
      <w:r>
        <w:rPr>
          <w:rFonts w:hint="eastAsia" w:ascii="宋体" w:hAnsi="宋体" w:cs="仿宋"/>
          <w:color w:val="auto"/>
          <w:sz w:val="22"/>
          <w:szCs w:val="22"/>
          <w:highlight w:val="none"/>
        </w:rPr>
        <w:t>0%（工程项目为3%-5%）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4.3.4符合《关于促进残疾人就业政府采购政策的通知》（财库〔2017〕141号）规定的条件并提供《残疾人福利性单位声明函》（附件八）的残疾人福利性单位视同小型、微型企业；</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4.3.7中小企业享受扶持政策获得政府采购合同的，小微企业不得将合同分包给大中型企业，中型企业不得将合同分包给大型企业。</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4.4中小企业信用融资：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napToGrid w:val="0"/>
        <w:spacing w:line="440" w:lineRule="exact"/>
        <w:ind w:firstLine="440" w:firstLineChars="200"/>
        <w:rPr>
          <w:rFonts w:ascii="宋体" w:hAnsi="宋体" w:cs="仿宋"/>
          <w:color w:val="auto"/>
          <w:sz w:val="22"/>
          <w:szCs w:val="22"/>
          <w:highlight w:val="none"/>
        </w:rPr>
      </w:pPr>
      <w:r>
        <w:rPr>
          <w:rFonts w:hint="eastAsia" w:ascii="宋体" w:hAnsi="宋体" w:cs="仿宋"/>
          <w:snapToGrid w:val="0"/>
          <w:color w:val="auto"/>
          <w:kern w:val="28"/>
          <w:sz w:val="22"/>
          <w:szCs w:val="22"/>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pPr>
        <w:spacing w:line="440" w:lineRule="exact"/>
        <w:rPr>
          <w:rFonts w:ascii="宋体" w:hAnsi="宋体" w:cs="仿宋"/>
          <w:b/>
          <w:color w:val="auto"/>
          <w:sz w:val="22"/>
          <w:szCs w:val="22"/>
          <w:highlight w:val="none"/>
        </w:rPr>
      </w:pPr>
      <w:r>
        <w:rPr>
          <w:rFonts w:hint="eastAsia" w:ascii="宋体" w:hAnsi="宋体" w:cs="仿宋"/>
          <w:b/>
          <w:color w:val="auto"/>
          <w:sz w:val="22"/>
          <w:szCs w:val="22"/>
          <w:highlight w:val="none"/>
        </w:rPr>
        <w:t>5.询问、质疑、投诉</w:t>
      </w:r>
    </w:p>
    <w:p>
      <w:pPr>
        <w:autoSpaceDE w:val="0"/>
        <w:autoSpaceDN w:val="0"/>
        <w:spacing w:line="440" w:lineRule="exact"/>
        <w:ind w:firstLine="220" w:firstLineChars="100"/>
        <w:jc w:val="left"/>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.1供应商询问</w:t>
      </w:r>
    </w:p>
    <w:p>
      <w:pPr>
        <w:autoSpaceDE w:val="0"/>
        <w:autoSpaceDN w:val="0"/>
        <w:spacing w:line="440" w:lineRule="exact"/>
        <w:ind w:firstLine="440" w:firstLineChars="200"/>
        <w:jc w:val="left"/>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440" w:lineRule="exact"/>
        <w:ind w:firstLine="220" w:firstLineChars="100"/>
        <w:jc w:val="left"/>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.2供应商质疑</w:t>
      </w:r>
    </w:p>
    <w:p>
      <w:pPr>
        <w:pStyle w:val="23"/>
        <w:spacing w:line="440" w:lineRule="exact"/>
        <w:ind w:firstLine="440" w:firstLineChars="200"/>
        <w:rPr>
          <w:rFonts w:hAnsi="宋体" w:cs="仿宋"/>
          <w:color w:val="auto"/>
          <w:sz w:val="22"/>
          <w:szCs w:val="22"/>
          <w:highlight w:val="none"/>
        </w:rPr>
      </w:pPr>
      <w:r>
        <w:rPr>
          <w:rFonts w:hint="eastAsia" w:hAnsi="宋体" w:cs="仿宋"/>
          <w:color w:val="auto"/>
          <w:sz w:val="22"/>
          <w:szCs w:val="22"/>
          <w:highlight w:val="none"/>
        </w:rPr>
        <w:t>5</w:t>
      </w:r>
      <w:r>
        <w:rPr>
          <w:rFonts w:hint="eastAsia" w:hAnsi="宋体" w:cs="仿宋"/>
          <w:color w:val="auto"/>
          <w:sz w:val="22"/>
          <w:szCs w:val="22"/>
          <w:highlight w:val="none"/>
          <w:lang w:val="zh-CN"/>
        </w:rPr>
        <w:t>.2</w:t>
      </w:r>
      <w:r>
        <w:rPr>
          <w:rFonts w:hint="eastAsia" w:hAnsi="宋体" w:cs="仿宋"/>
          <w:color w:val="auto"/>
          <w:sz w:val="22"/>
          <w:szCs w:val="22"/>
          <w:highlight w:val="none"/>
        </w:rPr>
        <w:t>.1提出质疑的供应商应当是参与所质疑项目采购活动的供应商。潜在供应商已依法获取其可质疑的招标文件的，可以对该文件提出质疑。</w:t>
      </w:r>
    </w:p>
    <w:p>
      <w:pPr>
        <w:pStyle w:val="23"/>
        <w:spacing w:line="440" w:lineRule="exact"/>
        <w:ind w:firstLine="440" w:firstLineChars="200"/>
        <w:rPr>
          <w:rFonts w:hAnsi="宋体" w:cs="仿宋"/>
          <w:color w:val="auto"/>
          <w:sz w:val="22"/>
          <w:szCs w:val="22"/>
          <w:highlight w:val="none"/>
        </w:rPr>
      </w:pPr>
      <w:r>
        <w:rPr>
          <w:rFonts w:hint="eastAsia" w:hAnsi="宋体" w:cs="仿宋"/>
          <w:color w:val="auto"/>
          <w:sz w:val="22"/>
          <w:szCs w:val="22"/>
          <w:highlight w:val="none"/>
        </w:rPr>
        <w:t>5</w:t>
      </w:r>
      <w:r>
        <w:rPr>
          <w:rFonts w:hint="eastAsia" w:hAnsi="宋体" w:cs="仿宋"/>
          <w:color w:val="auto"/>
          <w:sz w:val="22"/>
          <w:szCs w:val="22"/>
          <w:highlight w:val="none"/>
          <w:lang w:val="zh-CN"/>
        </w:rPr>
        <w:t>.2</w:t>
      </w:r>
      <w:r>
        <w:rPr>
          <w:rFonts w:hint="eastAsia" w:hAnsi="宋体" w:cs="仿宋"/>
          <w:color w:val="auto"/>
          <w:sz w:val="22"/>
          <w:szCs w:val="22"/>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14"/>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5.2.2.1质疑提交形式：以书面形式向招标公告中载明的质疑联系人提交或登录政采云平台（https://www.zcygov.cn/）通过“询问质疑投诉”栏向采购机构内设的质疑联系人提交并上传书面质疑材料。</w:t>
      </w:r>
    </w:p>
    <w:p>
      <w:pPr>
        <w:pStyle w:val="14"/>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5.2.2.2对招标文件提出质疑的，质疑期限为供应商获得招标文件之日或者招标文件公告期限届满之日起计算。</w:t>
      </w:r>
    </w:p>
    <w:p>
      <w:pPr>
        <w:pStyle w:val="23"/>
        <w:spacing w:line="440" w:lineRule="exact"/>
        <w:ind w:firstLine="440" w:firstLineChars="200"/>
        <w:rPr>
          <w:rFonts w:hAnsi="宋体" w:cs="仿宋"/>
          <w:color w:val="auto"/>
          <w:sz w:val="22"/>
          <w:szCs w:val="22"/>
          <w:highlight w:val="none"/>
        </w:rPr>
      </w:pPr>
      <w:r>
        <w:rPr>
          <w:rFonts w:hint="eastAsia" w:hAnsi="宋体" w:cs="仿宋"/>
          <w:color w:val="auto"/>
          <w:sz w:val="22"/>
          <w:szCs w:val="22"/>
          <w:highlight w:val="none"/>
        </w:rPr>
        <w:t>5.2.2.3</w:t>
      </w:r>
      <w:r>
        <w:rPr>
          <w:rFonts w:hint="eastAsia" w:hAnsi="宋体" w:cs="仿宋"/>
          <w:b/>
          <w:bCs/>
          <w:color w:val="auto"/>
          <w:sz w:val="22"/>
          <w:szCs w:val="22"/>
          <w:highlight w:val="none"/>
        </w:rPr>
        <w:t>对采购过程提出质疑的，质疑期限为各采购程序环节结束之日起计算。对同一采购程序环节的质疑，供应商须一次性提出。</w:t>
      </w:r>
    </w:p>
    <w:p>
      <w:pPr>
        <w:pStyle w:val="23"/>
        <w:spacing w:line="440" w:lineRule="exact"/>
        <w:ind w:firstLine="440" w:firstLineChars="200"/>
        <w:rPr>
          <w:rFonts w:hAnsi="宋体" w:cs="仿宋"/>
          <w:color w:val="auto"/>
          <w:sz w:val="22"/>
          <w:szCs w:val="22"/>
          <w:highlight w:val="none"/>
        </w:rPr>
      </w:pPr>
      <w:r>
        <w:rPr>
          <w:rFonts w:hint="eastAsia" w:hAnsi="宋体" w:cs="仿宋"/>
          <w:color w:val="auto"/>
          <w:sz w:val="22"/>
          <w:szCs w:val="22"/>
          <w:highlight w:val="none"/>
        </w:rPr>
        <w:t>5.2.2.4对采购结果提出质疑的，质疑期限自采购结果公告期限届满之日起计算。</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w:t>
      </w:r>
      <w:r>
        <w:rPr>
          <w:rFonts w:hint="eastAsia" w:hAnsi="宋体" w:cs="仿宋"/>
          <w:color w:val="auto"/>
          <w:sz w:val="22"/>
          <w:szCs w:val="22"/>
          <w:highlight w:val="none"/>
        </w:rPr>
        <w:t>供应商提出质疑应当提交质疑函和必要的证明材料。质疑函应当包括下列内容：</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.2.3.1供应商的姓名或者名称、地址、邮编、联系人及联系电话；</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.2.3.2质疑项目的名称、编号；</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.2.3.3具体、明确的质疑事项和与质疑事项相关的请求；</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.2.3.4事实依据；</w:t>
      </w:r>
    </w:p>
    <w:p>
      <w:pPr>
        <w:pStyle w:val="23"/>
        <w:spacing w:line="440" w:lineRule="exact"/>
        <w:ind w:firstLine="440" w:firstLineChars="200"/>
        <w:rPr>
          <w:rFonts w:hAnsi="宋体" w:cs="仿宋"/>
          <w:color w:val="auto"/>
          <w:sz w:val="22"/>
          <w:szCs w:val="22"/>
          <w:highlight w:val="none"/>
          <w:lang w:val="zh-CN"/>
        </w:rPr>
      </w:pPr>
      <w:r>
        <w:rPr>
          <w:rFonts w:hint="eastAsia" w:hAnsi="宋体" w:cs="仿宋"/>
          <w:color w:val="auto"/>
          <w:sz w:val="22"/>
          <w:szCs w:val="22"/>
          <w:highlight w:val="none"/>
        </w:rPr>
        <w:t>5</w:t>
      </w:r>
      <w:r>
        <w:rPr>
          <w:rFonts w:hint="eastAsia" w:hAnsi="宋体" w:cs="仿宋"/>
          <w:color w:val="auto"/>
          <w:sz w:val="22"/>
          <w:szCs w:val="22"/>
          <w:highlight w:val="none"/>
          <w:lang w:val="zh-CN"/>
        </w:rPr>
        <w:t>.2.3.5必要的法律依据；</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.2.3.6提出质疑的日期。</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供应商为自然人的，应当由本人签字；供应商为法人或者其他组织的，应当由法定代表人、主要负责人，或者其授权代表签字或者盖章，并加盖公章。</w:t>
      </w:r>
    </w:p>
    <w:p>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质疑函范本及制作说明详见浙江政府采购网相关格式内容。</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2.4采购人或者采购代理机构应当在收到供应商的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回复后5个工作日内，在浙江政府采购网的“其他公告”栏目公开质疑答复，答复内容应当完整。质疑函作为附件上传。</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.2.5询问或者质疑事项可能影响采购结果的，采购人应当暂停签订合同，已经签订合同的，应当中止履行合同。</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rPr>
        <w:t>5</w:t>
      </w:r>
      <w:r>
        <w:rPr>
          <w:rFonts w:hint="eastAsia" w:ascii="宋体" w:hAnsi="宋体" w:cs="仿宋"/>
          <w:color w:val="auto"/>
          <w:sz w:val="22"/>
          <w:szCs w:val="22"/>
          <w:highlight w:val="none"/>
          <w:lang w:val="zh-CN"/>
        </w:rPr>
        <w:t>.3供应商投诉</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5.3.1质疑供应商对采购人、采购代理机构的答复不满意或者采购人、采购代理机构未在规定的时间内作出答复的，可以在答复期满后十五个工作日内向同级政府采购监督管理部门提出投诉。</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5.3.2供应商投诉的事项不得超出已质疑事项的范围，基于质疑答复内容提出的投诉事项除外。</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5.3.3供应商投诉应当有明确的请求和必要的证明材料。</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5.3.</w:t>
      </w:r>
      <w:r>
        <w:rPr>
          <w:rFonts w:ascii="宋体" w:hAnsi="宋体" w:cs="仿宋"/>
          <w:color w:val="auto"/>
          <w:sz w:val="22"/>
          <w:szCs w:val="22"/>
          <w:highlight w:val="none"/>
          <w:lang w:val="zh-CN"/>
        </w:rPr>
        <w:t>4</w:t>
      </w:r>
      <w:r>
        <w:rPr>
          <w:rFonts w:hint="eastAsia" w:ascii="宋体" w:hAnsi="宋体" w:cs="仿宋"/>
          <w:color w:val="auto"/>
          <w:sz w:val="22"/>
          <w:szCs w:val="22"/>
          <w:highlight w:val="none"/>
          <w:lang w:val="zh-CN"/>
        </w:rPr>
        <w:t>以联合体形式参加政府采购活动的，其投诉应当由组成联合体的所有供应商共同提出。</w:t>
      </w:r>
    </w:p>
    <w:p>
      <w:pPr>
        <w:spacing w:line="440" w:lineRule="exact"/>
        <w:ind w:firstLine="440" w:firstLineChars="200"/>
        <w:rPr>
          <w:rFonts w:ascii="宋体" w:hAnsi="宋体" w:cs="仿宋"/>
          <w:color w:val="auto"/>
          <w:sz w:val="22"/>
          <w:szCs w:val="22"/>
          <w:highlight w:val="none"/>
          <w:lang w:val="zh-CN"/>
        </w:rPr>
      </w:pPr>
      <w:r>
        <w:rPr>
          <w:rFonts w:hint="eastAsia" w:ascii="宋体" w:hAnsi="宋体" w:cs="仿宋"/>
          <w:color w:val="auto"/>
          <w:sz w:val="22"/>
          <w:szCs w:val="22"/>
          <w:highlight w:val="none"/>
          <w:lang w:val="zh-CN"/>
        </w:rPr>
        <w:t>投诉书范本及制作说明详见浙江政府采购网相关格式内容。</w:t>
      </w:r>
    </w:p>
    <w:p>
      <w:pPr>
        <w:pStyle w:val="6"/>
        <w:spacing w:line="680" w:lineRule="exact"/>
        <w:jc w:val="center"/>
        <w:rPr>
          <w:rFonts w:ascii="宋体" w:hAnsi="宋体" w:eastAsia="宋体" w:cs="宋体"/>
          <w:color w:val="auto"/>
          <w:sz w:val="28"/>
          <w:szCs w:val="28"/>
          <w:highlight w:val="none"/>
        </w:rPr>
      </w:pPr>
      <w:bookmarkStart w:id="33" w:name="_Toc30329"/>
      <w:r>
        <w:rPr>
          <w:rFonts w:hint="eastAsia" w:ascii="宋体" w:hAnsi="宋体" w:eastAsia="宋体" w:cs="宋体"/>
          <w:color w:val="auto"/>
          <w:sz w:val="28"/>
          <w:szCs w:val="28"/>
          <w:highlight w:val="none"/>
        </w:rPr>
        <w:t>二、 招标文件</w:t>
      </w:r>
      <w:bookmarkEnd w:id="29"/>
      <w:bookmarkEnd w:id="33"/>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pPr>
        <w:pStyle w:val="6"/>
        <w:spacing w:line="680" w:lineRule="exact"/>
        <w:ind w:firstLine="420"/>
        <w:jc w:val="center"/>
        <w:rPr>
          <w:rFonts w:ascii="宋体" w:hAnsi="宋体" w:eastAsia="宋体" w:cs="宋体"/>
          <w:color w:val="auto"/>
          <w:sz w:val="28"/>
          <w:szCs w:val="28"/>
          <w:highlight w:val="none"/>
        </w:rPr>
      </w:pPr>
      <w:bookmarkStart w:id="34" w:name="_Toc230773777"/>
      <w:bookmarkStart w:id="35" w:name="_Toc31588"/>
      <w:r>
        <w:rPr>
          <w:rFonts w:hint="eastAsia" w:ascii="宋体" w:hAnsi="宋体" w:eastAsia="宋体" w:cs="宋体"/>
          <w:color w:val="auto"/>
          <w:sz w:val="28"/>
          <w:szCs w:val="28"/>
          <w:highlight w:val="none"/>
        </w:rPr>
        <w:t>三、 投标文件的编制</w:t>
      </w:r>
      <w:bookmarkEnd w:id="34"/>
      <w:bookmarkEnd w:id="35"/>
    </w:p>
    <w:p>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电子投标文件：投标人根据“政采云供应商项目采购-电子招投标操作指南”及本招标文件规定的格式和顺序编制电子投标文件关联定位、加密并递交。</w:t>
      </w:r>
    </w:p>
    <w:p>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政采云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电子投标文件按“政采云平台项目采购-电子招投标操作指南”上传。</w:t>
      </w:r>
    </w:p>
    <w:p>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投标人企业法人有效营业执照（或事业法人登记证书或其它工商等登记证明材料，自然人提供身份证)复制件（如为联合体，则联合体各方均应提供）（五选一）</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①如投标人是企业（包括合伙企业），提供在工商部门注册的有效“企业法人营业执照”或“营业执照”；</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pPr>
              <w:autoSpaceDE w:val="0"/>
              <w:autoSpaceDN w:val="0"/>
              <w:adjustRightInd w:val="0"/>
              <w:snapToGrid w:val="0"/>
              <w:spacing w:line="44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符合参加政府采购活动应当具备的一般条件的承诺函</w:t>
            </w:r>
          </w:p>
        </w:tc>
        <w:tc>
          <w:tcPr>
            <w:tcW w:w="1440" w:type="dxa"/>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7350" w:type="dxa"/>
          </w:tcPr>
          <w:p>
            <w:pPr>
              <w:autoSpaceDE w:val="0"/>
              <w:autoSpaceDN w:val="0"/>
              <w:adjustRightInd w:val="0"/>
              <w:snapToGrid w:val="0"/>
              <w:spacing w:line="440" w:lineRule="exact"/>
              <w:rPr>
                <w:rFonts w:ascii="宋体" w:cs="宋体"/>
                <w:color w:val="auto"/>
                <w:sz w:val="22"/>
                <w:highlight w:val="none"/>
              </w:rPr>
            </w:pPr>
            <w:r>
              <w:rPr>
                <w:rFonts w:hint="eastAsia" w:ascii="宋体" w:hAnsi="宋体"/>
                <w:color w:val="auto"/>
                <w:sz w:val="22"/>
                <w:szCs w:val="22"/>
                <w:highlight w:val="none"/>
              </w:rPr>
              <w:t>货物成套供货清单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4</w:t>
            </w:r>
          </w:p>
        </w:tc>
        <w:tc>
          <w:tcPr>
            <w:tcW w:w="7350" w:type="dxa"/>
          </w:tcPr>
          <w:p>
            <w:pPr>
              <w:autoSpaceDE w:val="0"/>
              <w:autoSpaceDN w:val="0"/>
              <w:adjustRightInd w:val="0"/>
              <w:snapToGrid w:val="0"/>
              <w:spacing w:line="440" w:lineRule="exact"/>
              <w:rPr>
                <w:rFonts w:ascii="宋体" w:cs="宋体"/>
                <w:color w:val="auto"/>
                <w:sz w:val="22"/>
                <w:highlight w:val="none"/>
              </w:rPr>
            </w:pPr>
            <w:r>
              <w:rPr>
                <w:rFonts w:hint="eastAsia" w:ascii="宋体" w:hAnsi="宋体"/>
                <w:bCs/>
                <w:color w:val="auto"/>
                <w:sz w:val="22"/>
                <w:szCs w:val="22"/>
                <w:highlight w:val="none"/>
              </w:rPr>
              <w:t>随机备品备件、易损易耗件、耗材和专用工具清单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rPr>
              <w:t>5</w:t>
            </w:r>
          </w:p>
        </w:tc>
        <w:tc>
          <w:tcPr>
            <w:tcW w:w="7350" w:type="dxa"/>
          </w:tcPr>
          <w:p>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7350" w:type="dxa"/>
          </w:tcPr>
          <w:p>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投标人所投产品节能环保水平相关证明材料</w:t>
            </w:r>
          </w:p>
        </w:tc>
        <w:tc>
          <w:tcPr>
            <w:tcW w:w="1516" w:type="dxa"/>
          </w:tcPr>
          <w:p>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7</w:t>
            </w:r>
          </w:p>
        </w:tc>
        <w:tc>
          <w:tcPr>
            <w:tcW w:w="7350" w:type="dxa"/>
            <w:vAlign w:val="center"/>
          </w:tcPr>
          <w:p>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pPr>
              <w:autoSpaceDE w:val="0"/>
              <w:autoSpaceDN w:val="0"/>
              <w:adjustRightInd w:val="0"/>
              <w:snapToGrid w:val="0"/>
              <w:spacing w:line="44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2</w:t>
            </w:r>
          </w:p>
        </w:tc>
        <w:tc>
          <w:tcPr>
            <w:tcW w:w="7305" w:type="dxa"/>
          </w:tcPr>
          <w:p>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3</w:t>
            </w:r>
          </w:p>
        </w:tc>
        <w:tc>
          <w:tcPr>
            <w:tcW w:w="7305" w:type="dxa"/>
          </w:tcPr>
          <w:p>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color w:val="auto"/>
                <w:sz w:val="22"/>
                <w:szCs w:val="22"/>
                <w:highlight w:val="none"/>
              </w:rPr>
              <w:t>中小企业声明函（入为小微企业投标，请根据附件内容提供）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color w:val="auto"/>
                <w:sz w:val="22"/>
                <w:szCs w:val="22"/>
                <w:highlight w:val="none"/>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4</w:t>
            </w:r>
          </w:p>
        </w:tc>
        <w:tc>
          <w:tcPr>
            <w:tcW w:w="7305" w:type="dxa"/>
          </w:tcPr>
          <w:p>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color w:val="auto"/>
                <w:sz w:val="22"/>
                <w:szCs w:val="22"/>
                <w:highlight w:val="none"/>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5</w:t>
            </w:r>
          </w:p>
        </w:tc>
        <w:tc>
          <w:tcPr>
            <w:tcW w:w="7305" w:type="dxa"/>
          </w:tcPr>
          <w:p>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color w:val="auto"/>
                <w:sz w:val="22"/>
                <w:szCs w:val="22"/>
                <w:highlight w:val="none"/>
              </w:rPr>
              <w:t>附件八-1</w:t>
            </w:r>
          </w:p>
        </w:tc>
      </w:tr>
    </w:tbl>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b/>
          <w:color w:val="auto"/>
          <w:sz w:val="22"/>
          <w:szCs w:val="22"/>
          <w:highlight w:val="none"/>
        </w:rPr>
        <w:t>投标报价包括：</w:t>
      </w:r>
      <w:r>
        <w:rPr>
          <w:rFonts w:hint="eastAsia" w:ascii="宋体" w:hAnsi="宋体" w:cs="宋体"/>
          <w:b/>
          <w:color w:val="auto"/>
          <w:sz w:val="22"/>
          <w:szCs w:val="22"/>
          <w:highlight w:val="none"/>
        </w:rPr>
        <w:t>完成本项目所需的所有费用，包括货物款、专用工具、税金、包装、运输、保险、装卸就位、安装调试、验收（含第三方验收）、技术服务、售后服务、材料、质保期保障、采购代理服务费等全部费用，实行固定费用总包干</w:t>
      </w:r>
      <w:r>
        <w:rPr>
          <w:rFonts w:hint="eastAsia" w:ascii="宋体" w:hAnsi="宋体"/>
          <w:b/>
          <w:color w:val="auto"/>
          <w:sz w:val="22"/>
          <w:szCs w:val="22"/>
          <w:highlight w:val="none"/>
        </w:rPr>
        <w:t>。</w:t>
      </w:r>
      <w:r>
        <w:rPr>
          <w:rFonts w:hint="eastAsia" w:hAnsi="宋体" w:cs="宋体"/>
          <w:color w:val="auto"/>
          <w:sz w:val="22"/>
          <w:szCs w:val="22"/>
          <w:highlight w:val="none"/>
        </w:rPr>
        <w:t>投标人应根据上述因素自行考虑含入投标总价。</w:t>
      </w:r>
    </w:p>
    <w:p>
      <w:pPr>
        <w:pStyle w:val="3"/>
        <w:spacing w:after="0"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6.2  </w:t>
      </w:r>
      <w:r>
        <w:rPr>
          <w:rFonts w:hint="eastAsia" w:ascii="宋体" w:hAnsi="宋体" w:cs="宋体"/>
          <w:b/>
          <w:bCs/>
          <w:color w:val="auto"/>
          <w:szCs w:val="22"/>
          <w:highlight w:val="none"/>
          <w:u w:val="single"/>
        </w:rPr>
        <w:t>根据《温州市政府采购履约验收办法（温财采〔2020〕6号）》的规定，本项目履约验收费用5000元，包含在投标报价内，由中标人支付，如因供应商原因造成验收不通过的，所产生的验收费用重新计算，如采用简易验收流程的，则不需要该笔费用</w:t>
      </w:r>
      <w:r>
        <w:rPr>
          <w:rFonts w:hint="eastAsia" w:ascii="宋体" w:hAnsi="宋体"/>
          <w:b/>
          <w:bCs/>
          <w:color w:val="auto"/>
          <w:sz w:val="22"/>
          <w:szCs w:val="22"/>
          <w:highlight w:val="none"/>
        </w:rPr>
        <w:t>。</w:t>
      </w:r>
    </w:p>
    <w:p>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w:t>
      </w:r>
      <w:r>
        <w:rPr>
          <w:rFonts w:ascii="宋体" w:hAnsi="宋体" w:cs="宋体"/>
          <w:color w:val="auto"/>
          <w:sz w:val="22"/>
          <w:szCs w:val="22"/>
          <w:highlight w:val="none"/>
        </w:rPr>
        <w:t>3</w:t>
      </w:r>
      <w:r>
        <w:rPr>
          <w:rFonts w:hint="eastAsia" w:ascii="宋体" w:hAnsi="宋体" w:cs="宋体"/>
          <w:color w:val="auto"/>
          <w:sz w:val="22"/>
          <w:szCs w:val="22"/>
          <w:highlight w:val="none"/>
        </w:rPr>
        <w:t xml:space="preserve">  投标人必须按附件中的投标报价一览表、投标分项报价表（均统一格式）内容填写单价、合价和总价，并由法定代表人或投标人代表签署。</w:t>
      </w:r>
    </w:p>
    <w:p>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w:t>
      </w:r>
      <w:r>
        <w:rPr>
          <w:rFonts w:ascii="宋体" w:hAnsi="宋体" w:cs="宋体"/>
          <w:b/>
          <w:color w:val="auto"/>
          <w:sz w:val="22"/>
          <w:szCs w:val="22"/>
          <w:highlight w:val="none"/>
        </w:rPr>
        <w:t>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w:t>
      </w:r>
      <w:r>
        <w:rPr>
          <w:rFonts w:ascii="宋体" w:hAnsi="宋体" w:cs="宋体"/>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w:t>
      </w:r>
      <w:r>
        <w:rPr>
          <w:rFonts w:ascii="宋体" w:hAnsi="宋体" w:cs="宋体"/>
          <w:color w:val="auto"/>
          <w:sz w:val="22"/>
          <w:szCs w:val="22"/>
          <w:highlight w:val="none"/>
        </w:rPr>
        <w:t>6</w:t>
      </w:r>
      <w:r>
        <w:rPr>
          <w:rFonts w:hint="eastAsia" w:ascii="宋体" w:hAnsi="宋体" w:cs="宋体"/>
          <w:color w:val="auto"/>
          <w:sz w:val="22"/>
          <w:szCs w:val="22"/>
          <w:highlight w:val="none"/>
        </w:rPr>
        <w:t xml:space="preserve">  招标采购单位要求分类报价是为了方便评标，但在任何情况下不限制采购人以其认为最合适的条款、条件签订合同的权利。</w:t>
      </w:r>
    </w:p>
    <w:p>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w:t>
      </w:r>
      <w:r>
        <w:rPr>
          <w:rFonts w:ascii="宋体" w:hAnsi="宋体" w:cs="宋体"/>
          <w:color w:val="auto"/>
          <w:sz w:val="22"/>
          <w:szCs w:val="22"/>
          <w:highlight w:val="none"/>
        </w:rPr>
        <w:t>7</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pPr>
        <w:spacing w:line="440" w:lineRule="exact"/>
        <w:rPr>
          <w:rFonts w:ascii="宋体" w:hAnsi="宋体" w:cs="宋体"/>
          <w:color w:val="auto"/>
          <w:sz w:val="22"/>
          <w:szCs w:val="22"/>
          <w:highlight w:val="none"/>
        </w:rPr>
      </w:pPr>
      <w:bookmarkStart w:id="36"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pPr>
        <w:pStyle w:val="6"/>
        <w:spacing w:line="680" w:lineRule="exact"/>
        <w:jc w:val="center"/>
        <w:rPr>
          <w:rFonts w:ascii="宋体" w:hAnsi="宋体" w:eastAsia="宋体" w:cs="宋体"/>
          <w:color w:val="auto"/>
          <w:sz w:val="28"/>
          <w:szCs w:val="28"/>
          <w:highlight w:val="none"/>
        </w:rPr>
      </w:pPr>
      <w:bookmarkStart w:id="37" w:name="_Toc31852"/>
      <w:r>
        <w:rPr>
          <w:rFonts w:hint="eastAsia" w:ascii="宋体" w:hAnsi="宋体" w:eastAsia="宋体" w:cs="宋体"/>
          <w:color w:val="auto"/>
          <w:sz w:val="28"/>
          <w:szCs w:val="28"/>
          <w:highlight w:val="none"/>
        </w:rPr>
        <w:t>四、 投标文件的递交</w:t>
      </w:r>
      <w:bookmarkEnd w:id="36"/>
      <w:bookmarkEnd w:id="37"/>
    </w:p>
    <w:p>
      <w:pPr>
        <w:spacing w:line="440" w:lineRule="exact"/>
        <w:rPr>
          <w:rFonts w:ascii="宋体" w:hAnsi="宋体" w:cs="宋体"/>
          <w:b/>
          <w:bCs/>
          <w:color w:val="auto"/>
          <w:sz w:val="22"/>
          <w:szCs w:val="22"/>
          <w:highlight w:val="none"/>
        </w:rPr>
      </w:pPr>
      <w:bookmarkStart w:id="38"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时间前未完成传输的，视为撤回投标文件。投标截止时间后送达的投标文件，将被政采云平台</w:t>
      </w:r>
    </w:p>
    <w:p>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pPr>
        <w:pStyle w:val="6"/>
        <w:spacing w:line="680" w:lineRule="exact"/>
        <w:jc w:val="center"/>
        <w:rPr>
          <w:rFonts w:ascii="宋体" w:hAnsi="宋体" w:eastAsia="宋体" w:cs="宋体"/>
          <w:color w:val="auto"/>
          <w:sz w:val="28"/>
          <w:szCs w:val="28"/>
          <w:highlight w:val="none"/>
        </w:rPr>
      </w:pPr>
      <w:bookmarkStart w:id="39" w:name="_Toc1065"/>
      <w:r>
        <w:rPr>
          <w:rFonts w:hint="eastAsia" w:ascii="宋体" w:hAnsi="宋体" w:eastAsia="宋体" w:cs="宋体"/>
          <w:color w:val="auto"/>
          <w:sz w:val="28"/>
          <w:szCs w:val="28"/>
          <w:highlight w:val="none"/>
        </w:rPr>
        <w:t>五、 开标和评标</w:t>
      </w:r>
      <w:bookmarkEnd w:id="38"/>
      <w:bookmarkEnd w:id="39"/>
    </w:p>
    <w:p>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投标文件解密：投标文件递交截止时间后，投标人登录政采云平台，用“项目采购-开标评标”功能对电子投标文件进行在线解密。在线解密电子投标文件时间为开标时间起半个小时内。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pPr>
        <w:spacing w:line="440" w:lineRule="exact"/>
        <w:ind w:left="541" w:hanging="541" w:hangingChars="245"/>
        <w:rPr>
          <w:rFonts w:ascii="宋体" w:hAnsi="宋体" w:cs="宋体"/>
          <w:bCs/>
          <w:color w:val="auto"/>
          <w:sz w:val="22"/>
          <w:szCs w:val="22"/>
          <w:highlight w:val="none"/>
        </w:rPr>
      </w:pPr>
      <w:r>
        <w:rPr>
          <w:rFonts w:hint="eastAsia" w:ascii="宋体" w:hAnsi="宋体" w:cs="宋体"/>
          <w:b/>
          <w:color w:val="auto"/>
          <w:sz w:val="22"/>
          <w:szCs w:val="22"/>
          <w:highlight w:val="none"/>
        </w:rPr>
        <w:t>7. ▲</w:t>
      </w:r>
      <w:r>
        <w:rPr>
          <w:rFonts w:hint="eastAsia" w:ascii="宋体" w:hAnsi="宋体" w:cs="宋体"/>
          <w:b/>
          <w:bCs/>
          <w:color w:val="auto"/>
          <w:sz w:val="22"/>
          <w:szCs w:val="22"/>
          <w:highlight w:val="none"/>
          <w:u w:val="single"/>
        </w:rPr>
        <w:t>评标委员会认定投标人存在下列情况之一的，投标无效</w:t>
      </w:r>
      <w:r>
        <w:rPr>
          <w:rFonts w:hint="eastAsia" w:ascii="宋体" w:hAnsi="宋体" w:cs="宋体"/>
          <w:b/>
          <w:bCs/>
          <w:color w:val="auto"/>
          <w:sz w:val="22"/>
          <w:szCs w:val="22"/>
          <w:highlight w:val="none"/>
        </w:rPr>
        <w:t>：</w:t>
      </w:r>
    </w:p>
    <w:p>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1</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投标文件未按招标文件要求签署、盖章的</w:t>
      </w:r>
      <w:r>
        <w:rPr>
          <w:rFonts w:hint="eastAsia" w:ascii="宋体" w:hAnsi="宋体" w:cs="宋体"/>
          <w:bCs/>
          <w:color w:val="auto"/>
          <w:sz w:val="22"/>
          <w:szCs w:val="22"/>
          <w:highlight w:val="none"/>
        </w:rPr>
        <w:t>；</w:t>
      </w:r>
    </w:p>
    <w:p>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2</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cs="宋体"/>
          <w:color w:val="auto"/>
          <w:sz w:val="22"/>
          <w:highlight w:val="none"/>
        </w:rPr>
        <w:t>；</w:t>
      </w:r>
    </w:p>
    <w:p>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3</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投标文件含有采购人不能接受的附加条件的</w:t>
      </w:r>
      <w:r>
        <w:rPr>
          <w:rFonts w:hint="eastAsia" w:ascii="宋体" w:hAnsi="宋体" w:cs="宋体"/>
          <w:color w:val="auto"/>
          <w:sz w:val="22"/>
          <w:highlight w:val="none"/>
        </w:rPr>
        <w:t>；</w:t>
      </w:r>
    </w:p>
    <w:p>
      <w:pPr>
        <w:spacing w:line="440" w:lineRule="exact"/>
        <w:rPr>
          <w:rFonts w:ascii="宋体" w:hAnsi="宋体" w:cs="宋体"/>
          <w:color w:val="auto"/>
          <w:sz w:val="22"/>
          <w:highlight w:val="none"/>
        </w:rPr>
      </w:pPr>
      <w:r>
        <w:rPr>
          <w:rFonts w:hint="eastAsia" w:ascii="宋体" w:hAnsi="宋体" w:cs="宋体"/>
          <w:color w:val="auto"/>
          <w:sz w:val="22"/>
          <w:highlight w:val="none"/>
        </w:rPr>
        <w:t>（</w:t>
      </w:r>
      <w:r>
        <w:rPr>
          <w:rFonts w:ascii="宋体" w:hAnsi="宋体" w:cs="宋体"/>
          <w:color w:val="auto"/>
          <w:sz w:val="22"/>
          <w:highlight w:val="none"/>
        </w:rPr>
        <w:t>4</w:t>
      </w:r>
      <w:r>
        <w:rPr>
          <w:rFonts w:hint="eastAsia" w:ascii="宋体" w:hAnsi="宋体" w:cs="宋体"/>
          <w:color w:val="auto"/>
          <w:sz w:val="22"/>
          <w:highlight w:val="none"/>
        </w:rPr>
        <w:t>）</w:t>
      </w:r>
      <w:r>
        <w:rPr>
          <w:rFonts w:hint="eastAsia" w:ascii="宋体" w:hAnsi="宋体" w:cs="宋体"/>
          <w:color w:val="auto"/>
          <w:sz w:val="22"/>
          <w:highlight w:val="none"/>
          <w:u w:val="single"/>
        </w:rPr>
        <w:t>投标报价超过招标文件中规定的预算金额或者最高限价的</w:t>
      </w:r>
      <w:r>
        <w:rPr>
          <w:rFonts w:hint="eastAsia" w:ascii="宋体" w:hAnsi="宋体" w:cs="宋体"/>
          <w:color w:val="auto"/>
          <w:sz w:val="22"/>
          <w:highlight w:val="none"/>
        </w:rPr>
        <w:t>；</w:t>
      </w:r>
    </w:p>
    <w:p>
      <w:pPr>
        <w:spacing w:line="440" w:lineRule="exact"/>
        <w:rPr>
          <w:rFonts w:ascii="宋体" w:hAnsi="宋体" w:cs="宋体"/>
          <w:bCs/>
          <w:color w:val="auto"/>
          <w:sz w:val="22"/>
          <w:szCs w:val="22"/>
          <w:highlight w:val="none"/>
        </w:rPr>
      </w:pPr>
      <w:r>
        <w:rPr>
          <w:rFonts w:hint="eastAsia" w:ascii="宋体" w:hAnsi="宋体" w:cs="宋体"/>
          <w:color w:val="auto"/>
          <w:sz w:val="22"/>
          <w:highlight w:val="none"/>
        </w:rPr>
        <w:t>（</w:t>
      </w:r>
      <w:r>
        <w:rPr>
          <w:rFonts w:ascii="宋体" w:hAnsi="宋体" w:cs="宋体"/>
          <w:color w:val="auto"/>
          <w:sz w:val="22"/>
          <w:highlight w:val="none"/>
        </w:rPr>
        <w:t>5</w:t>
      </w:r>
      <w:r>
        <w:rPr>
          <w:rFonts w:hint="eastAsia" w:ascii="宋体" w:hAnsi="宋体" w:cs="宋体"/>
          <w:color w:val="auto"/>
          <w:sz w:val="22"/>
          <w:highlight w:val="none"/>
        </w:rPr>
        <w:t>）</w:t>
      </w:r>
      <w:r>
        <w:rPr>
          <w:rFonts w:hint="eastAsia" w:ascii="宋体" w:hAnsi="宋体" w:cs="宋体"/>
          <w:color w:val="auto"/>
          <w:sz w:val="22"/>
          <w:highlight w:val="none"/>
          <w:u w:val="single"/>
        </w:rPr>
        <w:t>资格文件或商务技术文件中出现投标报价的</w:t>
      </w:r>
      <w:r>
        <w:rPr>
          <w:rFonts w:hint="eastAsia" w:ascii="宋体" w:hAnsi="宋体" w:cs="宋体"/>
          <w:color w:val="auto"/>
          <w:sz w:val="22"/>
          <w:highlight w:val="none"/>
        </w:rPr>
        <w:t>；</w:t>
      </w:r>
    </w:p>
    <w:p>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6</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w:t>
      </w:r>
      <w:r>
        <w:rPr>
          <w:rFonts w:hint="eastAsia" w:ascii="宋体" w:hAnsi="宋体" w:cs="宋体"/>
          <w:color w:val="auto"/>
          <w:sz w:val="22"/>
          <w:highlight w:val="none"/>
          <w:u w:val="single"/>
        </w:rPr>
        <w:t>内容不全或关键字迹模糊无法辨认或未做好节点关联导致关键内容缺失的</w:t>
      </w:r>
      <w:r>
        <w:rPr>
          <w:rFonts w:hint="eastAsia" w:ascii="宋体" w:hAnsi="宋体" w:cs="宋体"/>
          <w:color w:val="auto"/>
          <w:sz w:val="22"/>
          <w:highlight w:val="none"/>
        </w:rPr>
        <w:t>；</w:t>
      </w:r>
    </w:p>
    <w:p>
      <w:pPr>
        <w:spacing w:line="440" w:lineRule="exact"/>
        <w:rPr>
          <w:rFonts w:ascii="宋体" w:hAnsi="宋体" w:cs="宋体"/>
          <w:color w:val="auto"/>
          <w:sz w:val="22"/>
          <w:highlight w:val="none"/>
          <w:u w:val="single"/>
        </w:rPr>
      </w:pPr>
      <w:r>
        <w:rPr>
          <w:rFonts w:hint="eastAsia" w:ascii="宋体" w:hAnsi="宋体" w:cs="宋体"/>
          <w:color w:val="auto"/>
          <w:sz w:val="22"/>
          <w:highlight w:val="none"/>
        </w:rPr>
        <w:t>（7）</w:t>
      </w:r>
      <w:r>
        <w:rPr>
          <w:rFonts w:hint="eastAsia" w:ascii="宋体" w:hAnsi="宋体" w:cs="宋体"/>
          <w:color w:val="auto"/>
          <w:sz w:val="22"/>
          <w:highlight w:val="none"/>
          <w:u w:val="single"/>
        </w:rPr>
        <w:t>仅提交备份投标文件的；</w:t>
      </w:r>
    </w:p>
    <w:p>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8</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法律、法规和招标文件中规定的其它无效情形</w:t>
      </w:r>
      <w:r>
        <w:rPr>
          <w:rFonts w:hint="eastAsia" w:ascii="宋体" w:hAnsi="宋体" w:cs="宋体"/>
          <w:color w:val="auto"/>
          <w:sz w:val="22"/>
          <w:highlight w:val="none"/>
        </w:rPr>
        <w:t>。</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pPr>
        <w:tabs>
          <w:tab w:val="left" w:pos="1365"/>
        </w:tabs>
        <w:spacing w:line="440" w:lineRule="exact"/>
        <w:ind w:left="558" w:leftChars="4"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9.   优化评审管理</w:t>
      </w:r>
    </w:p>
    <w:p>
      <w:pPr>
        <w:tabs>
          <w:tab w:val="left" w:pos="1365"/>
        </w:tabs>
        <w:spacing w:line="440" w:lineRule="exact"/>
        <w:ind w:left="8" w:leftChars="4"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号文相关的规定，</w:t>
      </w:r>
      <w:r>
        <w:rPr>
          <w:rFonts w:ascii="宋体" w:hAnsi="宋体" w:cs="宋体"/>
          <w:color w:val="auto"/>
          <w:sz w:val="22"/>
          <w:szCs w:val="22"/>
          <w:highlight w:val="none"/>
        </w:rPr>
        <w:t>评审小组成员个人主观打分偏离所有评审小组成员主</w:t>
      </w:r>
    </w:p>
    <w:p>
      <w:pPr>
        <w:tabs>
          <w:tab w:val="left" w:pos="1365"/>
        </w:tabs>
        <w:spacing w:line="440" w:lineRule="exact"/>
        <w:ind w:left="8" w:leftChars="4" w:firstLine="550" w:firstLineChars="250"/>
        <w:rPr>
          <w:rFonts w:ascii="宋体" w:hAnsi="宋体"/>
          <w:b/>
          <w:color w:val="auto"/>
          <w:sz w:val="22"/>
          <w:highlight w:val="none"/>
        </w:rPr>
      </w:pPr>
      <w:r>
        <w:rPr>
          <w:rFonts w:ascii="宋体" w:hAnsi="宋体" w:cs="宋体"/>
          <w:color w:val="auto"/>
          <w:sz w:val="22"/>
          <w:szCs w:val="22"/>
          <w:highlight w:val="none"/>
        </w:rPr>
        <w:t>观打分平均值30%以上的，由评审委员会启动评分畸高、畸低行为认定程序。</w:t>
      </w:r>
    </w:p>
    <w:p>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10．  推荐中标候选人</w:t>
      </w:r>
    </w:p>
    <w:p>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10.1  本次招标由评标委员会推2名中标候选人。</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投标截止时间止及评审期间，如出现有效投标人＜3家时，本项目废标，并重新组织招标。</w:t>
      </w:r>
    </w:p>
    <w:p>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评标细则详见第六部分“评标原则及方法”。</w:t>
      </w:r>
    </w:p>
    <w:p>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13.  未尽事宜遵循相关法律法规及规范性文件执行。</w:t>
      </w:r>
    </w:p>
    <w:p>
      <w:pPr>
        <w:pStyle w:val="6"/>
        <w:spacing w:line="680" w:lineRule="exact"/>
        <w:jc w:val="center"/>
        <w:rPr>
          <w:rFonts w:ascii="宋体" w:hAnsi="宋体" w:eastAsia="宋体" w:cs="宋体"/>
          <w:color w:val="auto"/>
          <w:sz w:val="28"/>
          <w:szCs w:val="28"/>
          <w:highlight w:val="none"/>
        </w:rPr>
      </w:pPr>
      <w:bookmarkStart w:id="40" w:name="_Toc230773780"/>
      <w:bookmarkStart w:id="41" w:name="_Toc24033"/>
      <w:r>
        <w:rPr>
          <w:rFonts w:hint="eastAsia" w:ascii="宋体" w:hAnsi="宋体" w:eastAsia="宋体" w:cs="宋体"/>
          <w:color w:val="auto"/>
          <w:sz w:val="28"/>
          <w:szCs w:val="28"/>
          <w:highlight w:val="none"/>
        </w:rPr>
        <w:t>六、 中标和合同</w:t>
      </w:r>
      <w:bookmarkEnd w:id="40"/>
      <w:bookmarkEnd w:id="41"/>
    </w:p>
    <w:p>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采购人或者采购代理机构应当自中标人确定之日起2个工作日内，在省级以上财政部门指定的媒体上公告中标结果，招标文件应当随中标结果同时公告。</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pPr>
        <w:spacing w:line="440" w:lineRule="exact"/>
        <w:ind w:left="580" w:hanging="580" w:hangingChars="25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5.1  </w:t>
      </w:r>
      <w:r>
        <w:rPr>
          <w:rFonts w:hint="eastAsia" w:ascii="宋体" w:hAnsi="宋体" w:cs="宋体"/>
          <w:color w:val="auto"/>
          <w:sz w:val="22"/>
          <w:szCs w:val="22"/>
          <w:highlight w:val="none"/>
        </w:rPr>
        <w:t>中标人在收到中标通知书后，签订合同后7个工作日内，中标人须向采购人提交履约保证。</w:t>
      </w:r>
    </w:p>
    <w:p>
      <w:pPr>
        <w:spacing w:line="440" w:lineRule="exact"/>
        <w:ind w:left="464" w:hanging="464" w:hanging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5.2  履约保证金用于补偿采购人因中标人不能履行其合同义务而蒙受的损失。</w:t>
      </w:r>
    </w:p>
    <w:p>
      <w:pPr>
        <w:spacing w:line="440" w:lineRule="exact"/>
        <w:ind w:left="580" w:hanging="580" w:hangingChars="25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5.3  </w:t>
      </w:r>
      <w:r>
        <w:rPr>
          <w:rFonts w:hint="eastAsia" w:ascii="宋体" w:hAnsi="宋体" w:cs="宋体"/>
          <w:color w:val="auto"/>
          <w:sz w:val="22"/>
          <w:highlight w:val="none"/>
        </w:rPr>
        <w:t>履约保证金自合同签订之日起至项目验收合格之日起有效。项目验收结束后，采购人应及时将履约保证金无息退还给中标人。</w:t>
      </w:r>
    </w:p>
    <w:p>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pPr>
        <w:pStyle w:val="6"/>
        <w:spacing w:line="680" w:lineRule="exact"/>
        <w:jc w:val="center"/>
        <w:rPr>
          <w:rFonts w:ascii="宋体" w:hAnsi="宋体" w:eastAsia="宋体" w:cs="宋体"/>
          <w:b w:val="0"/>
          <w:color w:val="auto"/>
          <w:highlight w:val="none"/>
        </w:rPr>
      </w:pPr>
      <w:bookmarkStart w:id="42" w:name="_Toc77407760"/>
      <w:bookmarkStart w:id="43" w:name="_Toc77410345"/>
      <w:bookmarkStart w:id="44" w:name="_Toc89248785"/>
      <w:bookmarkStart w:id="45" w:name="_Toc2461"/>
      <w:bookmarkStart w:id="46" w:name="_Toc185326503"/>
      <w:bookmarkStart w:id="47" w:name="_Toc208045865"/>
      <w:bookmarkStart w:id="48" w:name="_Toc230773781"/>
      <w:r>
        <w:rPr>
          <w:rFonts w:hint="eastAsia" w:ascii="宋体" w:hAnsi="宋体" w:eastAsia="宋体" w:cs="宋体"/>
          <w:color w:val="auto"/>
          <w:sz w:val="28"/>
          <w:szCs w:val="28"/>
          <w:highlight w:val="none"/>
        </w:rPr>
        <w:t>七、 可中止电子交易活动的情形</w:t>
      </w:r>
      <w:bookmarkEnd w:id="42"/>
      <w:bookmarkEnd w:id="43"/>
      <w:bookmarkEnd w:id="44"/>
      <w:bookmarkEnd w:id="45"/>
    </w:p>
    <w:p>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p>
      <w:pPr>
        <w:pStyle w:val="5"/>
        <w:tabs>
          <w:tab w:val="clear" w:pos="840"/>
        </w:tabs>
        <w:adjustRightInd/>
        <w:snapToGrid/>
        <w:spacing w:before="340" w:after="330" w:line="600" w:lineRule="exact"/>
        <w:jc w:val="center"/>
        <w:rPr>
          <w:rFonts w:ascii="黑体" w:hAnsi="黑体" w:eastAsia="黑体"/>
          <w:bCs/>
          <w:color w:val="auto"/>
          <w:sz w:val="36"/>
          <w:szCs w:val="36"/>
          <w:highlight w:val="none"/>
        </w:rPr>
        <w:sectPr>
          <w:footerReference r:id="rId7" w:type="first"/>
          <w:footerReference r:id="rId6" w:type="default"/>
          <w:pgSz w:w="11906" w:h="16838"/>
          <w:pgMar w:top="1134" w:right="1134" w:bottom="1134" w:left="1134" w:header="851" w:footer="992" w:gutter="0"/>
          <w:pgNumType w:start="1"/>
          <w:cols w:space="720" w:num="1"/>
          <w:titlePg/>
          <w:docGrid w:linePitch="312" w:charSpace="0"/>
        </w:sectPr>
      </w:pPr>
    </w:p>
    <w:bookmarkEnd w:id="46"/>
    <w:bookmarkEnd w:id="47"/>
    <w:bookmarkEnd w:id="48"/>
    <w:p>
      <w:pPr>
        <w:pStyle w:val="5"/>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49" w:name="_Toc8176"/>
      <w:bookmarkStart w:id="50" w:name="_Toc30897"/>
      <w:bookmarkStart w:id="51" w:name="_Toc230773782"/>
      <w:r>
        <w:rPr>
          <w:rFonts w:hint="eastAsia" w:ascii="黑体" w:hAnsi="黑体" w:eastAsia="黑体"/>
          <w:bCs/>
          <w:color w:val="auto"/>
          <w:sz w:val="36"/>
          <w:szCs w:val="36"/>
          <w:highlight w:val="none"/>
        </w:rPr>
        <w:t>第三部分</w:t>
      </w:r>
      <w:bookmarkEnd w:id="49"/>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0"/>
    </w:p>
    <w:bookmarkEnd w:id="51"/>
    <w:p>
      <w:pPr>
        <w:spacing w:line="460" w:lineRule="exact"/>
        <w:ind w:firstLine="541" w:firstLineChars="245"/>
        <w:rPr>
          <w:rFonts w:ascii="宋体" w:hAnsi="宋体" w:cs="宋体"/>
          <w:b/>
          <w:color w:val="auto"/>
          <w:sz w:val="22"/>
          <w:szCs w:val="22"/>
          <w:highlight w:val="none"/>
        </w:rPr>
      </w:pPr>
      <w:bookmarkStart w:id="52" w:name="_Toc2505009"/>
      <w:bookmarkStart w:id="53" w:name="_Toc230773783"/>
      <w:r>
        <w:rPr>
          <w:rFonts w:hint="eastAsia" w:ascii="宋体" w:hAnsi="宋体" w:cs="宋体"/>
          <w:b/>
          <w:color w:val="auto"/>
          <w:sz w:val="22"/>
          <w:szCs w:val="22"/>
          <w:highlight w:val="none"/>
        </w:rPr>
        <w:t>注：如甲、乙双方同意，合同格式也可以按照其他形式, 具体条款以甲方为主协商确定。但合同条款的基本内容应与以下要求的内容相一致。</w:t>
      </w:r>
    </w:p>
    <w:p>
      <w:pPr>
        <w:spacing w:line="460" w:lineRule="exact"/>
        <w:ind w:firstLine="539" w:firstLineChars="245"/>
        <w:rPr>
          <w:rFonts w:ascii="宋体" w:hAnsi="宋体" w:cs="宋体"/>
          <w:color w:val="auto"/>
          <w:sz w:val="22"/>
          <w:szCs w:val="22"/>
          <w:highlight w:val="none"/>
        </w:rPr>
      </w:pPr>
    </w:p>
    <w:p>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（采购人）</w:t>
      </w:r>
    </w:p>
    <w:p>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 xml:space="preserve">乙方: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（中标人）</w:t>
      </w:r>
    </w:p>
    <w:p>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浙江安防职业技术学院的</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（项目名称、编号）在国内以公开招标方式进行采购，经评标委员会评定</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为中标人。双方本着诚信及互利互惠的原则，同意按照下面条款和条件，签署本合同。</w:t>
      </w:r>
    </w:p>
    <w:p>
      <w:pPr>
        <w:pStyle w:val="23"/>
        <w:snapToGrid w:val="0"/>
        <w:spacing w:before="120" w:after="120" w:line="460" w:lineRule="exact"/>
        <w:ind w:firstLine="470" w:firstLineChars="213"/>
        <w:rPr>
          <w:rFonts w:hAnsi="宋体" w:cs="宋体"/>
          <w:b/>
          <w:color w:val="auto"/>
          <w:sz w:val="22"/>
          <w:szCs w:val="22"/>
          <w:highlight w:val="none"/>
        </w:rPr>
      </w:pPr>
      <w:r>
        <w:rPr>
          <w:rFonts w:hint="eastAsia" w:hAnsi="宋体" w:cs="宋体"/>
          <w:b/>
          <w:color w:val="auto"/>
          <w:sz w:val="22"/>
          <w:szCs w:val="22"/>
          <w:highlight w:val="none"/>
        </w:rPr>
        <w:t>一、</w:t>
      </w:r>
      <w:r>
        <w:rPr>
          <w:rFonts w:hint="eastAsia" w:hAnsi="宋体" w:cs="宋体"/>
          <w:b/>
          <w:snapToGrid w:val="0"/>
          <w:color w:val="auto"/>
          <w:sz w:val="22"/>
          <w:szCs w:val="22"/>
          <w:highlight w:val="none"/>
        </w:rPr>
        <w:t>货物内容</w:t>
      </w:r>
      <w:r>
        <w:rPr>
          <w:rFonts w:hint="eastAsia" w:hAnsi="宋体" w:cs="宋体"/>
          <w:b/>
          <w:color w:val="auto"/>
          <w:sz w:val="22"/>
          <w:szCs w:val="22"/>
          <w:highlight w:val="none"/>
        </w:rPr>
        <w:t>及合同价格</w:t>
      </w:r>
    </w:p>
    <w:p>
      <w:pPr>
        <w:pStyle w:val="23"/>
        <w:snapToGrid w:val="0"/>
        <w:spacing w:before="120" w:after="120" w:line="460" w:lineRule="exact"/>
        <w:ind w:right="220" w:firstLine="468" w:firstLineChars="213"/>
        <w:jc w:val="right"/>
        <w:rPr>
          <w:rFonts w:hAnsi="宋体" w:cs="宋体"/>
          <w:color w:val="auto"/>
          <w:sz w:val="22"/>
          <w:szCs w:val="22"/>
          <w:highlight w:val="none"/>
        </w:rPr>
      </w:pPr>
      <w:r>
        <w:rPr>
          <w:rFonts w:hint="eastAsia" w:hAnsi="宋体" w:cs="宋体"/>
          <w:color w:val="auto"/>
          <w:sz w:val="22"/>
          <w:szCs w:val="22"/>
          <w:highlight w:val="none"/>
        </w:rPr>
        <w:t xml:space="preserve">金额单位：元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980"/>
        <w:gridCol w:w="1980"/>
        <w:gridCol w:w="126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874" w:type="dxa"/>
            <w:vAlign w:val="center"/>
          </w:tcPr>
          <w:p>
            <w:pPr>
              <w:pStyle w:val="23"/>
              <w:snapToGrid w:val="0"/>
              <w:spacing w:before="120" w:after="120" w:line="460" w:lineRule="exact"/>
              <w:jc w:val="center"/>
              <w:rPr>
                <w:rFonts w:hAnsi="宋体" w:cs="宋体"/>
                <w:color w:val="auto"/>
                <w:sz w:val="22"/>
                <w:szCs w:val="22"/>
                <w:highlight w:val="none"/>
              </w:rPr>
            </w:pPr>
            <w:r>
              <w:rPr>
                <w:rFonts w:hint="eastAsia" w:hAnsi="宋体" w:cs="宋体"/>
                <w:color w:val="auto"/>
                <w:sz w:val="22"/>
                <w:szCs w:val="22"/>
                <w:highlight w:val="none"/>
              </w:rPr>
              <w:t>货物名称</w:t>
            </w:r>
          </w:p>
        </w:tc>
        <w:tc>
          <w:tcPr>
            <w:tcW w:w="1980" w:type="dxa"/>
            <w:vAlign w:val="center"/>
          </w:tcPr>
          <w:p>
            <w:pPr>
              <w:pStyle w:val="23"/>
              <w:snapToGrid w:val="0"/>
              <w:spacing w:before="120" w:after="120" w:line="460" w:lineRule="exact"/>
              <w:jc w:val="center"/>
              <w:rPr>
                <w:rFonts w:hAnsi="宋体" w:cs="宋体"/>
                <w:color w:val="auto"/>
                <w:sz w:val="22"/>
                <w:szCs w:val="22"/>
                <w:highlight w:val="none"/>
              </w:rPr>
            </w:pPr>
            <w:r>
              <w:rPr>
                <w:rFonts w:hint="eastAsia" w:hAnsi="宋体" w:cs="宋体"/>
                <w:color w:val="auto"/>
                <w:sz w:val="22"/>
                <w:szCs w:val="22"/>
                <w:highlight w:val="none"/>
              </w:rPr>
              <w:t>型号规格</w:t>
            </w:r>
          </w:p>
        </w:tc>
        <w:tc>
          <w:tcPr>
            <w:tcW w:w="1980" w:type="dxa"/>
            <w:vAlign w:val="center"/>
          </w:tcPr>
          <w:p>
            <w:pPr>
              <w:pStyle w:val="23"/>
              <w:snapToGrid w:val="0"/>
              <w:spacing w:before="120" w:after="120" w:line="460" w:lineRule="exact"/>
              <w:jc w:val="center"/>
              <w:rPr>
                <w:rFonts w:hAnsi="宋体" w:cs="宋体"/>
                <w:color w:val="auto"/>
                <w:sz w:val="22"/>
                <w:szCs w:val="22"/>
                <w:highlight w:val="none"/>
              </w:rPr>
            </w:pPr>
            <w:r>
              <w:rPr>
                <w:rFonts w:hint="eastAsia" w:hAnsi="宋体" w:cs="宋体"/>
                <w:color w:val="auto"/>
                <w:sz w:val="22"/>
                <w:szCs w:val="22"/>
                <w:highlight w:val="none"/>
              </w:rPr>
              <w:t>配置要求</w:t>
            </w:r>
          </w:p>
        </w:tc>
        <w:tc>
          <w:tcPr>
            <w:tcW w:w="1260" w:type="dxa"/>
            <w:vAlign w:val="center"/>
          </w:tcPr>
          <w:p>
            <w:pPr>
              <w:pStyle w:val="23"/>
              <w:snapToGrid w:val="0"/>
              <w:spacing w:before="120" w:after="120" w:line="460" w:lineRule="exact"/>
              <w:ind w:left="-108"/>
              <w:jc w:val="center"/>
              <w:rPr>
                <w:rFonts w:hAnsi="宋体" w:cs="宋体"/>
                <w:color w:val="auto"/>
                <w:sz w:val="22"/>
                <w:szCs w:val="22"/>
                <w:highlight w:val="none"/>
              </w:rPr>
            </w:pPr>
            <w:r>
              <w:rPr>
                <w:rFonts w:hint="eastAsia" w:hAnsi="宋体" w:cs="宋体"/>
                <w:color w:val="auto"/>
                <w:sz w:val="22"/>
                <w:szCs w:val="22"/>
                <w:highlight w:val="none"/>
              </w:rPr>
              <w:t>数量</w:t>
            </w:r>
          </w:p>
        </w:tc>
        <w:tc>
          <w:tcPr>
            <w:tcW w:w="1572" w:type="dxa"/>
            <w:vAlign w:val="center"/>
          </w:tcPr>
          <w:p>
            <w:pPr>
              <w:pStyle w:val="23"/>
              <w:snapToGrid w:val="0"/>
              <w:spacing w:before="120" w:after="120" w:line="460" w:lineRule="exact"/>
              <w:ind w:left="-108"/>
              <w:jc w:val="center"/>
              <w:rPr>
                <w:rFonts w:hAnsi="宋体" w:cs="宋体"/>
                <w:color w:val="auto"/>
                <w:sz w:val="22"/>
                <w:szCs w:val="22"/>
                <w:highlight w:val="none"/>
              </w:rPr>
            </w:pPr>
            <w:r>
              <w:rPr>
                <w:rFonts w:hint="eastAsia" w:hAnsi="宋体" w:cs="宋体"/>
                <w:color w:val="auto"/>
                <w:sz w:val="22"/>
                <w:szCs w:val="22"/>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874" w:type="dxa"/>
          </w:tcPr>
          <w:p>
            <w:pPr>
              <w:spacing w:line="460" w:lineRule="exact"/>
              <w:ind w:firstLine="468" w:firstLineChars="213"/>
              <w:rPr>
                <w:rFonts w:ascii="宋体" w:hAnsi="宋体" w:cs="宋体"/>
                <w:color w:val="auto"/>
                <w:sz w:val="22"/>
                <w:szCs w:val="22"/>
                <w:highlight w:val="none"/>
              </w:rPr>
            </w:pPr>
          </w:p>
        </w:tc>
        <w:tc>
          <w:tcPr>
            <w:tcW w:w="1980" w:type="dxa"/>
          </w:tcPr>
          <w:p>
            <w:pPr>
              <w:spacing w:line="460" w:lineRule="exact"/>
              <w:ind w:firstLine="468" w:firstLineChars="213"/>
              <w:rPr>
                <w:rFonts w:ascii="宋体" w:hAnsi="宋体" w:cs="宋体"/>
                <w:color w:val="auto"/>
                <w:sz w:val="22"/>
                <w:szCs w:val="22"/>
                <w:highlight w:val="none"/>
              </w:rPr>
            </w:pPr>
          </w:p>
        </w:tc>
        <w:tc>
          <w:tcPr>
            <w:tcW w:w="1980" w:type="dxa"/>
          </w:tcPr>
          <w:p>
            <w:pPr>
              <w:spacing w:line="460" w:lineRule="exact"/>
              <w:ind w:firstLine="468" w:firstLineChars="213"/>
              <w:rPr>
                <w:rFonts w:ascii="宋体" w:hAnsi="宋体" w:cs="宋体"/>
                <w:color w:val="auto"/>
                <w:sz w:val="22"/>
                <w:szCs w:val="22"/>
                <w:highlight w:val="none"/>
              </w:rPr>
            </w:pPr>
          </w:p>
        </w:tc>
        <w:tc>
          <w:tcPr>
            <w:tcW w:w="1260" w:type="dxa"/>
          </w:tcPr>
          <w:p>
            <w:pPr>
              <w:spacing w:line="460" w:lineRule="exact"/>
              <w:ind w:firstLine="468" w:firstLineChars="213"/>
              <w:rPr>
                <w:rFonts w:ascii="宋体" w:hAnsi="宋体" w:cs="宋体"/>
                <w:color w:val="auto"/>
                <w:sz w:val="22"/>
                <w:szCs w:val="22"/>
                <w:highlight w:val="none"/>
              </w:rPr>
            </w:pPr>
          </w:p>
        </w:tc>
        <w:tc>
          <w:tcPr>
            <w:tcW w:w="1572" w:type="dxa"/>
          </w:tcPr>
          <w:p>
            <w:pPr>
              <w:pStyle w:val="158"/>
              <w:spacing w:after="120" w:line="460" w:lineRule="exact"/>
              <w:ind w:firstLine="468" w:firstLineChars="213"/>
              <w:rPr>
                <w:rFonts w:hAnsi="宋体" w:cs="宋体"/>
                <w:color w:val="auto"/>
                <w:sz w:val="22"/>
                <w:szCs w:val="22"/>
                <w:highlight w:val="none"/>
              </w:rPr>
            </w:pPr>
            <w:r>
              <w:rPr>
                <w:rFonts w:hint="eastAsia" w:hAnsi="宋体" w:cs="宋体"/>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6834" w:type="dxa"/>
            <w:gridSpan w:val="3"/>
          </w:tcPr>
          <w:p>
            <w:pPr>
              <w:pStyle w:val="23"/>
              <w:snapToGrid w:val="0"/>
              <w:spacing w:before="120" w:after="120" w:line="460" w:lineRule="exact"/>
              <w:ind w:firstLine="468" w:firstLineChars="213"/>
              <w:jc w:val="center"/>
              <w:rPr>
                <w:rFonts w:hAnsi="宋体" w:cs="宋体"/>
                <w:color w:val="auto"/>
                <w:sz w:val="22"/>
                <w:szCs w:val="22"/>
                <w:highlight w:val="none"/>
              </w:rPr>
            </w:pPr>
            <w:r>
              <w:rPr>
                <w:rFonts w:hint="eastAsia" w:hAnsi="宋体" w:cs="宋体"/>
                <w:color w:val="auto"/>
                <w:sz w:val="22"/>
                <w:szCs w:val="22"/>
                <w:highlight w:val="none"/>
              </w:rPr>
              <w:t>合            计</w:t>
            </w:r>
          </w:p>
        </w:tc>
        <w:tc>
          <w:tcPr>
            <w:tcW w:w="1260" w:type="dxa"/>
          </w:tcPr>
          <w:p>
            <w:pPr>
              <w:pStyle w:val="23"/>
              <w:snapToGrid w:val="0"/>
              <w:spacing w:before="120" w:after="120" w:line="460" w:lineRule="exact"/>
              <w:ind w:firstLine="468" w:firstLineChars="213"/>
              <w:jc w:val="center"/>
              <w:rPr>
                <w:rFonts w:hAnsi="宋体" w:cs="宋体"/>
                <w:color w:val="auto"/>
                <w:sz w:val="22"/>
                <w:szCs w:val="22"/>
                <w:highlight w:val="none"/>
              </w:rPr>
            </w:pPr>
          </w:p>
        </w:tc>
        <w:tc>
          <w:tcPr>
            <w:tcW w:w="1572" w:type="dxa"/>
          </w:tcPr>
          <w:p>
            <w:pPr>
              <w:pStyle w:val="158"/>
              <w:spacing w:after="120" w:line="460" w:lineRule="exact"/>
              <w:ind w:firstLine="468" w:firstLineChars="213"/>
              <w:rPr>
                <w:rFonts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666" w:type="dxa"/>
            <w:gridSpan w:val="5"/>
          </w:tcPr>
          <w:p>
            <w:pPr>
              <w:pStyle w:val="23"/>
              <w:snapToGrid w:val="0"/>
              <w:spacing w:before="120" w:after="120" w:line="460" w:lineRule="exact"/>
              <w:rPr>
                <w:rFonts w:hAnsi="宋体" w:cs="宋体"/>
                <w:color w:val="auto"/>
                <w:sz w:val="22"/>
                <w:szCs w:val="22"/>
                <w:highlight w:val="none"/>
              </w:rPr>
            </w:pPr>
            <w:r>
              <w:rPr>
                <w:rFonts w:hint="eastAsia" w:hAnsi="宋体" w:cs="宋体"/>
                <w:color w:val="auto"/>
                <w:sz w:val="22"/>
                <w:szCs w:val="22"/>
                <w:highlight w:val="none"/>
              </w:rPr>
              <w:t>合同总价大写：                              小写：￥</w:t>
            </w:r>
            <w:r>
              <w:rPr>
                <w:rFonts w:hint="eastAsia" w:hAnsi="宋体" w:cs="宋体"/>
                <w:color w:val="auto"/>
                <w:sz w:val="22"/>
                <w:szCs w:val="22"/>
                <w:highlight w:val="none"/>
                <w:u w:val="single"/>
              </w:rPr>
              <w:t xml:space="preserve">      </w:t>
            </w:r>
          </w:p>
        </w:tc>
      </w:tr>
    </w:tbl>
    <w:p>
      <w:pPr>
        <w:pStyle w:val="23"/>
        <w:snapToGrid w:val="0"/>
        <w:spacing w:line="460" w:lineRule="exact"/>
        <w:ind w:firstLine="468" w:firstLineChars="213"/>
        <w:rPr>
          <w:rFonts w:hAnsi="宋体" w:cs="宋体"/>
          <w:color w:val="auto"/>
          <w:sz w:val="22"/>
          <w:szCs w:val="22"/>
          <w:highlight w:val="none"/>
        </w:rPr>
      </w:pPr>
      <w:r>
        <w:rPr>
          <w:rFonts w:hint="eastAsia" w:hAnsi="宋体" w:cs="宋体"/>
          <w:color w:val="auto"/>
          <w:sz w:val="22"/>
          <w:szCs w:val="22"/>
          <w:highlight w:val="none"/>
        </w:rPr>
        <w:t>注：1、商品型号、数量、配置要求及使用单位地址等详见附件清单。</w:t>
      </w:r>
    </w:p>
    <w:p>
      <w:pPr>
        <w:spacing w:line="460" w:lineRule="exact"/>
        <w:ind w:firstLine="468" w:firstLineChars="213"/>
        <w:rPr>
          <w:rFonts w:ascii="宋体" w:hAnsi="宋体" w:cs="宋体"/>
          <w:color w:val="auto"/>
          <w:sz w:val="22"/>
          <w:szCs w:val="22"/>
          <w:highlight w:val="none"/>
        </w:rPr>
      </w:pPr>
      <w:r>
        <w:rPr>
          <w:rFonts w:hint="eastAsia" w:ascii="宋体" w:hAnsi="宋体" w:cs="宋体"/>
          <w:color w:val="auto"/>
          <w:sz w:val="22"/>
          <w:szCs w:val="22"/>
          <w:highlight w:val="none"/>
        </w:rPr>
        <w:t>　2、以上合同总价包含产品到达用户并能正常使用所需的一切费用。</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二、技术资料</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1、乙方应按招标文件规定的时间向甲方提供使用货物的有关技术资料。</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60" w:lineRule="exact"/>
        <w:ind w:firstLine="437" w:firstLineChars="198"/>
        <w:rPr>
          <w:rFonts w:hAnsi="宋体" w:cs="宋体"/>
          <w:b/>
          <w:snapToGrid w:val="0"/>
          <w:color w:val="auto"/>
          <w:sz w:val="22"/>
          <w:szCs w:val="22"/>
          <w:highlight w:val="none"/>
        </w:rPr>
      </w:pPr>
      <w:r>
        <w:rPr>
          <w:rFonts w:hint="eastAsia" w:hAnsi="宋体" w:cs="宋体"/>
          <w:b/>
          <w:snapToGrid w:val="0"/>
          <w:color w:val="auto"/>
          <w:sz w:val="22"/>
          <w:szCs w:val="22"/>
          <w:highlight w:val="none"/>
        </w:rPr>
        <w:t>三、知识产权</w:t>
      </w:r>
    </w:p>
    <w:p>
      <w:pPr>
        <w:pStyle w:val="23"/>
        <w:snapToGrid w:val="0"/>
        <w:spacing w:line="460" w:lineRule="exact"/>
        <w:ind w:firstLine="468" w:firstLineChars="213"/>
        <w:rPr>
          <w:rFonts w:hAnsi="宋体" w:cs="宋体"/>
          <w:bCs/>
          <w:snapToGrid w:val="0"/>
          <w:color w:val="auto"/>
          <w:sz w:val="22"/>
          <w:szCs w:val="22"/>
          <w:highlight w:val="none"/>
        </w:rPr>
      </w:pPr>
      <w:r>
        <w:rPr>
          <w:rFonts w:hint="eastAsia" w:hAnsi="宋体" w:cs="宋体"/>
          <w:snapToGrid w:val="0"/>
          <w:color w:val="auto"/>
          <w:sz w:val="22"/>
          <w:szCs w:val="22"/>
          <w:highlight w:val="none"/>
        </w:rPr>
        <w:t>乙方应保证所提供的货物或其任何一部分均不会侵犯任何第三方的知识产权</w:t>
      </w:r>
      <w:r>
        <w:rPr>
          <w:rFonts w:hint="eastAsia" w:hAnsi="宋体" w:cs="宋体"/>
          <w:bCs/>
          <w:snapToGrid w:val="0"/>
          <w:color w:val="auto"/>
          <w:sz w:val="22"/>
          <w:szCs w:val="22"/>
          <w:highlight w:val="none"/>
        </w:rPr>
        <w:t>。</w:t>
      </w:r>
    </w:p>
    <w:p>
      <w:pPr>
        <w:pStyle w:val="23"/>
        <w:snapToGrid w:val="0"/>
        <w:spacing w:line="460" w:lineRule="exact"/>
        <w:ind w:firstLine="437" w:firstLineChars="198"/>
        <w:rPr>
          <w:rFonts w:hAnsi="宋体" w:cs="宋体"/>
          <w:snapToGrid w:val="0"/>
          <w:color w:val="auto"/>
          <w:sz w:val="22"/>
          <w:szCs w:val="22"/>
          <w:highlight w:val="none"/>
          <w:u w:val="single"/>
        </w:rPr>
      </w:pPr>
      <w:r>
        <w:rPr>
          <w:rFonts w:hint="eastAsia" w:hAnsi="宋体" w:cs="宋体"/>
          <w:b/>
          <w:snapToGrid w:val="0"/>
          <w:color w:val="auto"/>
          <w:sz w:val="22"/>
          <w:szCs w:val="22"/>
          <w:highlight w:val="none"/>
        </w:rPr>
        <w:t>四、产权担保</w:t>
      </w:r>
    </w:p>
    <w:p>
      <w:pPr>
        <w:pStyle w:val="23"/>
        <w:snapToGrid w:val="0"/>
        <w:spacing w:line="460" w:lineRule="exact"/>
        <w:ind w:firstLine="468" w:firstLineChars="213"/>
        <w:rPr>
          <w:rFonts w:hAnsi="宋体" w:cs="宋体"/>
          <w:snapToGrid w:val="0"/>
          <w:color w:val="auto"/>
          <w:sz w:val="22"/>
          <w:szCs w:val="22"/>
          <w:highlight w:val="none"/>
          <w:u w:val="single"/>
        </w:rPr>
      </w:pPr>
      <w:r>
        <w:rPr>
          <w:rFonts w:hint="eastAsia" w:hAnsi="宋体" w:cs="宋体"/>
          <w:snapToGrid w:val="0"/>
          <w:color w:val="auto"/>
          <w:sz w:val="22"/>
          <w:szCs w:val="22"/>
          <w:highlight w:val="none"/>
        </w:rPr>
        <w:t>乙方保证所交付的货物的所有权完全属于乙方且无任何抵押、查封等产权瑕疵。</w:t>
      </w:r>
    </w:p>
    <w:p>
      <w:pPr>
        <w:pStyle w:val="23"/>
        <w:snapToGrid w:val="0"/>
        <w:spacing w:line="460" w:lineRule="exact"/>
        <w:ind w:firstLine="437" w:firstLineChars="198"/>
        <w:rPr>
          <w:rFonts w:hAnsi="宋体" w:cs="宋体"/>
          <w:b/>
          <w:snapToGrid w:val="0"/>
          <w:color w:val="auto"/>
          <w:sz w:val="22"/>
          <w:szCs w:val="22"/>
          <w:highlight w:val="none"/>
        </w:rPr>
      </w:pPr>
      <w:r>
        <w:rPr>
          <w:rFonts w:hint="eastAsia" w:hAnsi="宋体" w:cs="宋体"/>
          <w:b/>
          <w:snapToGrid w:val="0"/>
          <w:color w:val="auto"/>
          <w:sz w:val="22"/>
          <w:szCs w:val="22"/>
          <w:highlight w:val="none"/>
        </w:rPr>
        <w:t>五、转包或分包</w:t>
      </w:r>
    </w:p>
    <w:p>
      <w:pPr>
        <w:adjustRightInd w:val="0"/>
        <w:snapToGrid w:val="0"/>
        <w:spacing w:line="460" w:lineRule="exact"/>
        <w:ind w:firstLine="468" w:firstLineChars="213"/>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本合同范围的货物，应由乙方直接供应，不得转让他人供应，否则，甲方有权解除合同，没收履约保证金并追究乙方的违约责任。</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snapToGrid w:val="0"/>
          <w:color w:val="auto"/>
          <w:sz w:val="22"/>
          <w:szCs w:val="22"/>
          <w:highlight w:val="none"/>
        </w:rPr>
      </w:pPr>
      <w:r>
        <w:rPr>
          <w:rFonts w:hint="eastAsia" w:ascii="宋体" w:hAnsi="宋体" w:cs="宋体"/>
          <w:b/>
          <w:snapToGrid w:val="0"/>
          <w:color w:val="auto"/>
          <w:sz w:val="22"/>
          <w:szCs w:val="22"/>
          <w:highlight w:val="none"/>
        </w:rPr>
        <w:t>六、质保期</w:t>
      </w:r>
    </w:p>
    <w:p>
      <w:pPr>
        <w:widowControl/>
        <w:overflowPunct w:val="0"/>
        <w:autoSpaceDE w:val="0"/>
        <w:autoSpaceDN w:val="0"/>
        <w:adjustRightInd w:val="0"/>
        <w:snapToGrid w:val="0"/>
        <w:spacing w:line="460" w:lineRule="exact"/>
        <w:ind w:firstLine="440" w:firstLineChars="200"/>
        <w:jc w:val="left"/>
        <w:textAlignment w:val="baseline"/>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本项目所有产品应提供自货物验收合格并交付使用后</w:t>
      </w:r>
      <w:r>
        <w:rPr>
          <w:rFonts w:hint="eastAsia" w:ascii="宋体" w:hAnsi="宋体" w:cs="宋体"/>
          <w:snapToGrid w:val="0"/>
          <w:color w:val="auto"/>
          <w:sz w:val="22"/>
          <w:szCs w:val="22"/>
          <w:highlight w:val="none"/>
          <w:u w:val="single"/>
        </w:rPr>
        <w:t xml:space="preserve">    </w:t>
      </w:r>
      <w:r>
        <w:rPr>
          <w:rFonts w:hint="eastAsia" w:ascii="宋体" w:hAnsi="宋体" w:cs="宋体"/>
          <w:snapToGrid w:val="0"/>
          <w:color w:val="auto"/>
          <w:sz w:val="22"/>
          <w:szCs w:val="22"/>
          <w:highlight w:val="none"/>
        </w:rPr>
        <w:t>的现场免费质保期，如厂商本身承诺的产品质保期高于此要求的则按照厂商承诺执行。在质量保证期内，乙方对由于产品设计、工艺、材料、配套件的缺陷而造成的任何产品质量问题或故障负责。</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七、交货期、交货方式及交货地点</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1、 交货期：合同签订后</w:t>
      </w:r>
      <w:r>
        <w:rPr>
          <w:rFonts w:hint="eastAsia" w:ascii="宋体" w:hAnsi="宋体" w:cs="宋体"/>
          <w:bCs/>
          <w:snapToGrid w:val="0"/>
          <w:color w:val="auto"/>
          <w:sz w:val="22"/>
          <w:szCs w:val="22"/>
          <w:highlight w:val="none"/>
          <w:u w:val="single"/>
        </w:rPr>
        <w:t xml:space="preserve">    </w:t>
      </w:r>
      <w:r>
        <w:rPr>
          <w:rFonts w:hint="eastAsia" w:ascii="宋体" w:hAnsi="宋体" w:cs="宋体"/>
          <w:bCs/>
          <w:snapToGrid w:val="0"/>
          <w:color w:val="auto"/>
          <w:sz w:val="22"/>
          <w:szCs w:val="22"/>
          <w:highlight w:val="none"/>
        </w:rPr>
        <w:t>天内设备交付至采购人使用现场，并完成所供设备及安装调试提交一份完整的设备安装验收单或验收报告，由甲方进行验收。</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2、 交货方式：（1）现场交货：乙方负责办理运输和保险，将货物运抵甲方指定的现场并落地就位。有关运输和保险的一切费用由乙方承担。所有货物运抵现场的日期为交货日期。</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（2）在现场交货条件下，乙方在货物发运前</w:t>
      </w:r>
      <w:r>
        <w:rPr>
          <w:rFonts w:hint="eastAsia" w:ascii="宋体" w:hAnsi="宋体" w:cs="宋体"/>
          <w:bCs/>
          <w:snapToGrid w:val="0"/>
          <w:color w:val="auto"/>
          <w:sz w:val="22"/>
          <w:szCs w:val="22"/>
          <w:highlight w:val="none"/>
          <w:u w:val="single"/>
        </w:rPr>
        <w:t xml:space="preserve">    </w:t>
      </w:r>
      <w:r>
        <w:rPr>
          <w:rFonts w:hint="eastAsia" w:ascii="宋体" w:hAnsi="宋体" w:cs="宋体"/>
          <w:bCs/>
          <w:snapToGrid w:val="0"/>
          <w:color w:val="auto"/>
          <w:sz w:val="22"/>
          <w:szCs w:val="22"/>
          <w:highlight w:val="none"/>
        </w:rPr>
        <w:t>天，将要发运货物的合同号、货物名称、规格、数量、包装箱件数、重量、包装箱尺寸（长×宽×高）和货物的卸车，贮存的特殊要求以及运输工具名称以及启运日期，以传真形式通知甲方。</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（3）如因乙方延误将上述内容用传真形式通知甲方，由此引起的一切损失应由乙方承担</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
          <w:snapToGrid w:val="0"/>
          <w:color w:val="auto"/>
          <w:sz w:val="22"/>
          <w:szCs w:val="22"/>
          <w:highlight w:val="none"/>
        </w:rPr>
      </w:pPr>
      <w:r>
        <w:rPr>
          <w:rFonts w:hint="eastAsia" w:ascii="宋体" w:hAnsi="宋体" w:cs="宋体"/>
          <w:bCs/>
          <w:snapToGrid w:val="0"/>
          <w:color w:val="auto"/>
          <w:sz w:val="22"/>
          <w:szCs w:val="22"/>
          <w:highlight w:val="none"/>
        </w:rPr>
        <w:t>3、 交货地点：甲方指定地点。</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八、货款支付</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履约保证金：乙方在合同签订后，7个工作日内支付合同金额的1%作为履约保证金（</w:t>
      </w:r>
      <w:r>
        <w:rPr>
          <w:rFonts w:hint="eastAsia" w:ascii="宋体" w:hAnsi="宋体" w:cs="宋体"/>
          <w:color w:val="auto"/>
          <w:sz w:val="22"/>
          <w:szCs w:val="22"/>
          <w:highlight w:val="none"/>
        </w:rPr>
        <w:t>接受支票、汇票、本票、履约保函等多种非现金形式</w:t>
      </w:r>
      <w:r>
        <w:rPr>
          <w:rFonts w:hint="eastAsia" w:ascii="宋体" w:hAnsi="宋体" w:cs="宋体"/>
          <w:bCs/>
          <w:snapToGrid w:val="0"/>
          <w:color w:val="auto"/>
          <w:sz w:val="22"/>
          <w:szCs w:val="22"/>
          <w:highlight w:val="none"/>
        </w:rPr>
        <w:t>），合同期满履约验收通过后或合同解除后扣除供应商应承担的违约赔偿责任外，剩余部分返还供应商。</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支付方式：合同签订后7个工作日内，甲方向乙方支付合同总额的40%合同款作为预付款；全部设备供货完成后7个工作日内，甲方向乙方支付合同总额的50%合同款；设备安装、调试、验收合格后，甲方待收到乙方开具的正式发票后7</w:t>
      </w:r>
      <w:r>
        <w:rPr>
          <w:rFonts w:hint="eastAsia" w:ascii="宋体" w:hAnsi="宋体" w:cs="宋体"/>
          <w:bCs/>
          <w:snapToGrid w:val="0"/>
          <w:color w:val="auto"/>
          <w:sz w:val="22"/>
          <w:szCs w:val="22"/>
          <w:highlight w:val="none"/>
          <w:lang w:val="en-US" w:eastAsia="zh-CN"/>
        </w:rPr>
        <w:t>个</w:t>
      </w:r>
      <w:r>
        <w:rPr>
          <w:rFonts w:hint="eastAsia" w:ascii="宋体" w:hAnsi="宋体" w:cs="宋体"/>
          <w:bCs/>
          <w:snapToGrid w:val="0"/>
          <w:color w:val="auto"/>
          <w:sz w:val="22"/>
          <w:szCs w:val="22"/>
          <w:highlight w:val="none"/>
        </w:rPr>
        <w:t>工作日内向乙方支付剩余全部合同款。</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履约保证金的罚没：</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1、如乙方未能履行合同规定的任何义务，甲方有权从履约保证金中得到补偿。</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2、如果乙方毫无理由地拖延交货或拒绝履行合同规定的任何义务，履约保证金将被没收，并加收违约赔偿。</w:t>
      </w:r>
    </w:p>
    <w:p>
      <w:pPr>
        <w:adjustRightInd w:val="0"/>
        <w:snapToGrid w:val="0"/>
        <w:spacing w:line="460" w:lineRule="exact"/>
        <w:ind w:firstLine="470" w:firstLineChars="213"/>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九、税费</w:t>
      </w:r>
    </w:p>
    <w:p>
      <w:pPr>
        <w:adjustRightInd w:val="0"/>
        <w:snapToGrid w:val="0"/>
        <w:spacing w:line="460" w:lineRule="exact"/>
        <w:ind w:firstLine="468" w:firstLineChars="213"/>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本合同执行中相关的一切税费均由乙方负担。</w:t>
      </w:r>
    </w:p>
    <w:p>
      <w:pPr>
        <w:pStyle w:val="23"/>
        <w:snapToGrid w:val="0"/>
        <w:spacing w:line="460" w:lineRule="exact"/>
        <w:ind w:firstLine="437" w:firstLineChars="198"/>
        <w:rPr>
          <w:rFonts w:hAnsi="宋体" w:cs="宋体"/>
          <w:snapToGrid w:val="0"/>
          <w:color w:val="auto"/>
          <w:sz w:val="22"/>
          <w:szCs w:val="22"/>
          <w:highlight w:val="none"/>
        </w:rPr>
      </w:pPr>
      <w:r>
        <w:rPr>
          <w:rFonts w:hint="eastAsia" w:hAnsi="宋体" w:cs="宋体"/>
          <w:b/>
          <w:snapToGrid w:val="0"/>
          <w:color w:val="auto"/>
          <w:sz w:val="22"/>
          <w:szCs w:val="22"/>
          <w:highlight w:val="none"/>
        </w:rPr>
        <w:t>十、质量保证及售后服务</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1、乙方保证本合同中所供应的商品是最新生产的符合国家技术规格和质量标准的出厂原装合格产品。如发生所供商品与合同不符，甲方（使用方）有权拒收或退货，由此产生的一切责任和后果由乙方承担。</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 乙方提供的货物在质保期内因货物本身的质量问题发生故障，乙方应负责免费更换。对达不到技术要求者，根据实际情况，经双方协商，可按以下办法处理：</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⑴更换：由乙方承担所发生的全部费用。</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⑵贬值处理：由甲乙双方合议定价。</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⑶退货处理：乙方应退还甲方支付的合同款，同时应承担该货物的直接费用（运输、保险、检验、货款利息及银行手续费等）。</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3、 在质保期内，乙方应对货物出现的质量及安全问题负责处理解决并承担一切费用。</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4、上述的货物在质保期内免费保修，因人为因素出现的故障不在免费保修范围内。超过保修期的机器设备，终生维修，维修时只收部件成本费。</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十一、调试和验收</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 甲方对乙方提交的货物依据招标文件上的技术规格要求和国家有关质量标准进行现场验收。货到后，甲方需在五个工作日内验收。</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 乙方交货前应对产品作出全面检查和对验收文件进行整理，并列出清单，作为甲方收货验收和使用的技术条件依据，检验的结果应随货物交甲方。</w:t>
      </w:r>
    </w:p>
    <w:p>
      <w:pPr>
        <w:pStyle w:val="23"/>
        <w:snapToGrid w:val="0"/>
        <w:spacing w:line="460" w:lineRule="exact"/>
        <w:ind w:firstLine="468" w:firstLineChars="213"/>
        <w:rPr>
          <w:rFonts w:hAnsi="宋体" w:cs="宋体"/>
          <w:snapToGrid w:val="0"/>
          <w:color w:val="auto"/>
          <w:sz w:val="22"/>
          <w:szCs w:val="22"/>
          <w:highlight w:val="none"/>
          <w:u w:val="single"/>
        </w:rPr>
      </w:pPr>
      <w:r>
        <w:rPr>
          <w:rFonts w:hint="eastAsia" w:hAnsi="宋体" w:cs="宋体"/>
          <w:snapToGrid w:val="0"/>
          <w:color w:val="auto"/>
          <w:sz w:val="22"/>
          <w:szCs w:val="22"/>
          <w:highlight w:val="none"/>
        </w:rPr>
        <w:t>3、 甲方对乙方提供的货物在使用前进行调试时，乙方需负责安装并培训甲方的使用操作人员，并协助甲方一起调试，直到符合技术要求，甲方才做最终验收。</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4、 对技术复杂的货物，甲方应请国家认可的专业检测机构参与验收，并由其出具质量检测报告。</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5、 验收时乙方在现场，验收完毕后作出验收结果报告；验收费用由乙方负责。</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6、 验收办法根据《温州市政府采购履约验收办法（温财采〔2020〕6号）》的规定执行。</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十二、货物包装</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 乙方应在货物发运前对其进行满足运输距离、防潮、防震、防锈和防破损装卸等要求包装，以保证货物安全运达甲方指定地点。</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 使用说明书、质量检验证明书、随配附件和工具以及清单一并附于货物内。</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十三、违约责任</w:t>
      </w:r>
    </w:p>
    <w:p>
      <w:pPr>
        <w:pStyle w:val="23"/>
        <w:snapToGrid w:val="0"/>
        <w:spacing w:line="460" w:lineRule="exact"/>
        <w:ind w:left="1"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 甲方无正当理由拒收货物的，甲方向乙方偿付拒收货款总值的百分之五违约金。</w:t>
      </w:r>
    </w:p>
    <w:p>
      <w:pPr>
        <w:pStyle w:val="23"/>
        <w:snapToGrid w:val="0"/>
        <w:spacing w:line="460" w:lineRule="exact"/>
        <w:ind w:left="1"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 甲方无故逾期验收和办理货款支付手续的,甲方应按逾期付款总额每日万分之五向乙方支付违约金。</w:t>
      </w:r>
    </w:p>
    <w:p>
      <w:pPr>
        <w:pStyle w:val="23"/>
        <w:snapToGrid w:val="0"/>
        <w:spacing w:line="460" w:lineRule="exact"/>
        <w:ind w:left="1"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3"/>
        <w:snapToGrid w:val="0"/>
        <w:spacing w:line="460" w:lineRule="exact"/>
        <w:ind w:left="1"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十四、不可抗力事件处理</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 在合同有效期内，任何一方因不可抗力事件导致不能履行合同，则合同履行期可延长，其延长期与不可抗力影响期相同。</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 不可抗力事件发生后，应立即通知对方，并寄送有关权威机构出具的证明。</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3、 不可抗力事件延续120天以上，双方应通过友好协商，确定是否继续履行合同。</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十五、诉讼</w:t>
      </w:r>
    </w:p>
    <w:p>
      <w:pPr>
        <w:pStyle w:val="23"/>
        <w:snapToGrid w:val="0"/>
        <w:spacing w:line="460" w:lineRule="exact"/>
        <w:ind w:left="2"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双方在执行合同中所发生的一切争议，应通过协商解决。如协商不成，可向甲方所在地法院起诉。</w:t>
      </w:r>
    </w:p>
    <w:p>
      <w:pPr>
        <w:pStyle w:val="23"/>
        <w:snapToGrid w:val="0"/>
        <w:spacing w:line="460" w:lineRule="exact"/>
        <w:ind w:firstLine="470" w:firstLineChars="213"/>
        <w:rPr>
          <w:rFonts w:hAnsi="宋体" w:cs="宋体"/>
          <w:b/>
          <w:snapToGrid w:val="0"/>
          <w:color w:val="auto"/>
          <w:sz w:val="22"/>
          <w:szCs w:val="22"/>
          <w:highlight w:val="none"/>
        </w:rPr>
      </w:pPr>
      <w:r>
        <w:rPr>
          <w:rFonts w:hint="eastAsia" w:hAnsi="宋体" w:cs="宋体"/>
          <w:b/>
          <w:snapToGrid w:val="0"/>
          <w:color w:val="auto"/>
          <w:sz w:val="22"/>
          <w:szCs w:val="22"/>
          <w:highlight w:val="none"/>
        </w:rPr>
        <w:t>十六、合同生效及其它</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1、 合同经甲、乙双方签署并加盖单位公章后生效。</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2、合同执行中涉及采购资金和采购内容修改或补充的，须双方协商后并签书面补充协议，方可作为主合同不可分割的一部分。</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3、招标文件、投标响应文件与本合同具有同等法律效力。</w:t>
      </w:r>
    </w:p>
    <w:p>
      <w:pPr>
        <w:pStyle w:val="23"/>
        <w:snapToGrid w:val="0"/>
        <w:spacing w:line="460" w:lineRule="exact"/>
        <w:ind w:firstLine="440" w:firstLineChars="200"/>
        <w:rPr>
          <w:rFonts w:hAnsi="宋体" w:cs="宋体"/>
          <w:snapToGrid w:val="0"/>
          <w:color w:val="auto"/>
          <w:sz w:val="22"/>
          <w:szCs w:val="22"/>
          <w:highlight w:val="none"/>
        </w:rPr>
      </w:pPr>
      <w:r>
        <w:rPr>
          <w:rFonts w:hint="eastAsia" w:hAnsi="宋体" w:cs="宋体"/>
          <w:snapToGrid w:val="0"/>
          <w:color w:val="auto"/>
          <w:sz w:val="22"/>
          <w:szCs w:val="22"/>
          <w:highlight w:val="none"/>
        </w:rPr>
        <w:t>4、本合同未尽事宜，遵照《中华人民共和国民法典》有关条文执行。</w:t>
      </w:r>
    </w:p>
    <w:p>
      <w:pPr>
        <w:pStyle w:val="23"/>
        <w:snapToGrid w:val="0"/>
        <w:spacing w:line="46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5、本合同壹式伍份，具有同等法律效力，甲、乙双方各执两份，一份送至采购代理机构备案。</w:t>
      </w:r>
    </w:p>
    <w:p>
      <w:pPr>
        <w:pStyle w:val="23"/>
        <w:snapToGrid w:val="0"/>
        <w:spacing w:line="460" w:lineRule="exact"/>
        <w:ind w:firstLine="468" w:firstLineChars="213"/>
        <w:rPr>
          <w:rFonts w:hAnsi="宋体" w:cs="宋体"/>
          <w:snapToGrid w:val="0"/>
          <w:color w:val="auto"/>
          <w:sz w:val="22"/>
          <w:szCs w:val="22"/>
          <w:highlight w:val="none"/>
        </w:rPr>
      </w:pPr>
    </w:p>
    <w:p>
      <w:pPr>
        <w:pStyle w:val="23"/>
        <w:snapToGrid w:val="0"/>
        <w:spacing w:line="44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甲方（盖章）：                                 乙方（盖章）：</w:t>
      </w:r>
    </w:p>
    <w:p>
      <w:pPr>
        <w:pStyle w:val="23"/>
        <w:snapToGrid w:val="0"/>
        <w:spacing w:line="44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地址：                                         地址：</w:t>
      </w:r>
    </w:p>
    <w:p>
      <w:pPr>
        <w:pStyle w:val="23"/>
        <w:snapToGrid w:val="0"/>
        <w:spacing w:line="44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开户行：                                       开户行：</w:t>
      </w:r>
    </w:p>
    <w:p>
      <w:pPr>
        <w:pStyle w:val="23"/>
        <w:snapToGrid w:val="0"/>
        <w:spacing w:line="44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开户账号：                                     开户账号：</w:t>
      </w:r>
    </w:p>
    <w:p>
      <w:pPr>
        <w:pStyle w:val="23"/>
        <w:snapToGrid w:val="0"/>
        <w:spacing w:line="440" w:lineRule="exact"/>
        <w:ind w:firstLine="468" w:firstLineChars="213"/>
        <w:rPr>
          <w:rFonts w:hAnsi="宋体" w:cs="宋体"/>
          <w:snapToGrid w:val="0"/>
          <w:color w:val="auto"/>
          <w:sz w:val="22"/>
          <w:szCs w:val="22"/>
          <w:highlight w:val="none"/>
        </w:rPr>
      </w:pPr>
      <w:r>
        <w:rPr>
          <w:rFonts w:hint="eastAsia" w:hAnsi="宋体" w:cs="宋体"/>
          <w:snapToGrid w:val="0"/>
          <w:color w:val="auto"/>
          <w:sz w:val="22"/>
          <w:szCs w:val="22"/>
          <w:highlight w:val="none"/>
        </w:rPr>
        <w:t>法定（授权）代表人：                           法定（授权）代表人：</w:t>
      </w:r>
    </w:p>
    <w:p>
      <w:pPr>
        <w:spacing w:line="440" w:lineRule="exact"/>
        <w:ind w:firstLine="440" w:firstLineChars="200"/>
        <w:rPr>
          <w:rFonts w:ascii="宋体" w:hAnsi="宋体" w:cs="宋体"/>
          <w:color w:val="auto"/>
          <w:sz w:val="22"/>
          <w:szCs w:val="22"/>
          <w:highlight w:val="none"/>
        </w:rPr>
      </w:pPr>
      <w:r>
        <w:rPr>
          <w:rFonts w:hint="eastAsia" w:ascii="宋体" w:hAnsi="宋体" w:cs="宋体"/>
          <w:snapToGrid w:val="0"/>
          <w:color w:val="auto"/>
          <w:sz w:val="22"/>
          <w:szCs w:val="22"/>
          <w:highlight w:val="none"/>
        </w:rPr>
        <w:t>签订日期：     年   月   日                    签订日期：     年   月   日</w:t>
      </w:r>
    </w:p>
    <w:p>
      <w:pPr>
        <w:jc w:val="center"/>
        <w:rPr>
          <w:rFonts w:ascii="黑体" w:hAnsi="黑体" w:eastAsia="黑体"/>
          <w:color w:val="auto"/>
          <w:sz w:val="22"/>
          <w:szCs w:val="22"/>
          <w:highlight w:val="none"/>
        </w:rPr>
      </w:pPr>
    </w:p>
    <w:p>
      <w:pPr>
        <w:jc w:val="center"/>
        <w:rPr>
          <w:rFonts w:ascii="黑体" w:hAnsi="黑体" w:eastAsia="黑体"/>
          <w:color w:val="auto"/>
          <w:sz w:val="28"/>
          <w:szCs w:val="28"/>
          <w:highlight w:val="none"/>
        </w:rPr>
      </w:pPr>
    </w:p>
    <w:p>
      <w:pPr>
        <w:jc w:val="center"/>
        <w:rPr>
          <w:rFonts w:hAnsi="宋体" w:cs="宋体"/>
          <w:b/>
          <w:bCs/>
          <w:color w:val="auto"/>
          <w:sz w:val="28"/>
          <w:szCs w:val="28"/>
          <w:highlight w:val="none"/>
        </w:rPr>
      </w:pPr>
    </w:p>
    <w:p>
      <w:pPr>
        <w:spacing w:line="430" w:lineRule="exact"/>
        <w:jc w:val="center"/>
        <w:outlineLvl w:val="0"/>
        <w:rPr>
          <w:rFonts w:ascii="黑体" w:hAnsi="黑体" w:eastAsia="黑体"/>
          <w:bCs/>
          <w:color w:val="auto"/>
          <w:sz w:val="36"/>
          <w:szCs w:val="36"/>
          <w:highlight w:val="none"/>
        </w:rPr>
      </w:pPr>
      <w:r>
        <w:rPr>
          <w:rFonts w:hint="eastAsia" w:hAnsi="宋体" w:cs="宋体"/>
          <w:bCs/>
          <w:color w:val="auto"/>
          <w:sz w:val="28"/>
          <w:szCs w:val="28"/>
          <w:highlight w:val="none"/>
        </w:rPr>
        <w:br w:type="page"/>
      </w:r>
      <w:bookmarkEnd w:id="52"/>
      <w:bookmarkStart w:id="54" w:name="_Toc15818"/>
      <w:r>
        <w:rPr>
          <w:rFonts w:hint="eastAsia" w:ascii="黑体" w:hAnsi="黑体" w:eastAsia="黑体"/>
          <w:b/>
          <w:bCs/>
          <w:color w:val="auto"/>
          <w:kern w:val="44"/>
          <w:sz w:val="36"/>
          <w:szCs w:val="36"/>
          <w:highlight w:val="none"/>
        </w:rPr>
        <w:t>第四部分  附   件</w:t>
      </w:r>
      <w:bookmarkEnd w:id="53"/>
      <w:bookmarkEnd w:id="54"/>
    </w:p>
    <w:p>
      <w:pPr>
        <w:pStyle w:val="6"/>
        <w:spacing w:line="240" w:lineRule="auto"/>
        <w:rPr>
          <w:rFonts w:ascii="宋体" w:hAnsi="宋体" w:eastAsia="宋体" w:cs="宋体"/>
          <w:color w:val="auto"/>
          <w:sz w:val="24"/>
          <w:szCs w:val="24"/>
          <w:highlight w:val="none"/>
        </w:rPr>
      </w:pPr>
      <w:bookmarkStart w:id="55" w:name="_Toc230773784"/>
      <w:bookmarkStart w:id="56" w:name="_Toc15341"/>
      <w:r>
        <w:rPr>
          <w:rFonts w:hint="eastAsia" w:ascii="宋体" w:hAnsi="宋体" w:eastAsia="宋体" w:cs="宋体"/>
          <w:color w:val="auto"/>
          <w:sz w:val="24"/>
          <w:szCs w:val="24"/>
          <w:highlight w:val="none"/>
        </w:rPr>
        <w:t>附件一 投标函</w:t>
      </w:r>
      <w:bookmarkEnd w:id="55"/>
      <w:bookmarkEnd w:id="56"/>
    </w:p>
    <w:p>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浙江安防职业技术学院</w:t>
      </w:r>
    </w:p>
    <w:p>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pPr>
        <w:pStyle w:val="14"/>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pPr>
        <w:pStyle w:val="14"/>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pPr>
        <w:pStyle w:val="14"/>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pPr>
        <w:pStyle w:val="14"/>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pPr>
        <w:pStyle w:val="14"/>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（二）我方已详细研究了招标文件的所有内容包括修改书（如有）和所有已提供的参考资料以及有关附件，我方完全理解并同意放弃在此方面提出含糊意见或误解的一切权力；</w:t>
      </w:r>
    </w:p>
    <w:p>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pPr>
        <w:spacing w:line="440" w:lineRule="exact"/>
        <w:ind w:firstLine="435"/>
        <w:rPr>
          <w:rFonts w:ascii="宋体" w:hAnsi="宋体" w:cs="宋体"/>
          <w:color w:val="auto"/>
          <w:sz w:val="22"/>
          <w:szCs w:val="22"/>
          <w:highlight w:val="none"/>
        </w:rPr>
      </w:pPr>
    </w:p>
    <w:p>
      <w:pPr>
        <w:spacing w:line="440" w:lineRule="exact"/>
        <w:ind w:firstLine="4180" w:firstLineChars="1900"/>
        <w:rPr>
          <w:rFonts w:ascii="宋体" w:hAnsi="宋体" w:cs="宋体"/>
          <w:color w:val="auto"/>
          <w:sz w:val="22"/>
          <w:szCs w:val="22"/>
          <w:highlight w:val="none"/>
        </w:rPr>
      </w:pPr>
      <w:bookmarkStart w:id="57" w:name="_Toc195336280"/>
      <w:bookmarkStart w:id="58" w:name="_Toc218392089"/>
      <w:bookmarkStart w:id="59"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pPr>
        <w:spacing w:line="440" w:lineRule="exact"/>
        <w:ind w:firstLine="435"/>
        <w:rPr>
          <w:rFonts w:ascii="宋体" w:hAnsi="宋体" w:cs="宋体"/>
          <w:color w:val="auto"/>
          <w:sz w:val="22"/>
          <w:szCs w:val="22"/>
          <w:highlight w:val="none"/>
          <w:u w:val="single"/>
        </w:rPr>
      </w:pPr>
    </w:p>
    <w:p>
      <w:pPr>
        <w:spacing w:line="440" w:lineRule="exact"/>
        <w:ind w:firstLine="435"/>
        <w:rPr>
          <w:rFonts w:ascii="宋体" w:hAnsi="宋体" w:cs="宋体"/>
          <w:color w:val="auto"/>
          <w:sz w:val="22"/>
          <w:szCs w:val="22"/>
          <w:highlight w:val="none"/>
          <w:u w:val="single"/>
        </w:rPr>
      </w:pPr>
    </w:p>
    <w:p>
      <w:pPr>
        <w:spacing w:line="440" w:lineRule="exact"/>
        <w:ind w:firstLine="435"/>
        <w:rPr>
          <w:rFonts w:ascii="宋体" w:hAnsi="宋体" w:cs="宋体"/>
          <w:color w:val="auto"/>
          <w:sz w:val="22"/>
          <w:szCs w:val="22"/>
          <w:highlight w:val="none"/>
          <w:u w:val="single"/>
        </w:rPr>
      </w:pPr>
    </w:p>
    <w:p>
      <w:pPr>
        <w:pStyle w:val="6"/>
        <w:spacing w:line="240" w:lineRule="auto"/>
        <w:rPr>
          <w:rFonts w:ascii="宋体" w:hAnsi="宋体" w:eastAsia="宋体" w:cs="宋体"/>
          <w:color w:val="auto"/>
          <w:sz w:val="24"/>
          <w:szCs w:val="24"/>
          <w:highlight w:val="none"/>
        </w:rPr>
      </w:pPr>
      <w:bookmarkStart w:id="60" w:name="_Toc3054"/>
      <w:r>
        <w:rPr>
          <w:rFonts w:hint="eastAsia" w:ascii="宋体" w:hAnsi="宋体" w:eastAsia="宋体" w:cs="宋体"/>
          <w:color w:val="auto"/>
          <w:sz w:val="24"/>
          <w:szCs w:val="24"/>
          <w:highlight w:val="none"/>
        </w:rPr>
        <w:t>附件二</w:t>
      </w:r>
      <w:bookmarkEnd w:id="57"/>
      <w:bookmarkEnd w:id="58"/>
      <w:r>
        <w:rPr>
          <w:rFonts w:hint="eastAsia" w:ascii="宋体" w:hAnsi="宋体" w:eastAsia="宋体" w:cs="宋体"/>
          <w:color w:val="auto"/>
          <w:sz w:val="24"/>
          <w:szCs w:val="24"/>
          <w:highlight w:val="none"/>
        </w:rPr>
        <w:t xml:space="preserve"> 投标报价一览表</w:t>
      </w:r>
      <w:bookmarkEnd w:id="59"/>
      <w:bookmarkEnd w:id="60"/>
    </w:p>
    <w:p>
      <w:pPr>
        <w:pStyle w:val="3"/>
        <w:rPr>
          <w:color w:val="auto"/>
          <w:highlight w:val="none"/>
        </w:rPr>
      </w:pPr>
    </w:p>
    <w:p>
      <w:pPr>
        <w:spacing w:line="400" w:lineRule="exact"/>
        <w:jc w:val="center"/>
        <w:rPr>
          <w:rFonts w:ascii="宋体" w:hAnsi="宋体" w:cs="宋体"/>
          <w:b/>
          <w:bCs/>
          <w:color w:val="auto"/>
          <w:sz w:val="28"/>
          <w:szCs w:val="28"/>
          <w:highlight w:val="none"/>
        </w:rPr>
      </w:pPr>
      <w:bookmarkStart w:id="61" w:name="_Toc195336281"/>
      <w:bookmarkStart w:id="62" w:name="_Toc218392090"/>
      <w:bookmarkStart w:id="63" w:name="_Toc345161250"/>
      <w:bookmarkStart w:id="64" w:name="_Toc230773786"/>
      <w:bookmarkStart w:id="65" w:name="_Toc230773789"/>
      <w:r>
        <w:rPr>
          <w:rFonts w:hint="eastAsia" w:ascii="宋体" w:hAnsi="宋体" w:cs="宋体"/>
          <w:b/>
          <w:bCs/>
          <w:color w:val="auto"/>
          <w:sz w:val="28"/>
          <w:szCs w:val="28"/>
          <w:highlight w:val="none"/>
        </w:rPr>
        <w:t>投标报价一览表</w:t>
      </w:r>
    </w:p>
    <w:p>
      <w:pPr>
        <w:spacing w:line="380" w:lineRule="exact"/>
        <w:jc w:val="center"/>
        <w:rPr>
          <w:rFonts w:ascii="宋体" w:hAnsi="宋体" w:cs="宋体"/>
          <w:b/>
          <w:bCs/>
          <w:color w:val="auto"/>
          <w:sz w:val="28"/>
          <w:highlight w:val="none"/>
        </w:rPr>
      </w:pPr>
    </w:p>
    <w:p>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84"/>
        <w:gridCol w:w="595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007" w:type="pct"/>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项目名称</w:t>
            </w:r>
          </w:p>
        </w:tc>
        <w:tc>
          <w:tcPr>
            <w:tcW w:w="3022" w:type="pct"/>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投标报价</w:t>
            </w:r>
          </w:p>
        </w:tc>
        <w:tc>
          <w:tcPr>
            <w:tcW w:w="549" w:type="pct"/>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21" w:type="pct"/>
            <w:vMerge w:val="restar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007" w:type="pct"/>
            <w:vMerge w:val="restart"/>
            <w:vAlign w:val="center"/>
          </w:tcPr>
          <w:p>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安全防范系统建设与运维实训室</w:t>
            </w:r>
          </w:p>
        </w:tc>
        <w:tc>
          <w:tcPr>
            <w:tcW w:w="3022" w:type="pct"/>
            <w:vAlign w:val="center"/>
          </w:tcPr>
          <w:p>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小写：￥</w:t>
            </w:r>
          </w:p>
        </w:tc>
        <w:tc>
          <w:tcPr>
            <w:tcW w:w="549" w:type="pct"/>
            <w:vMerge w:val="restar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21" w:type="pct"/>
            <w:vMerge w:val="continue"/>
            <w:vAlign w:val="center"/>
          </w:tcPr>
          <w:p>
            <w:pPr>
              <w:spacing w:line="380" w:lineRule="exact"/>
              <w:jc w:val="center"/>
              <w:rPr>
                <w:rFonts w:ascii="宋体" w:hAnsi="宋体" w:cs="宋体"/>
                <w:color w:val="auto"/>
                <w:sz w:val="22"/>
                <w:szCs w:val="22"/>
                <w:highlight w:val="none"/>
              </w:rPr>
            </w:pPr>
          </w:p>
        </w:tc>
        <w:tc>
          <w:tcPr>
            <w:tcW w:w="1007" w:type="pct"/>
            <w:vMerge w:val="continue"/>
            <w:vAlign w:val="center"/>
          </w:tcPr>
          <w:p>
            <w:pPr>
              <w:spacing w:line="380" w:lineRule="exact"/>
              <w:jc w:val="center"/>
              <w:rPr>
                <w:rFonts w:ascii="宋体" w:hAnsi="宋体" w:cs="宋体"/>
                <w:color w:val="auto"/>
                <w:sz w:val="22"/>
                <w:szCs w:val="22"/>
                <w:highlight w:val="none"/>
              </w:rPr>
            </w:pPr>
          </w:p>
        </w:tc>
        <w:tc>
          <w:tcPr>
            <w:tcW w:w="3022" w:type="pct"/>
            <w:vAlign w:val="center"/>
          </w:tcPr>
          <w:p>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大写：人民币</w:t>
            </w:r>
          </w:p>
        </w:tc>
        <w:tc>
          <w:tcPr>
            <w:tcW w:w="549" w:type="pct"/>
            <w:vMerge w:val="continue"/>
            <w:vAlign w:val="center"/>
          </w:tcPr>
          <w:p>
            <w:pPr>
              <w:spacing w:line="380" w:lineRule="exact"/>
              <w:jc w:val="center"/>
              <w:rPr>
                <w:rFonts w:ascii="宋体" w:hAnsi="宋体"/>
                <w:bCs/>
                <w:color w:val="auto"/>
                <w:sz w:val="22"/>
                <w:szCs w:val="22"/>
                <w:highlight w:val="none"/>
              </w:rPr>
            </w:pPr>
          </w:p>
        </w:tc>
      </w:tr>
    </w:tbl>
    <w:p>
      <w:pPr>
        <w:spacing w:line="440" w:lineRule="exact"/>
        <w:ind w:left="528" w:leftChars="38" w:hanging="448" w:hangingChars="203"/>
        <w:rPr>
          <w:rFonts w:ascii="宋体" w:hAnsi="宋体" w:cs="宋体"/>
          <w:b/>
          <w:bCs/>
          <w:color w:val="auto"/>
          <w:sz w:val="22"/>
          <w:szCs w:val="22"/>
          <w:highlight w:val="none"/>
        </w:rPr>
      </w:pPr>
      <w:r>
        <w:rPr>
          <w:rFonts w:hint="eastAsia" w:ascii="宋体" w:hAnsi="宋体" w:cs="宋体"/>
          <w:b/>
          <w:bCs/>
          <w:color w:val="auto"/>
          <w:sz w:val="22"/>
          <w:szCs w:val="22"/>
          <w:highlight w:val="none"/>
        </w:rPr>
        <w:t>说明：</w:t>
      </w:r>
    </w:p>
    <w:p>
      <w:pPr>
        <w:spacing w:line="440" w:lineRule="exact"/>
        <w:ind w:left="521" w:leftChars="248" w:firstLine="216" w:firstLineChars="98"/>
        <w:rPr>
          <w:rFonts w:ascii="宋体" w:hAnsi="宋体"/>
          <w:b/>
          <w:bCs/>
          <w:color w:val="auto"/>
          <w:sz w:val="22"/>
          <w:szCs w:val="22"/>
          <w:highlight w:val="none"/>
        </w:rPr>
      </w:pPr>
      <w:r>
        <w:rPr>
          <w:rFonts w:hint="eastAsia" w:ascii="宋体" w:hAnsi="宋体"/>
          <w:b/>
          <w:bCs/>
          <w:color w:val="auto"/>
          <w:sz w:val="22"/>
          <w:szCs w:val="22"/>
          <w:highlight w:val="none"/>
        </w:rPr>
        <w:t>1.此栏内投标报价应与附件三“投标分项报价表”中相应总计价相一致；</w:t>
      </w:r>
    </w:p>
    <w:p>
      <w:pPr>
        <w:spacing w:line="440" w:lineRule="exact"/>
        <w:ind w:left="535" w:leftChars="-171" w:hanging="894" w:hangingChars="405"/>
        <w:rPr>
          <w:rFonts w:ascii="宋体" w:hAnsi="宋体"/>
          <w:b/>
          <w:bCs/>
          <w:color w:val="auto"/>
          <w:sz w:val="22"/>
          <w:szCs w:val="22"/>
          <w:highlight w:val="none"/>
        </w:rPr>
      </w:pPr>
      <w:r>
        <w:rPr>
          <w:rFonts w:hint="eastAsia" w:ascii="宋体" w:hAnsi="宋体"/>
          <w:b/>
          <w:bCs/>
          <w:color w:val="auto"/>
          <w:sz w:val="22"/>
          <w:szCs w:val="22"/>
          <w:highlight w:val="none"/>
        </w:rPr>
        <w:t xml:space="preserve">          2.总报价应包括采购代理服务费。</w:t>
      </w:r>
    </w:p>
    <w:p>
      <w:pPr>
        <w:spacing w:line="440" w:lineRule="exact"/>
        <w:ind w:left="481" w:leftChars="229" w:firstLine="221" w:firstLineChars="100"/>
        <w:rPr>
          <w:rFonts w:ascii="宋体" w:hAnsi="宋体"/>
          <w:b/>
          <w:bCs/>
          <w:color w:val="auto"/>
          <w:sz w:val="22"/>
          <w:szCs w:val="22"/>
          <w:highlight w:val="none"/>
        </w:rPr>
      </w:pPr>
      <w:r>
        <w:rPr>
          <w:rFonts w:hint="eastAsia" w:ascii="宋体" w:hAnsi="宋体"/>
          <w:b/>
          <w:bCs/>
          <w:color w:val="auto"/>
          <w:sz w:val="22"/>
          <w:szCs w:val="22"/>
          <w:highlight w:val="none"/>
        </w:rPr>
        <w:t>3.▲</w:t>
      </w:r>
      <w:r>
        <w:rPr>
          <w:rFonts w:hint="eastAsia" w:ascii="宋体" w:hAnsi="宋体"/>
          <w:b/>
          <w:bCs/>
          <w:color w:val="auto"/>
          <w:sz w:val="22"/>
          <w:szCs w:val="22"/>
          <w:highlight w:val="none"/>
          <w:u w:val="single"/>
        </w:rPr>
        <w:t>不按规定提供投标报价一览表的投标文件将被视为未实质性响应招标文件</w:t>
      </w:r>
      <w:r>
        <w:rPr>
          <w:rFonts w:hint="eastAsia" w:ascii="宋体" w:hAnsi="宋体"/>
          <w:b/>
          <w:bCs/>
          <w:color w:val="auto"/>
          <w:sz w:val="22"/>
          <w:szCs w:val="22"/>
          <w:highlight w:val="none"/>
        </w:rPr>
        <w:t>。</w:t>
      </w:r>
    </w:p>
    <w:p>
      <w:pPr>
        <w:spacing w:line="440" w:lineRule="exact"/>
        <w:ind w:firstLine="9460" w:firstLineChars="4300"/>
        <w:rPr>
          <w:rFonts w:ascii="宋体" w:hAnsi="宋体" w:cs="宋体"/>
          <w:color w:val="auto"/>
          <w:sz w:val="22"/>
          <w:szCs w:val="22"/>
          <w:highlight w:val="none"/>
        </w:rPr>
      </w:pPr>
    </w:p>
    <w:p>
      <w:pPr>
        <w:spacing w:line="440" w:lineRule="exact"/>
        <w:ind w:firstLine="9460" w:firstLineChars="4300"/>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pPr>
        <w:spacing w:line="440" w:lineRule="exact"/>
        <w:rPr>
          <w:rFonts w:ascii="宋体" w:hAnsi="宋体" w:cs="宋体"/>
          <w:color w:val="auto"/>
          <w:sz w:val="22"/>
          <w:szCs w:val="22"/>
          <w:highlight w:val="none"/>
        </w:rPr>
      </w:pPr>
    </w:p>
    <w:p>
      <w:pPr>
        <w:pStyle w:val="6"/>
        <w:spacing w:line="240" w:lineRule="auto"/>
        <w:rPr>
          <w:rFonts w:ascii="宋体" w:hAnsi="宋体" w:eastAsia="宋体"/>
          <w:color w:val="auto"/>
          <w:sz w:val="24"/>
          <w:szCs w:val="24"/>
          <w:highlight w:val="none"/>
        </w:rPr>
      </w:pPr>
      <w:bookmarkStart w:id="66" w:name="_Toc340922814"/>
      <w:r>
        <w:rPr>
          <w:rFonts w:ascii="宋体" w:hAnsi="宋体" w:eastAsia="宋体"/>
          <w:color w:val="auto"/>
          <w:sz w:val="24"/>
          <w:szCs w:val="24"/>
          <w:highlight w:val="none"/>
        </w:rPr>
        <w:br w:type="page"/>
      </w:r>
      <w:bookmarkStart w:id="67" w:name="_Toc25759"/>
      <w:r>
        <w:rPr>
          <w:rFonts w:hint="eastAsia" w:ascii="宋体" w:hAnsi="宋体" w:eastAsia="宋体"/>
          <w:color w:val="auto"/>
          <w:sz w:val="24"/>
          <w:szCs w:val="24"/>
          <w:highlight w:val="none"/>
        </w:rPr>
        <w:t>附件三 投标分项报价表</w:t>
      </w:r>
      <w:bookmarkEnd w:id="66"/>
      <w:bookmarkEnd w:id="67"/>
    </w:p>
    <w:p>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718"/>
        <w:gridCol w:w="1070"/>
        <w:gridCol w:w="587"/>
        <w:gridCol w:w="877"/>
        <w:gridCol w:w="1264"/>
        <w:gridCol w:w="877"/>
        <w:gridCol w:w="97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1379"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项目内容</w:t>
            </w:r>
          </w:p>
        </w:tc>
        <w:tc>
          <w:tcPr>
            <w:tcW w:w="543"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型号和规格</w:t>
            </w:r>
          </w:p>
        </w:tc>
        <w:tc>
          <w:tcPr>
            <w:tcW w:w="29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数量</w:t>
            </w:r>
          </w:p>
        </w:tc>
        <w:tc>
          <w:tcPr>
            <w:tcW w:w="445"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产地</w:t>
            </w:r>
          </w:p>
        </w:tc>
        <w:tc>
          <w:tcPr>
            <w:tcW w:w="641"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制造商名称</w:t>
            </w:r>
          </w:p>
        </w:tc>
        <w:tc>
          <w:tcPr>
            <w:tcW w:w="445"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单价（元）</w:t>
            </w:r>
          </w:p>
        </w:tc>
        <w:tc>
          <w:tcPr>
            <w:tcW w:w="494"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合价（元）</w:t>
            </w:r>
          </w:p>
        </w:tc>
        <w:tc>
          <w:tcPr>
            <w:tcW w:w="423"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主要货物（根据供货清单详细分项列出）(含税)</w:t>
            </w:r>
          </w:p>
        </w:tc>
        <w:tc>
          <w:tcPr>
            <w:tcW w:w="543" w:type="pct"/>
            <w:vAlign w:val="center"/>
          </w:tcPr>
          <w:p>
            <w:pPr>
              <w:spacing w:line="380" w:lineRule="exact"/>
              <w:jc w:val="center"/>
              <w:rPr>
                <w:rFonts w:ascii="宋体" w:hAnsi="宋体"/>
                <w:bCs/>
                <w:color w:val="auto"/>
                <w:sz w:val="22"/>
                <w:szCs w:val="22"/>
                <w:highlight w:val="none"/>
              </w:rPr>
            </w:pPr>
          </w:p>
        </w:tc>
        <w:tc>
          <w:tcPr>
            <w:tcW w:w="298"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641"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494" w:type="pct"/>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2</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配套设备及材料(含税) （逐项列出）</w:t>
            </w:r>
          </w:p>
        </w:tc>
        <w:tc>
          <w:tcPr>
            <w:tcW w:w="543" w:type="pct"/>
            <w:vAlign w:val="center"/>
          </w:tcPr>
          <w:p>
            <w:pPr>
              <w:spacing w:line="380" w:lineRule="exact"/>
              <w:jc w:val="center"/>
              <w:rPr>
                <w:rFonts w:ascii="宋体" w:hAnsi="宋体"/>
                <w:bCs/>
                <w:color w:val="auto"/>
                <w:sz w:val="22"/>
                <w:szCs w:val="22"/>
                <w:highlight w:val="none"/>
              </w:rPr>
            </w:pPr>
          </w:p>
        </w:tc>
        <w:tc>
          <w:tcPr>
            <w:tcW w:w="298"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641"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494" w:type="pct"/>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3</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随机易损、易耗备品备件、专用工具（如有）</w:t>
            </w:r>
          </w:p>
        </w:tc>
        <w:tc>
          <w:tcPr>
            <w:tcW w:w="543" w:type="pct"/>
            <w:vAlign w:val="center"/>
          </w:tcPr>
          <w:p>
            <w:pPr>
              <w:spacing w:line="380" w:lineRule="exact"/>
              <w:jc w:val="center"/>
              <w:rPr>
                <w:rFonts w:ascii="宋体" w:hAnsi="宋体"/>
                <w:bCs/>
                <w:color w:val="auto"/>
                <w:sz w:val="22"/>
                <w:szCs w:val="22"/>
                <w:highlight w:val="none"/>
              </w:rPr>
            </w:pPr>
          </w:p>
        </w:tc>
        <w:tc>
          <w:tcPr>
            <w:tcW w:w="298"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641" w:type="pct"/>
            <w:vAlign w:val="center"/>
          </w:tcPr>
          <w:p>
            <w:pPr>
              <w:spacing w:line="380" w:lineRule="exact"/>
              <w:jc w:val="center"/>
              <w:rPr>
                <w:rFonts w:ascii="宋体" w:hAnsi="宋体"/>
                <w:bCs/>
                <w:color w:val="auto"/>
                <w:sz w:val="22"/>
                <w:szCs w:val="22"/>
                <w:highlight w:val="none"/>
              </w:rPr>
            </w:pPr>
          </w:p>
        </w:tc>
        <w:tc>
          <w:tcPr>
            <w:tcW w:w="445" w:type="pct"/>
            <w:vAlign w:val="center"/>
          </w:tcPr>
          <w:p>
            <w:pPr>
              <w:spacing w:line="380" w:lineRule="exact"/>
              <w:jc w:val="center"/>
              <w:rPr>
                <w:rFonts w:ascii="宋体" w:hAnsi="宋体"/>
                <w:bCs/>
                <w:color w:val="auto"/>
                <w:sz w:val="22"/>
                <w:szCs w:val="22"/>
                <w:highlight w:val="none"/>
              </w:rPr>
            </w:pPr>
          </w:p>
        </w:tc>
        <w:tc>
          <w:tcPr>
            <w:tcW w:w="494" w:type="pct"/>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4</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安装、调试、验收费（含第三方验收费）</w:t>
            </w:r>
          </w:p>
        </w:tc>
        <w:tc>
          <w:tcPr>
            <w:tcW w:w="2868" w:type="pct"/>
            <w:gridSpan w:val="6"/>
            <w:vAlign w:val="center"/>
          </w:tcPr>
          <w:p>
            <w:pPr>
              <w:spacing w:line="400" w:lineRule="exact"/>
              <w:jc w:val="center"/>
              <w:rPr>
                <w:rFonts w:ascii="宋体" w:hAnsi="宋体"/>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5</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人员培训费、技术服务费（如有）</w:t>
            </w:r>
          </w:p>
        </w:tc>
        <w:tc>
          <w:tcPr>
            <w:tcW w:w="2868" w:type="pct"/>
            <w:gridSpan w:val="6"/>
            <w:vAlign w:val="center"/>
          </w:tcPr>
          <w:p>
            <w:pPr>
              <w:spacing w:line="400" w:lineRule="exact"/>
              <w:jc w:val="center"/>
              <w:rPr>
                <w:rFonts w:ascii="宋体" w:hAnsi="宋体"/>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6</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868" w:type="pct"/>
            <w:gridSpan w:val="6"/>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highlight w:val="none"/>
              </w:rPr>
            </w:pPr>
            <w:r>
              <w:rPr>
                <w:rFonts w:ascii="宋体" w:hAnsi="宋体"/>
                <w:bCs/>
                <w:color w:val="auto"/>
                <w:sz w:val="22"/>
                <w:szCs w:val="22"/>
                <w:highlight w:val="none"/>
              </w:rPr>
              <w:t>7</w:t>
            </w:r>
          </w:p>
        </w:tc>
        <w:tc>
          <w:tcPr>
            <w:tcW w:w="1379" w:type="pct"/>
            <w:vAlign w:val="center"/>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售后服务</w:t>
            </w:r>
          </w:p>
        </w:tc>
        <w:tc>
          <w:tcPr>
            <w:tcW w:w="2868" w:type="pct"/>
            <w:gridSpan w:val="6"/>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highlight w:val="none"/>
              </w:rPr>
            </w:pPr>
            <w:r>
              <w:rPr>
                <w:rFonts w:ascii="宋体" w:hAnsi="宋体"/>
                <w:bCs/>
                <w:color w:val="auto"/>
                <w:sz w:val="22"/>
                <w:szCs w:val="22"/>
                <w:highlight w:val="none"/>
              </w:rPr>
              <w:t>8</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采购代理服务费</w:t>
            </w:r>
          </w:p>
        </w:tc>
        <w:tc>
          <w:tcPr>
            <w:tcW w:w="2868" w:type="pct"/>
            <w:gridSpan w:val="6"/>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9</w:t>
            </w:r>
          </w:p>
        </w:tc>
        <w:tc>
          <w:tcPr>
            <w:tcW w:w="1379" w:type="pct"/>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其他</w:t>
            </w:r>
          </w:p>
        </w:tc>
        <w:tc>
          <w:tcPr>
            <w:tcW w:w="2868" w:type="pct"/>
            <w:gridSpan w:val="6"/>
            <w:vAlign w:val="center"/>
          </w:tcPr>
          <w:p>
            <w:pPr>
              <w:spacing w:line="380" w:lineRule="exact"/>
              <w:jc w:val="center"/>
              <w:rPr>
                <w:rFonts w:ascii="宋体" w:hAnsi="宋体"/>
                <w:bCs/>
                <w:color w:val="auto"/>
                <w:sz w:val="22"/>
                <w:szCs w:val="22"/>
                <w:highlight w:val="none"/>
              </w:rPr>
            </w:pPr>
          </w:p>
        </w:tc>
        <w:tc>
          <w:tcPr>
            <w:tcW w:w="423" w:type="pct"/>
            <w:vAlign w:val="center"/>
          </w:tcPr>
          <w:p>
            <w:pPr>
              <w:spacing w:line="380" w:lineRule="exact"/>
              <w:jc w:val="center"/>
              <w:rPr>
                <w:rFonts w:ascii="宋体" w:hAnsi="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7" w:type="pct"/>
            <w:gridSpan w:val="2"/>
            <w:vAlign w:val="center"/>
          </w:tcPr>
          <w:p>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总   计   价</w:t>
            </w:r>
          </w:p>
        </w:tc>
        <w:tc>
          <w:tcPr>
            <w:tcW w:w="3292" w:type="pct"/>
            <w:gridSpan w:val="7"/>
            <w:vAlign w:val="center"/>
          </w:tcPr>
          <w:p>
            <w:pPr>
              <w:spacing w:line="380" w:lineRule="exact"/>
              <w:jc w:val="center"/>
              <w:rPr>
                <w:rFonts w:ascii="宋体" w:hAnsi="宋体"/>
                <w:bCs/>
                <w:color w:val="auto"/>
                <w:sz w:val="22"/>
                <w:szCs w:val="22"/>
                <w:highlight w:val="none"/>
              </w:rPr>
            </w:pPr>
          </w:p>
        </w:tc>
      </w:tr>
    </w:tbl>
    <w:p>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pPr>
        <w:pStyle w:val="19"/>
        <w:ind w:firstLine="560"/>
        <w:rPr>
          <w:rFonts w:ascii="仿宋_GB2312"/>
          <w:color w:val="auto"/>
          <w:sz w:val="28"/>
          <w:szCs w:val="28"/>
          <w:highlight w:val="none"/>
        </w:rPr>
      </w:pP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pPr>
        <w:spacing w:line="380" w:lineRule="exact"/>
        <w:ind w:firstLine="9460" w:firstLineChars="4300"/>
        <w:rPr>
          <w:rFonts w:ascii="宋体" w:hAnsi="宋体" w:cs="宋体"/>
          <w:color w:val="auto"/>
          <w:sz w:val="22"/>
          <w:szCs w:val="22"/>
          <w:highlight w:val="none"/>
        </w:rPr>
      </w:pPr>
    </w:p>
    <w:p>
      <w:pPr>
        <w:pStyle w:val="6"/>
        <w:spacing w:line="240" w:lineRule="auto"/>
        <w:rPr>
          <w:rFonts w:ascii="宋体" w:hAnsi="宋体" w:cs="宋体"/>
          <w:color w:val="auto"/>
          <w:sz w:val="24"/>
          <w:highlight w:val="none"/>
        </w:rPr>
      </w:pPr>
      <w:r>
        <w:rPr>
          <w:rFonts w:hint="eastAsia" w:ascii="宋体" w:hAnsi="宋体" w:cs="宋体"/>
          <w:color w:val="auto"/>
          <w:sz w:val="22"/>
          <w:szCs w:val="22"/>
          <w:highlight w:val="none"/>
        </w:rPr>
        <w:br w:type="page"/>
      </w:r>
      <w:bookmarkEnd w:id="61"/>
      <w:bookmarkEnd w:id="62"/>
      <w:bookmarkEnd w:id="63"/>
      <w:bookmarkEnd w:id="64"/>
      <w:bookmarkStart w:id="68" w:name="_Toc18592"/>
      <w:r>
        <w:rPr>
          <w:rFonts w:hint="eastAsia" w:ascii="宋体" w:hAnsi="宋体" w:eastAsia="宋体"/>
          <w:color w:val="auto"/>
          <w:sz w:val="24"/>
          <w:szCs w:val="24"/>
          <w:highlight w:val="none"/>
        </w:rPr>
        <w:t>附件四 资格证明文件</w:t>
      </w:r>
      <w:bookmarkEnd w:id="65"/>
      <w:bookmarkEnd w:id="68"/>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（1）法定代表人身份证明法定代表人、单位负责人或自然人本人的身份证明（适用于法定代表人、单位负责人或者自然人本人代表投标人参加投标）</w:t>
      </w:r>
    </w:p>
    <w:p>
      <w:pPr>
        <w:autoSpaceDE w:val="0"/>
        <w:autoSpaceDN w:val="0"/>
        <w:adjustRightInd w:val="0"/>
        <w:rPr>
          <w:rFonts w:ascii="宋体" w:hAnsi="宋体" w:cs="宋体"/>
          <w:color w:val="auto"/>
          <w:sz w:val="22"/>
          <w:szCs w:val="22"/>
          <w:highlight w:val="none"/>
        </w:rPr>
      </w:pP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pPr>
        <w:autoSpaceDE w:val="0"/>
        <w:autoSpaceDN w:val="0"/>
        <w:adjustRightInd w:val="0"/>
        <w:spacing w:line="440" w:lineRule="exact"/>
        <w:rPr>
          <w:rFonts w:ascii="宋体" w:hAnsi="宋体" w:cs="宋体"/>
          <w:color w:val="auto"/>
          <w:sz w:val="22"/>
          <w:szCs w:val="22"/>
          <w:highlight w:val="none"/>
        </w:rPr>
      </w:pPr>
    </w:p>
    <w:p>
      <w:pPr>
        <w:autoSpaceDE w:val="0"/>
        <w:autoSpaceDN w:val="0"/>
        <w:adjustRightInd w:val="0"/>
        <w:spacing w:line="440" w:lineRule="exact"/>
        <w:rPr>
          <w:rFonts w:ascii="宋体" w:hAnsi="宋体" w:cs="宋体"/>
          <w:color w:val="auto"/>
          <w:sz w:val="22"/>
          <w:szCs w:val="22"/>
          <w:highlight w:val="none"/>
        </w:rPr>
      </w:pPr>
    </w:p>
    <w:p>
      <w:pPr>
        <w:autoSpaceDE w:val="0"/>
        <w:autoSpaceDN w:val="0"/>
        <w:adjustRightInd w:val="0"/>
        <w:spacing w:line="440" w:lineRule="exact"/>
        <w:rPr>
          <w:rFonts w:ascii="宋体" w:hAnsi="宋体" w:cs="宋体"/>
          <w:color w:val="auto"/>
          <w:sz w:val="22"/>
          <w:szCs w:val="22"/>
          <w:highlight w:val="none"/>
        </w:rPr>
      </w:pPr>
    </w:p>
    <w:p>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autoSpaceDE w:val="0"/>
        <w:autoSpaceDN w:val="0"/>
        <w:adjustRightInd w:val="0"/>
        <w:jc w:val="left"/>
        <w:rPr>
          <w:rFonts w:ascii="宋体" w:hAnsi="宋体" w:cs="宋体"/>
          <w:color w:val="auto"/>
          <w:sz w:val="22"/>
          <w:szCs w:val="22"/>
          <w:highlight w:val="none"/>
        </w:rPr>
      </w:pPr>
    </w:p>
    <w:p>
      <w:pPr>
        <w:spacing w:line="380" w:lineRule="exact"/>
        <w:jc w:val="center"/>
        <w:rPr>
          <w:rFonts w:ascii="宋体" w:hAnsi="宋体" w:cs="宋体"/>
          <w:b/>
          <w:color w:val="auto"/>
          <w:sz w:val="24"/>
          <w:highlight w:val="none"/>
        </w:rPr>
      </w:pPr>
    </w:p>
    <w:p>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pPr>
        <w:spacing w:line="380" w:lineRule="exact"/>
        <w:rPr>
          <w:rFonts w:ascii="宋体" w:hAnsi="宋体" w:cs="宋体"/>
          <w:b/>
          <w:color w:val="auto"/>
          <w:sz w:val="24"/>
          <w:highlight w:val="none"/>
        </w:rPr>
      </w:pPr>
    </w:p>
    <w:tbl>
      <w:tblPr>
        <w:tblStyle w:val="36"/>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pPr>
        <w:spacing w:line="460" w:lineRule="exact"/>
        <w:rPr>
          <w:rFonts w:ascii="宋体" w:hAnsi="宋体" w:cs="宋体"/>
          <w:color w:val="auto"/>
          <w:sz w:val="22"/>
          <w:szCs w:val="22"/>
          <w:highlight w:val="none"/>
        </w:rPr>
      </w:pPr>
    </w:p>
    <w:p>
      <w:pPr>
        <w:spacing w:line="460" w:lineRule="exact"/>
        <w:rPr>
          <w:rFonts w:ascii="宋体" w:hAnsi="宋体" w:cs="宋体"/>
          <w:b/>
          <w:color w:val="auto"/>
          <w:sz w:val="24"/>
          <w:highlight w:val="none"/>
        </w:rPr>
      </w:pPr>
      <w:r>
        <w:rPr>
          <w:rFonts w:hint="eastAsia" w:ascii="宋体" w:hAnsi="宋体" w:cs="宋体"/>
          <w:b/>
          <w:color w:val="auto"/>
          <w:sz w:val="24"/>
          <w:highlight w:val="none"/>
        </w:rPr>
        <w:t>浙江安防职业技术学院：</w:t>
      </w:r>
    </w:p>
    <w:p>
      <w:pPr>
        <w:spacing w:line="440" w:lineRule="exact"/>
        <w:rPr>
          <w:rFonts w:ascii="宋体" w:hAnsi="宋体" w:cs="宋体"/>
          <w:color w:val="auto"/>
          <w:sz w:val="22"/>
          <w:szCs w:val="22"/>
          <w:highlight w:val="none"/>
          <w:u w:val="single"/>
        </w:rPr>
      </w:pPr>
    </w:p>
    <w:p>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pPr>
        <w:spacing w:line="440" w:lineRule="exact"/>
        <w:ind w:firstLine="2955"/>
        <w:rPr>
          <w:rFonts w:ascii="宋体" w:hAnsi="宋体" w:cs="宋体"/>
          <w:color w:val="auto"/>
          <w:sz w:val="22"/>
          <w:szCs w:val="22"/>
          <w:highlight w:val="none"/>
        </w:rPr>
      </w:pPr>
    </w:p>
    <w:p>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pPr>
        <w:spacing w:line="440" w:lineRule="exact"/>
        <w:ind w:firstLine="220" w:firstLineChars="100"/>
        <w:rPr>
          <w:rFonts w:ascii="宋体" w:hAnsi="宋体" w:cs="宋体"/>
          <w:color w:val="auto"/>
          <w:sz w:val="22"/>
          <w:szCs w:val="22"/>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pPr>
        <w:spacing w:line="440" w:lineRule="exact"/>
        <w:rPr>
          <w:rFonts w:ascii="宋体" w:hAnsi="宋体" w:cs="宋体"/>
          <w:b/>
          <w:bCs/>
          <w:color w:val="auto"/>
          <w:sz w:val="22"/>
          <w:szCs w:val="22"/>
          <w:highlight w:val="none"/>
        </w:rPr>
      </w:pPr>
    </w:p>
    <w:p>
      <w:pPr>
        <w:spacing w:line="440" w:lineRule="exact"/>
        <w:rPr>
          <w:rFonts w:ascii="宋体" w:hAnsi="宋体" w:cs="宋体"/>
          <w:b/>
          <w:color w:val="auto"/>
          <w:sz w:val="24"/>
          <w:highlight w:val="none"/>
        </w:rPr>
        <w:sectPr>
          <w:footerReference r:id="rId8" w:type="default"/>
          <w:pgSz w:w="11906" w:h="16838"/>
          <w:pgMar w:top="1134" w:right="1134" w:bottom="1134" w:left="1134" w:header="851" w:footer="992" w:gutter="0"/>
          <w:cols w:space="720" w:num="1"/>
          <w:docGrid w:linePitch="312" w:charSpace="0"/>
        </w:sectPr>
      </w:pPr>
    </w:p>
    <w:p>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符合参加政府采购活动应当具备的一般条件的承诺函</w:t>
      </w:r>
    </w:p>
    <w:p>
      <w:pPr>
        <w:pStyle w:val="3"/>
        <w:rPr>
          <w:color w:val="auto"/>
          <w:highlight w:val="none"/>
        </w:rPr>
      </w:pPr>
    </w:p>
    <w:p>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浙江安防职业技术学院、温州正风招标代理有限公司：</w:t>
      </w:r>
    </w:p>
    <w:p>
      <w:pPr>
        <w:widowControl/>
        <w:adjustRightInd w:val="0"/>
        <w:snapToGrid w:val="0"/>
        <w:spacing w:line="440" w:lineRule="exact"/>
        <w:ind w:firstLine="440" w:firstLineChars="200"/>
        <w:jc w:val="left"/>
        <w:rPr>
          <w:rFonts w:ascii="宋体" w:hAnsi="宋体" w:cs="Arial"/>
          <w:color w:val="auto"/>
          <w:sz w:val="22"/>
          <w:szCs w:val="22"/>
          <w:highlight w:val="none"/>
        </w:rPr>
      </w:pPr>
    </w:p>
    <w:p>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政府采购活动，郑重承诺：</w:t>
      </w:r>
    </w:p>
    <w:p>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pPr>
        <w:snapToGrid w:val="0"/>
        <w:spacing w:line="360" w:lineRule="auto"/>
        <w:ind w:firstLine="440" w:firstLineChars="200"/>
        <w:rPr>
          <w:rFonts w:ascii="宋体" w:hAnsi="宋体" w:cs="仿宋_GB2312"/>
          <w:color w:val="auto"/>
          <w:sz w:val="22"/>
          <w:szCs w:val="22"/>
          <w:highlight w:val="none"/>
        </w:rPr>
      </w:pPr>
    </w:p>
    <w:p>
      <w:pPr>
        <w:snapToGrid w:val="0"/>
        <w:spacing w:line="360" w:lineRule="auto"/>
        <w:ind w:firstLine="440" w:firstLineChars="200"/>
        <w:rPr>
          <w:rFonts w:ascii="宋体" w:hAnsi="宋体" w:cs="仿宋_GB2312"/>
          <w:color w:val="auto"/>
          <w:sz w:val="22"/>
          <w:szCs w:val="22"/>
          <w:highlight w:val="none"/>
        </w:rPr>
      </w:pPr>
    </w:p>
    <w:p>
      <w:pPr>
        <w:snapToGrid w:val="0"/>
        <w:spacing w:line="360" w:lineRule="auto"/>
        <w:ind w:firstLine="440" w:firstLineChars="200"/>
        <w:rPr>
          <w:rFonts w:ascii="宋体" w:hAnsi="宋体" w:cs="仿宋_GB2312"/>
          <w:color w:val="auto"/>
          <w:sz w:val="22"/>
          <w:szCs w:val="22"/>
          <w:highlight w:val="none"/>
        </w:rPr>
      </w:pPr>
    </w:p>
    <w:p>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pPr>
        <w:pStyle w:val="3"/>
        <w:rPr>
          <w:rFonts w:ascii="宋体" w:hAnsi="宋体"/>
          <w:color w:val="auto"/>
          <w:sz w:val="22"/>
          <w:szCs w:val="22"/>
          <w:highlight w:val="none"/>
        </w:rPr>
      </w:pPr>
    </w:p>
    <w:p>
      <w:pPr>
        <w:pStyle w:val="88"/>
        <w:rPr>
          <w:rFonts w:hAnsi="宋体"/>
          <w:color w:val="auto"/>
          <w:sz w:val="22"/>
          <w:szCs w:val="22"/>
          <w:highlight w:val="none"/>
        </w:rPr>
      </w:pPr>
    </w:p>
    <w:p>
      <w:pPr>
        <w:rPr>
          <w:rFonts w:ascii="宋体" w:hAnsi="宋体"/>
          <w:color w:val="auto"/>
          <w:sz w:val="22"/>
          <w:szCs w:val="22"/>
          <w:highlight w:val="none"/>
        </w:rPr>
      </w:pPr>
    </w:p>
    <w:p>
      <w:pPr>
        <w:pStyle w:val="3"/>
        <w:rPr>
          <w:rFonts w:ascii="宋体" w:hAnsi="宋体"/>
          <w:color w:val="auto"/>
          <w:sz w:val="22"/>
          <w:szCs w:val="22"/>
          <w:highlight w:val="none"/>
        </w:rPr>
      </w:pPr>
    </w:p>
    <w:p>
      <w:pPr>
        <w:pStyle w:val="88"/>
        <w:rPr>
          <w:rFonts w:hAnsi="宋体"/>
          <w:color w:val="auto"/>
          <w:sz w:val="22"/>
          <w:szCs w:val="22"/>
          <w:highlight w:val="none"/>
        </w:rPr>
      </w:pPr>
    </w:p>
    <w:p>
      <w:pPr>
        <w:rPr>
          <w:rFonts w:ascii="宋体" w:hAnsi="宋体"/>
          <w:color w:val="auto"/>
          <w:sz w:val="22"/>
          <w:szCs w:val="22"/>
          <w:highlight w:val="none"/>
        </w:rPr>
      </w:pPr>
    </w:p>
    <w:p>
      <w:pPr>
        <w:pStyle w:val="3"/>
        <w:rPr>
          <w:rFonts w:ascii="宋体" w:hAnsi="宋体"/>
          <w:color w:val="auto"/>
          <w:sz w:val="22"/>
          <w:szCs w:val="22"/>
          <w:highlight w:val="none"/>
        </w:rPr>
      </w:pPr>
    </w:p>
    <w:p>
      <w:pPr>
        <w:pStyle w:val="88"/>
        <w:rPr>
          <w:color w:val="auto"/>
          <w:highlight w:val="none"/>
        </w:rPr>
      </w:pPr>
    </w:p>
    <w:p>
      <w:pPr>
        <w:rPr>
          <w:rFonts w:ascii="宋体" w:hAnsi="宋体" w:cs="宋体"/>
          <w:b/>
          <w:color w:val="auto"/>
          <w:sz w:val="24"/>
          <w:highlight w:val="none"/>
        </w:rPr>
      </w:pPr>
    </w:p>
    <w:p>
      <w:pPr>
        <w:spacing w:line="380" w:lineRule="exact"/>
        <w:jc w:val="center"/>
        <w:rPr>
          <w:rFonts w:ascii="宋体" w:hAnsi="宋体" w:cs="宋体"/>
          <w:b/>
          <w:color w:val="auto"/>
          <w:sz w:val="24"/>
          <w:highlight w:val="none"/>
        </w:rPr>
      </w:pPr>
      <w:bookmarkStart w:id="69" w:name="_Toc184281694"/>
      <w:bookmarkStart w:id="70" w:name="_Toc218392091"/>
      <w:bookmarkStart w:id="71" w:name="_Toc230773787"/>
      <w:bookmarkStart w:id="72" w:name="_Toc184281693"/>
    </w:p>
    <w:p>
      <w:pPr>
        <w:pStyle w:val="6"/>
        <w:spacing w:line="240" w:lineRule="auto"/>
        <w:rPr>
          <w:rFonts w:ascii="宋体" w:hAnsi="宋体" w:eastAsia="宋体" w:cs="宋体"/>
          <w:color w:val="auto"/>
          <w:sz w:val="24"/>
          <w:szCs w:val="24"/>
          <w:highlight w:val="none"/>
        </w:rPr>
      </w:pPr>
      <w:bookmarkStart w:id="73" w:name="_Toc14804"/>
      <w:r>
        <w:rPr>
          <w:rFonts w:hint="eastAsia" w:ascii="宋体" w:hAnsi="宋体" w:eastAsia="宋体" w:cs="宋体"/>
          <w:color w:val="auto"/>
          <w:sz w:val="24"/>
          <w:szCs w:val="24"/>
          <w:highlight w:val="none"/>
        </w:rPr>
        <w:t>附件</w:t>
      </w:r>
      <w:bookmarkEnd w:id="69"/>
      <w:bookmarkEnd w:id="70"/>
      <w:bookmarkEnd w:id="71"/>
      <w:r>
        <w:rPr>
          <w:rFonts w:hint="eastAsia" w:ascii="宋体" w:hAnsi="宋体" w:eastAsia="宋体" w:cs="宋体"/>
          <w:color w:val="auto"/>
          <w:sz w:val="24"/>
          <w:szCs w:val="24"/>
          <w:highlight w:val="none"/>
        </w:rPr>
        <w:t>五 商务条款、技术规格偏离表</w:t>
      </w:r>
      <w:bookmarkEnd w:id="73"/>
    </w:p>
    <w:p>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highlight w:val="none"/>
              </w:rPr>
            </w:pPr>
          </w:p>
        </w:tc>
      </w:tr>
    </w:tbl>
    <w:p>
      <w:pPr>
        <w:pStyle w:val="23"/>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pStyle w:val="3"/>
        <w:rPr>
          <w:color w:val="auto"/>
          <w:highlight w:val="none"/>
        </w:rPr>
      </w:pPr>
    </w:p>
    <w:p>
      <w:pPr>
        <w:pStyle w:val="6"/>
        <w:spacing w:line="240" w:lineRule="auto"/>
        <w:rPr>
          <w:rFonts w:ascii="宋体" w:hAnsi="宋体" w:eastAsia="宋体" w:cs="宋体"/>
          <w:color w:val="auto"/>
          <w:sz w:val="24"/>
          <w:szCs w:val="24"/>
          <w:highlight w:val="none"/>
        </w:rPr>
      </w:pPr>
      <w:bookmarkStart w:id="74" w:name="_Toc6210"/>
      <w:r>
        <w:rPr>
          <w:rFonts w:hint="eastAsia" w:ascii="宋体" w:hAnsi="宋体" w:eastAsia="宋体" w:cs="宋体"/>
          <w:color w:val="auto"/>
          <w:sz w:val="24"/>
          <w:szCs w:val="24"/>
          <w:highlight w:val="none"/>
        </w:rPr>
        <w:t xml:space="preserve">附件六 </w:t>
      </w:r>
      <w:r>
        <w:rPr>
          <w:rFonts w:hint="eastAsia" w:ascii="宋体" w:hAnsi="宋体" w:eastAsia="宋体"/>
          <w:color w:val="auto"/>
          <w:sz w:val="24"/>
          <w:szCs w:val="24"/>
          <w:highlight w:val="none"/>
        </w:rPr>
        <w:t>货物成套供货清单</w:t>
      </w:r>
      <w:bookmarkEnd w:id="74"/>
    </w:p>
    <w:p>
      <w:pPr>
        <w:numPr>
          <w:ilvl w:val="0"/>
          <w:numId w:val="1"/>
        </w:num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货物成套供货清单（或详细配置清单）</w:t>
      </w:r>
    </w:p>
    <w:p>
      <w:pPr>
        <w:spacing w:line="44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26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98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品牌、规格型号</w:t>
            </w:r>
          </w:p>
        </w:tc>
        <w:tc>
          <w:tcPr>
            <w:tcW w:w="72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单位</w:t>
            </w:r>
          </w:p>
        </w:tc>
        <w:tc>
          <w:tcPr>
            <w:tcW w:w="90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144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w:t>
            </w:r>
          </w:p>
        </w:tc>
        <w:tc>
          <w:tcPr>
            <w:tcW w:w="144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制造商</w:t>
            </w:r>
          </w:p>
        </w:tc>
        <w:tc>
          <w:tcPr>
            <w:tcW w:w="1080" w:type="dxa"/>
            <w:shd w:val="clear" w:color="auto" w:fill="D9D9D9"/>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highlight w:val="none"/>
              </w:rPr>
            </w:pPr>
          </w:p>
        </w:tc>
        <w:tc>
          <w:tcPr>
            <w:tcW w:w="1260" w:type="dxa"/>
            <w:vAlign w:val="center"/>
          </w:tcPr>
          <w:p>
            <w:pPr>
              <w:spacing w:line="380" w:lineRule="exact"/>
              <w:jc w:val="center"/>
              <w:rPr>
                <w:rFonts w:ascii="宋体" w:hAnsi="宋体"/>
                <w:b/>
                <w:bCs/>
                <w:color w:val="auto"/>
                <w:sz w:val="22"/>
                <w:szCs w:val="22"/>
                <w:highlight w:val="none"/>
              </w:rPr>
            </w:pPr>
          </w:p>
        </w:tc>
        <w:tc>
          <w:tcPr>
            <w:tcW w:w="1980" w:type="dxa"/>
            <w:vAlign w:val="center"/>
          </w:tcPr>
          <w:p>
            <w:pPr>
              <w:spacing w:line="380" w:lineRule="exact"/>
              <w:jc w:val="center"/>
              <w:rPr>
                <w:rFonts w:ascii="宋体" w:hAnsi="宋体"/>
                <w:b/>
                <w:bCs/>
                <w:color w:val="auto"/>
                <w:sz w:val="22"/>
                <w:szCs w:val="22"/>
                <w:highlight w:val="none"/>
              </w:rPr>
            </w:pPr>
          </w:p>
        </w:tc>
        <w:tc>
          <w:tcPr>
            <w:tcW w:w="720" w:type="dxa"/>
            <w:vAlign w:val="center"/>
          </w:tcPr>
          <w:p>
            <w:pPr>
              <w:spacing w:line="380" w:lineRule="exact"/>
              <w:jc w:val="center"/>
              <w:rPr>
                <w:rFonts w:ascii="宋体" w:hAnsi="宋体"/>
                <w:b/>
                <w:bCs/>
                <w:color w:val="auto"/>
                <w:sz w:val="22"/>
                <w:szCs w:val="22"/>
                <w:highlight w:val="none"/>
              </w:rPr>
            </w:pPr>
          </w:p>
        </w:tc>
        <w:tc>
          <w:tcPr>
            <w:tcW w:w="90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440" w:type="dxa"/>
            <w:vAlign w:val="center"/>
          </w:tcPr>
          <w:p>
            <w:pPr>
              <w:spacing w:line="380" w:lineRule="exact"/>
              <w:jc w:val="center"/>
              <w:rPr>
                <w:rFonts w:ascii="宋体" w:hAnsi="宋体"/>
                <w:b/>
                <w:bCs/>
                <w:color w:val="auto"/>
                <w:sz w:val="22"/>
                <w:szCs w:val="22"/>
                <w:highlight w:val="none"/>
              </w:rPr>
            </w:pPr>
          </w:p>
        </w:tc>
        <w:tc>
          <w:tcPr>
            <w:tcW w:w="1080" w:type="dxa"/>
            <w:vAlign w:val="center"/>
          </w:tcPr>
          <w:p>
            <w:pPr>
              <w:spacing w:line="380" w:lineRule="exact"/>
              <w:jc w:val="center"/>
              <w:rPr>
                <w:rFonts w:ascii="宋体" w:hAnsi="宋体"/>
                <w:b/>
                <w:bCs/>
                <w:color w:val="auto"/>
                <w:sz w:val="22"/>
                <w:szCs w:val="22"/>
                <w:highlight w:val="none"/>
              </w:rPr>
            </w:pPr>
          </w:p>
        </w:tc>
      </w:tr>
    </w:tbl>
    <w:p>
      <w:pPr>
        <w:spacing w:line="380" w:lineRule="exact"/>
        <w:ind w:firstLine="5963" w:firstLineChars="2700"/>
        <w:rPr>
          <w:rFonts w:ascii="宋体" w:hAnsi="宋体"/>
          <w:b/>
          <w:bCs/>
          <w:color w:val="auto"/>
          <w:sz w:val="22"/>
          <w:szCs w:val="22"/>
          <w:highlight w:val="none"/>
        </w:rPr>
      </w:pP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（2）随机备品备件、易损易耗件和专用工具清单（如有）</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328"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470"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型号规格</w:t>
            </w:r>
          </w:p>
        </w:tc>
        <w:tc>
          <w:tcPr>
            <w:tcW w:w="931"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2340"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原产地/制造商</w:t>
            </w:r>
          </w:p>
        </w:tc>
        <w:tc>
          <w:tcPr>
            <w:tcW w:w="1570" w:type="dxa"/>
            <w:vAlign w:val="center"/>
          </w:tcPr>
          <w:p>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highlight w:val="none"/>
              </w:rPr>
            </w:pPr>
          </w:p>
        </w:tc>
        <w:tc>
          <w:tcPr>
            <w:tcW w:w="2328" w:type="dxa"/>
            <w:vAlign w:val="center"/>
          </w:tcPr>
          <w:p>
            <w:pPr>
              <w:spacing w:line="380" w:lineRule="exact"/>
              <w:jc w:val="center"/>
              <w:rPr>
                <w:rFonts w:ascii="宋体" w:hAnsi="宋体"/>
                <w:b/>
                <w:bCs/>
                <w:color w:val="auto"/>
                <w:sz w:val="22"/>
                <w:szCs w:val="22"/>
                <w:highlight w:val="none"/>
              </w:rPr>
            </w:pPr>
          </w:p>
        </w:tc>
        <w:tc>
          <w:tcPr>
            <w:tcW w:w="1470" w:type="dxa"/>
            <w:vAlign w:val="center"/>
          </w:tcPr>
          <w:p>
            <w:pPr>
              <w:spacing w:line="380" w:lineRule="exact"/>
              <w:jc w:val="center"/>
              <w:rPr>
                <w:rFonts w:ascii="宋体" w:hAnsi="宋体"/>
                <w:b/>
                <w:bCs/>
                <w:color w:val="auto"/>
                <w:sz w:val="22"/>
                <w:szCs w:val="22"/>
                <w:highlight w:val="none"/>
              </w:rPr>
            </w:pPr>
          </w:p>
        </w:tc>
        <w:tc>
          <w:tcPr>
            <w:tcW w:w="931" w:type="dxa"/>
            <w:vAlign w:val="center"/>
          </w:tcPr>
          <w:p>
            <w:pPr>
              <w:spacing w:line="380" w:lineRule="exact"/>
              <w:jc w:val="center"/>
              <w:rPr>
                <w:rFonts w:ascii="宋体" w:hAnsi="宋体"/>
                <w:b/>
                <w:bCs/>
                <w:color w:val="auto"/>
                <w:sz w:val="22"/>
                <w:szCs w:val="22"/>
                <w:highlight w:val="none"/>
              </w:rPr>
            </w:pPr>
          </w:p>
        </w:tc>
        <w:tc>
          <w:tcPr>
            <w:tcW w:w="2340" w:type="dxa"/>
            <w:vAlign w:val="center"/>
          </w:tcPr>
          <w:p>
            <w:pPr>
              <w:spacing w:line="380" w:lineRule="exact"/>
              <w:jc w:val="center"/>
              <w:rPr>
                <w:rFonts w:ascii="宋体" w:hAnsi="宋体"/>
                <w:b/>
                <w:bCs/>
                <w:color w:val="auto"/>
                <w:sz w:val="22"/>
                <w:szCs w:val="22"/>
                <w:highlight w:val="none"/>
              </w:rPr>
            </w:pPr>
          </w:p>
        </w:tc>
        <w:tc>
          <w:tcPr>
            <w:tcW w:w="1570" w:type="dxa"/>
            <w:vAlign w:val="center"/>
          </w:tcPr>
          <w:p>
            <w:pPr>
              <w:spacing w:line="380" w:lineRule="exact"/>
              <w:jc w:val="center"/>
              <w:rPr>
                <w:rFonts w:ascii="宋体" w:hAnsi="宋体"/>
                <w:b/>
                <w:bCs/>
                <w:color w:val="auto"/>
                <w:sz w:val="22"/>
                <w:szCs w:val="22"/>
                <w:highlight w:val="none"/>
              </w:rPr>
            </w:pPr>
          </w:p>
        </w:tc>
      </w:tr>
    </w:tbl>
    <w:p>
      <w:pPr>
        <w:spacing w:line="440" w:lineRule="exact"/>
        <w:jc w:val="left"/>
        <w:rPr>
          <w:rFonts w:ascii="宋体" w:hAnsi="宋体"/>
          <w:b/>
          <w:bCs/>
          <w:color w:val="auto"/>
          <w:sz w:val="22"/>
          <w:szCs w:val="22"/>
          <w:highlight w:val="none"/>
        </w:rPr>
      </w:pPr>
      <w:r>
        <w:rPr>
          <w:rFonts w:hint="eastAsia" w:ascii="宋体" w:hAnsi="宋体"/>
          <w:b/>
          <w:bCs/>
          <w:color w:val="auto"/>
          <w:sz w:val="22"/>
          <w:szCs w:val="22"/>
          <w:highlight w:val="none"/>
        </w:rPr>
        <w:t>注：投标人可按以上表格形式进行复制、附在技术标内。</w:t>
      </w:r>
    </w:p>
    <w:p>
      <w:pPr>
        <w:spacing w:line="440" w:lineRule="exact"/>
        <w:jc w:val="left"/>
        <w:rPr>
          <w:rFonts w:ascii="宋体" w:hAnsi="宋体"/>
          <w:b/>
          <w:bCs/>
          <w:color w:val="auto"/>
          <w:sz w:val="22"/>
          <w:szCs w:val="22"/>
          <w:highlight w:val="none"/>
        </w:rPr>
      </w:pP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spacing w:line="440" w:lineRule="exact"/>
        <w:ind w:firstLine="4400" w:firstLineChars="2000"/>
        <w:rPr>
          <w:rFonts w:ascii="宋体" w:hAnsi="宋体" w:cs="宋体"/>
          <w:color w:val="auto"/>
          <w:sz w:val="22"/>
          <w:szCs w:val="22"/>
          <w:highlight w:val="none"/>
        </w:rPr>
        <w:sectPr>
          <w:headerReference r:id="rId9" w:type="default"/>
          <w:headerReference r:id="rId10" w:type="even"/>
          <w:pgSz w:w="11906" w:h="16838"/>
          <w:pgMar w:top="1134" w:right="1134" w:bottom="1134" w:left="1134" w:header="851" w:footer="992" w:gutter="0"/>
          <w:cols w:space="720" w:num="1"/>
          <w:docGrid w:linePitch="312" w:charSpace="0"/>
        </w:sectPr>
      </w:pPr>
    </w:p>
    <w:p>
      <w:pPr>
        <w:pStyle w:val="6"/>
        <w:spacing w:line="240" w:lineRule="auto"/>
        <w:rPr>
          <w:rFonts w:ascii="宋体" w:hAnsi="宋体" w:eastAsia="宋体" w:cs="宋体"/>
          <w:color w:val="auto"/>
          <w:sz w:val="24"/>
          <w:szCs w:val="24"/>
          <w:highlight w:val="none"/>
        </w:rPr>
      </w:pPr>
      <w:bookmarkStart w:id="75" w:name="_Toc2501"/>
      <w:bookmarkStart w:id="76" w:name="_Toc460707936"/>
      <w:bookmarkStart w:id="77" w:name="_Toc405195141"/>
      <w:r>
        <w:rPr>
          <w:rFonts w:hint="eastAsia" w:ascii="宋体" w:hAnsi="宋体" w:eastAsia="宋体" w:cs="宋体"/>
          <w:color w:val="auto"/>
          <w:sz w:val="24"/>
          <w:szCs w:val="24"/>
          <w:highlight w:val="none"/>
        </w:rPr>
        <w:t>附件七 同类项目业绩一览表</w:t>
      </w:r>
      <w:bookmarkEnd w:id="75"/>
      <w:bookmarkEnd w:id="76"/>
    </w:p>
    <w:p>
      <w:pPr>
        <w:spacing w:line="440" w:lineRule="exact"/>
        <w:rPr>
          <w:rFonts w:ascii="宋体" w:hAnsi="宋体"/>
          <w:b/>
          <w:bCs/>
          <w:color w:val="auto"/>
          <w:sz w:val="24"/>
          <w:highlight w:val="none"/>
        </w:rPr>
      </w:pPr>
    </w:p>
    <w:p>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pPr>
        <w:spacing w:line="380" w:lineRule="exact"/>
        <w:ind w:left="-357" w:leftChars="-170" w:firstLine="216" w:firstLineChars="98"/>
        <w:rPr>
          <w:rFonts w:ascii="宋体" w:hAnsi="宋体" w:cs="宋体"/>
          <w:b/>
          <w:bCs/>
          <w:color w:val="auto"/>
          <w:sz w:val="22"/>
          <w:szCs w:val="22"/>
          <w:highlight w:val="none"/>
        </w:rPr>
      </w:pPr>
    </w:p>
    <w:p>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highlight w:val="none"/>
              </w:rPr>
            </w:pPr>
          </w:p>
        </w:tc>
        <w:tc>
          <w:tcPr>
            <w:tcW w:w="1115" w:type="pct"/>
            <w:vAlign w:val="center"/>
          </w:tcPr>
          <w:p>
            <w:pPr>
              <w:spacing w:line="380" w:lineRule="exact"/>
              <w:jc w:val="center"/>
              <w:rPr>
                <w:rFonts w:ascii="宋体" w:hAnsi="宋体" w:cs="宋体"/>
                <w:b/>
                <w:bCs/>
                <w:color w:val="auto"/>
                <w:sz w:val="22"/>
                <w:szCs w:val="22"/>
                <w:highlight w:val="none"/>
              </w:rPr>
            </w:pPr>
          </w:p>
        </w:tc>
        <w:tc>
          <w:tcPr>
            <w:tcW w:w="832" w:type="pct"/>
            <w:vAlign w:val="center"/>
          </w:tcPr>
          <w:p>
            <w:pPr>
              <w:spacing w:line="380" w:lineRule="exact"/>
              <w:jc w:val="center"/>
              <w:rPr>
                <w:rFonts w:ascii="宋体" w:hAnsi="宋体" w:cs="宋体"/>
                <w:b/>
                <w:bCs/>
                <w:color w:val="auto"/>
                <w:sz w:val="22"/>
                <w:szCs w:val="22"/>
                <w:highlight w:val="none"/>
              </w:rPr>
            </w:pPr>
          </w:p>
        </w:tc>
        <w:tc>
          <w:tcPr>
            <w:tcW w:w="641" w:type="pct"/>
            <w:vAlign w:val="center"/>
          </w:tcPr>
          <w:p>
            <w:pPr>
              <w:spacing w:line="380" w:lineRule="exact"/>
              <w:jc w:val="center"/>
              <w:rPr>
                <w:rFonts w:ascii="宋体" w:hAnsi="宋体" w:cs="宋体"/>
                <w:b/>
                <w:bCs/>
                <w:color w:val="auto"/>
                <w:sz w:val="22"/>
                <w:szCs w:val="22"/>
                <w:highlight w:val="none"/>
              </w:rPr>
            </w:pPr>
          </w:p>
        </w:tc>
        <w:tc>
          <w:tcPr>
            <w:tcW w:w="684" w:type="pct"/>
            <w:vAlign w:val="center"/>
          </w:tcPr>
          <w:p>
            <w:pPr>
              <w:spacing w:line="380" w:lineRule="exact"/>
              <w:jc w:val="center"/>
              <w:rPr>
                <w:rFonts w:ascii="宋体" w:hAnsi="宋体" w:cs="宋体"/>
                <w:b/>
                <w:bCs/>
                <w:color w:val="auto"/>
                <w:sz w:val="22"/>
                <w:szCs w:val="22"/>
                <w:highlight w:val="none"/>
              </w:rPr>
            </w:pPr>
          </w:p>
        </w:tc>
        <w:tc>
          <w:tcPr>
            <w:tcW w:w="1331" w:type="pct"/>
            <w:vAlign w:val="center"/>
          </w:tcPr>
          <w:p>
            <w:pPr>
              <w:spacing w:line="380" w:lineRule="exact"/>
              <w:jc w:val="center"/>
              <w:rPr>
                <w:rFonts w:ascii="宋体" w:hAnsi="宋体" w:cs="宋体"/>
                <w:b/>
                <w:bCs/>
                <w:color w:val="auto"/>
                <w:sz w:val="22"/>
                <w:szCs w:val="22"/>
                <w:highlight w:val="none"/>
              </w:rPr>
            </w:pPr>
          </w:p>
        </w:tc>
      </w:tr>
    </w:tbl>
    <w:p>
      <w:pPr>
        <w:spacing w:line="440" w:lineRule="exact"/>
        <w:rPr>
          <w:rFonts w:ascii="宋体" w:hAnsi="宋体" w:cs="宋体"/>
          <w:b/>
          <w:color w:val="auto"/>
          <w:sz w:val="22"/>
          <w:szCs w:val="22"/>
          <w:highlight w:val="none"/>
        </w:rPr>
      </w:pPr>
      <w:bookmarkStart w:id="78" w:name="_Toc54034498"/>
      <w:bookmarkStart w:id="79" w:name="_Toc469730741"/>
      <w:bookmarkStart w:id="80" w:name="_Toc480204650"/>
      <w:bookmarkStart w:id="81" w:name="_Toc82417917"/>
      <w:bookmarkStart w:id="82" w:name="_Toc13603237"/>
      <w:r>
        <w:rPr>
          <w:rFonts w:hint="eastAsia" w:ascii="宋体" w:hAnsi="宋体" w:cs="宋体"/>
          <w:b/>
          <w:color w:val="auto"/>
          <w:sz w:val="22"/>
          <w:szCs w:val="22"/>
          <w:highlight w:val="none"/>
        </w:rPr>
        <w:t>注：根据商务技术评分要求提供证明材料。</w:t>
      </w:r>
    </w:p>
    <w:p>
      <w:pPr>
        <w:tabs>
          <w:tab w:val="left" w:pos="720"/>
          <w:tab w:val="left" w:pos="1260"/>
          <w:tab w:val="left" w:pos="5355"/>
        </w:tabs>
        <w:spacing w:line="430" w:lineRule="exact"/>
        <w:rPr>
          <w:rFonts w:ascii="宋体" w:hAnsi="宋体" w:cs="宋体"/>
          <w:bCs/>
          <w:color w:val="auto"/>
          <w:sz w:val="22"/>
          <w:szCs w:val="22"/>
          <w:highlight w:val="none"/>
        </w:rPr>
      </w:pPr>
    </w:p>
    <w:p>
      <w:pPr>
        <w:spacing w:line="440" w:lineRule="exact"/>
        <w:ind w:firstLine="4400" w:firstLineChars="2000"/>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ind w:firstLine="4400" w:firstLineChars="2000"/>
        <w:rPr>
          <w:rFonts w:ascii="宋体" w:hAnsi="宋体" w:cs="宋体"/>
          <w:color w:val="auto"/>
          <w:sz w:val="22"/>
          <w:szCs w:val="22"/>
          <w:highlight w:val="none"/>
        </w:rPr>
      </w:pPr>
    </w:p>
    <w:p>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bookmarkEnd w:id="78"/>
    <w:bookmarkEnd w:id="79"/>
    <w:bookmarkEnd w:id="80"/>
    <w:bookmarkEnd w:id="81"/>
    <w:bookmarkEnd w:id="82"/>
    <w:p>
      <w:pPr>
        <w:pStyle w:val="88"/>
        <w:rPr>
          <w:color w:val="auto"/>
          <w:highlight w:val="none"/>
        </w:rPr>
      </w:pPr>
    </w:p>
    <w:p>
      <w:pPr>
        <w:pStyle w:val="6"/>
        <w:spacing w:line="240" w:lineRule="auto"/>
        <w:rPr>
          <w:rFonts w:ascii="宋体" w:hAnsi="宋体" w:eastAsia="宋体"/>
          <w:color w:val="auto"/>
          <w:sz w:val="24"/>
          <w:szCs w:val="24"/>
          <w:highlight w:val="none"/>
        </w:rPr>
      </w:pPr>
      <w:r>
        <w:rPr>
          <w:rFonts w:hint="eastAsia" w:ascii="宋体" w:hAnsi="宋体" w:cs="宋体"/>
          <w:color w:val="auto"/>
          <w:sz w:val="22"/>
          <w:szCs w:val="22"/>
          <w:highlight w:val="none"/>
        </w:rPr>
        <w:br w:type="page"/>
      </w:r>
      <w:bookmarkStart w:id="83" w:name="_Toc40035657"/>
      <w:bookmarkStart w:id="84" w:name="_Toc524273184"/>
      <w:bookmarkStart w:id="85" w:name="_Toc26121"/>
      <w:bookmarkStart w:id="86" w:name="_Toc10560"/>
      <w:bookmarkStart w:id="87" w:name="_Toc20385"/>
      <w:r>
        <w:rPr>
          <w:rFonts w:ascii="宋体" w:hAnsi="宋体" w:eastAsia="宋体"/>
          <w:color w:val="auto"/>
          <w:sz w:val="24"/>
          <w:szCs w:val="24"/>
          <w:highlight w:val="none"/>
        </w:rPr>
        <w:t>附件</w:t>
      </w:r>
      <w:r>
        <w:rPr>
          <w:rFonts w:hint="eastAsia" w:ascii="宋体" w:hAnsi="宋体" w:eastAsia="宋体"/>
          <w:color w:val="auto"/>
          <w:sz w:val="24"/>
          <w:szCs w:val="24"/>
          <w:highlight w:val="none"/>
        </w:rPr>
        <w:t>八 政府采购政策功能相关说明</w:t>
      </w:r>
      <w:bookmarkEnd w:id="83"/>
      <w:bookmarkEnd w:id="84"/>
      <w:bookmarkEnd w:id="85"/>
      <w:bookmarkEnd w:id="86"/>
      <w:bookmarkEnd w:id="87"/>
    </w:p>
    <w:p>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pPr>
        <w:spacing w:line="440" w:lineRule="atLeast"/>
        <w:jc w:val="left"/>
        <w:rPr>
          <w:rFonts w:ascii="宋体" w:hAnsi="宋体"/>
          <w:color w:val="auto"/>
          <w:sz w:val="22"/>
          <w:highlight w:val="none"/>
        </w:rPr>
      </w:pPr>
      <w:r>
        <w:rPr>
          <w:rFonts w:hint="eastAsia" w:ascii="宋体" w:hAnsi="宋体"/>
          <w:color w:val="auto"/>
          <w:sz w:val="22"/>
          <w:highlight w:val="none"/>
        </w:rPr>
        <w:t>（1）关于印发《政府采购促进中小企业发展暂行办法》的通知（财库〔2020〕46号）</w:t>
      </w:r>
    </w:p>
    <w:p>
      <w:pPr>
        <w:spacing w:line="440" w:lineRule="atLeast"/>
        <w:jc w:val="left"/>
        <w:rPr>
          <w:rFonts w:ascii="宋体" w:hAnsi="宋体"/>
          <w:color w:val="auto"/>
          <w:sz w:val="22"/>
          <w:highlight w:val="none"/>
        </w:rPr>
      </w:pPr>
      <w:r>
        <w:rPr>
          <w:rFonts w:hint="eastAsia" w:ascii="宋体" w:hAnsi="宋体"/>
          <w:color w:val="auto"/>
          <w:sz w:val="22"/>
          <w:highlight w:val="none"/>
        </w:rPr>
        <w:t>（4）《工业和信息化部、国家统计局、国家发展和改革委员会、财政部关于印发中小企业划型标准规定的通知》（</w:t>
      </w:r>
      <w:r>
        <w:rPr>
          <w:rFonts w:ascii="宋体" w:hAnsi="宋体"/>
          <w:color w:val="auto"/>
          <w:sz w:val="22"/>
          <w:highlight w:val="none"/>
        </w:rPr>
        <w:t>工信部联企业[2011]300号</w:t>
      </w:r>
      <w:r>
        <w:rPr>
          <w:rFonts w:hint="eastAsia" w:ascii="宋体" w:hAnsi="宋体"/>
          <w:color w:val="auto"/>
          <w:sz w:val="22"/>
          <w:highlight w:val="none"/>
        </w:rPr>
        <w:t>）</w:t>
      </w:r>
    </w:p>
    <w:p>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3</w:t>
      </w:r>
      <w:r>
        <w:rPr>
          <w:rFonts w:hint="eastAsia" w:ascii="宋体" w:hAnsi="宋体"/>
          <w:color w:val="auto"/>
          <w:sz w:val="22"/>
          <w:highlight w:val="none"/>
        </w:rPr>
        <w:t>）财政部、司法部《关于政府采购支持监狱企业发展有关问题的通知》（财库〔2014〕68号）</w:t>
      </w:r>
    </w:p>
    <w:p>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4</w:t>
      </w:r>
      <w:r>
        <w:rPr>
          <w:rFonts w:hint="eastAsia" w:ascii="宋体" w:hAnsi="宋体"/>
          <w:color w:val="auto"/>
          <w:sz w:val="22"/>
          <w:highlight w:val="none"/>
        </w:rPr>
        <w:t>）《财政部 民政部 中国残疾人联合会关于促进残疾人就业政府采购政策的通知》（财库〔2017〕 141号）</w:t>
      </w:r>
    </w:p>
    <w:p>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5）《浙江省财政厅  浙江省经济和信息化委员会关于简化中小企业类别确认流程有关事项的通知》（浙财采监〔2018〕2号)</w:t>
      </w:r>
    </w:p>
    <w:p>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享受小微企业价格折扣应提供以下证明材料（报价文件中）</w:t>
      </w:r>
      <w:r>
        <w:rPr>
          <w:rFonts w:hint="eastAsia" w:ascii="宋体" w:hAnsi="宋体"/>
          <w:color w:val="auto"/>
          <w:sz w:val="22"/>
          <w:highlight w:val="none"/>
        </w:rPr>
        <w:t>：</w:t>
      </w:r>
    </w:p>
    <w:p>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享受监狱企业价格折扣应提供以下证明材料（</w:t>
      </w:r>
      <w:r>
        <w:rPr>
          <w:rFonts w:hint="eastAsia" w:ascii="宋体" w:hAnsi="宋体"/>
          <w:color w:val="auto"/>
          <w:sz w:val="22"/>
          <w:highlight w:val="none"/>
          <w:u w:val="single"/>
        </w:rPr>
        <w:t>报价文件中，不提供的不享受价格折扣）</w:t>
      </w:r>
      <w:r>
        <w:rPr>
          <w:rFonts w:hint="eastAsia" w:ascii="宋体" w:hAnsi="宋体"/>
          <w:color w:val="auto"/>
          <w:sz w:val="22"/>
          <w:highlight w:val="none"/>
        </w:rPr>
        <w:t>：</w:t>
      </w:r>
    </w:p>
    <w:p>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享受残疾人福利性单位格折扣应提供以下证明材料（报价文件中，不提供的不享受价格折扣）</w:t>
      </w:r>
      <w:r>
        <w:rPr>
          <w:rFonts w:hint="eastAsia" w:ascii="宋体" w:hAnsi="宋体"/>
          <w:color w:val="auto"/>
          <w:sz w:val="22"/>
          <w:highlight w:val="none"/>
        </w:rPr>
        <w:t>：</w:t>
      </w:r>
    </w:p>
    <w:p>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pPr>
        <w:pStyle w:val="3"/>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中小企业声明函（货物）</w:t>
      </w:r>
    </w:p>
    <w:p>
      <w:pPr>
        <w:pStyle w:val="3"/>
        <w:spacing w:line="440" w:lineRule="exact"/>
        <w:rPr>
          <w:rFonts w:ascii="宋体" w:hAnsi="宋体"/>
          <w:b/>
          <w:color w:val="auto"/>
          <w:sz w:val="22"/>
          <w:szCs w:val="22"/>
          <w:highlight w:val="none"/>
        </w:rPr>
      </w:pPr>
    </w:p>
    <w:p>
      <w:pPr>
        <w:pStyle w:val="3"/>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rPr>
        <w:t>工业</w:t>
      </w:r>
      <w:r>
        <w:rPr>
          <w:rFonts w:ascii="宋体" w:hAnsi="宋体"/>
          <w:color w:val="auto"/>
          <w:sz w:val="22"/>
          <w:szCs w:val="22"/>
          <w:highlight w:val="none"/>
          <w:u w:val="single"/>
        </w:rPr>
        <w:t>）行业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pPr>
        <w:pStyle w:val="3"/>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（采购文件中明确的所属行业）行业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pPr>
        <w:pStyle w:val="3"/>
        <w:spacing w:line="480" w:lineRule="exact"/>
        <w:ind w:left="860"/>
        <w:rPr>
          <w:rFonts w:ascii="宋体" w:hAnsi="宋体"/>
          <w:color w:val="auto"/>
          <w:sz w:val="22"/>
          <w:szCs w:val="22"/>
          <w:highlight w:val="none"/>
        </w:rPr>
      </w:pPr>
      <w:r>
        <w:rPr>
          <w:rFonts w:ascii="宋体" w:hAnsi="宋体"/>
          <w:color w:val="auto"/>
          <w:sz w:val="22"/>
          <w:szCs w:val="22"/>
          <w:highlight w:val="none"/>
        </w:rPr>
        <w:t>……</w:t>
      </w:r>
    </w:p>
    <w:p>
      <w:pPr>
        <w:pStyle w:val="3"/>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pPr>
        <w:pStyle w:val="3"/>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pPr>
        <w:pStyle w:val="3"/>
        <w:spacing w:before="105" w:line="480" w:lineRule="exact"/>
        <w:ind w:right="417" w:firstLine="2860" w:firstLineChars="1300"/>
        <w:rPr>
          <w:rFonts w:ascii="宋体" w:hAnsi="宋体"/>
          <w:color w:val="auto"/>
          <w:sz w:val="22"/>
          <w:szCs w:val="22"/>
          <w:highlight w:val="none"/>
        </w:rPr>
      </w:pPr>
    </w:p>
    <w:p>
      <w:pPr>
        <w:pStyle w:val="3"/>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pPr>
        <w:pStyle w:val="3"/>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pPr>
        <w:spacing w:line="440" w:lineRule="exact"/>
        <w:rPr>
          <w:rFonts w:ascii="宋体" w:hAnsi="宋体"/>
          <w:color w:val="auto"/>
          <w:sz w:val="22"/>
          <w:szCs w:val="22"/>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r>
        <w:rPr>
          <w:rFonts w:hint="eastAsia" w:ascii="宋体" w:hAnsi="宋体"/>
          <w:color w:val="auto"/>
          <w:highlight w:val="none"/>
        </w:rPr>
        <w:t>说明：</w:t>
      </w:r>
    </w:p>
    <w:p>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pPr>
        <w:pStyle w:val="3"/>
        <w:rPr>
          <w:rFonts w:ascii="宋体" w:hAnsi="宋体"/>
          <w:color w:val="auto"/>
          <w:highlight w:val="none"/>
        </w:rPr>
      </w:pPr>
    </w:p>
    <w:p>
      <w:pPr>
        <w:pStyle w:val="50"/>
        <w:rPr>
          <w:color w:val="auto"/>
          <w:highlight w:val="none"/>
        </w:rPr>
      </w:pPr>
    </w:p>
    <w:p>
      <w:pPr>
        <w:spacing w:line="440" w:lineRule="exact"/>
        <w:rPr>
          <w:rFonts w:ascii="宋体" w:hAnsi="宋体"/>
          <w:color w:val="auto"/>
          <w:sz w:val="22"/>
          <w:highlight w:val="none"/>
        </w:rPr>
      </w:pPr>
      <w:r>
        <w:rPr>
          <w:rFonts w:ascii="宋体" w:hAnsi="宋体"/>
          <w:b/>
          <w:bCs/>
          <w:color w:val="auto"/>
          <w:sz w:val="24"/>
          <w:highlight w:val="none"/>
        </w:rPr>
        <w:br w:type="page"/>
      </w:r>
      <w:r>
        <w:rPr>
          <w:rFonts w:hint="eastAsia" w:ascii="宋体" w:hAnsi="宋体"/>
          <w:color w:val="auto"/>
          <w:sz w:val="22"/>
          <w:highlight w:val="none"/>
        </w:rPr>
        <w:t>附件2：</w:t>
      </w:r>
    </w:p>
    <w:p>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pPr>
        <w:spacing w:line="588" w:lineRule="exact"/>
        <w:rPr>
          <w:rFonts w:ascii="新宋体" w:hAnsi="新宋体" w:eastAsia="新宋体"/>
          <w:b/>
          <w:color w:val="auto"/>
          <w:spacing w:val="6"/>
          <w:sz w:val="30"/>
          <w:szCs w:val="30"/>
          <w:highlight w:val="none"/>
        </w:rPr>
      </w:pPr>
    </w:p>
    <w:p>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ab/>
      </w:r>
      <w:r>
        <w:rPr>
          <w:rFonts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pPr>
        <w:spacing w:line="588" w:lineRule="exact"/>
        <w:ind w:firstLine="440" w:firstLineChars="200"/>
        <w:rPr>
          <w:rFonts w:ascii="宋体" w:hAnsi="宋体" w:cs="宋体"/>
          <w:color w:val="auto"/>
          <w:sz w:val="22"/>
          <w:szCs w:val="22"/>
          <w:highlight w:val="none"/>
        </w:rPr>
      </w:pPr>
    </w:p>
    <w:p>
      <w:pPr>
        <w:spacing w:line="588" w:lineRule="exact"/>
        <w:ind w:firstLine="440" w:firstLineChars="200"/>
        <w:rPr>
          <w:rFonts w:ascii="宋体" w:hAnsi="宋体" w:cs="宋体"/>
          <w:color w:val="auto"/>
          <w:sz w:val="22"/>
          <w:szCs w:val="22"/>
          <w:highlight w:val="none"/>
        </w:rPr>
      </w:pPr>
    </w:p>
    <w:p>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日  期：    年  月  日</w:t>
      </w:r>
    </w:p>
    <w:p>
      <w:pPr>
        <w:pStyle w:val="3"/>
        <w:rPr>
          <w:color w:val="auto"/>
          <w:highlight w:val="none"/>
        </w:rPr>
      </w:pPr>
    </w:p>
    <w:p>
      <w:pPr>
        <w:pStyle w:val="3"/>
        <w:rPr>
          <w:color w:val="auto"/>
          <w:highlight w:val="none"/>
        </w:rPr>
      </w:pPr>
    </w:p>
    <w:p>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pPr>
        <w:spacing w:line="420" w:lineRule="exact"/>
        <w:rPr>
          <w:color w:val="auto"/>
          <w:highlight w:val="none"/>
        </w:rPr>
      </w:pPr>
    </w:p>
    <w:p>
      <w:pPr>
        <w:pStyle w:val="3"/>
        <w:rPr>
          <w:color w:val="auto"/>
          <w:highlight w:val="none"/>
        </w:rPr>
      </w:pPr>
    </w:p>
    <w:p>
      <w:pPr>
        <w:pStyle w:val="3"/>
        <w:rPr>
          <w:color w:val="auto"/>
          <w:highlight w:val="none"/>
        </w:rPr>
      </w:pPr>
    </w:p>
    <w:p>
      <w:pPr>
        <w:spacing w:line="440" w:lineRule="exact"/>
        <w:rPr>
          <w:rFonts w:ascii="宋体" w:hAnsi="宋体" w:cs="宋体"/>
          <w:b/>
          <w:color w:val="auto"/>
          <w:sz w:val="24"/>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440" w:lineRule="exact"/>
        <w:ind w:left="708" w:hanging="708" w:hangingChars="294"/>
        <w:jc w:val="center"/>
        <w:rPr>
          <w:rFonts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（2）节能、环保产品优先（强制）采购政策说明</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1、政策依据</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（一）《国务院办公厅关于建立政府强制采购节能产品制度的通知》(国办发[2007]51号)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（二）财政部、发展改革委发布的《节能产品政府采购实施意见》(财库[2004]185号)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（三）财政部、原环保总局印发的《环境标志产品政府采购实施的意见》（财库 [2006]90号）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（四）关于调整优化节能产品、环境标志产品政府采购执行机制的通知（财库〔2019〕9号）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（五）关于印发环境标志产品政府采购品目清单的通知（财库〔2019〕18号）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（六）关于印发节能产品政府采购品目清单的通知（财库〔2019〕19号）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（七）市场监管总局关于发布参与实施政府采购节能产品、环境标志产品认证机构名录的公告（2019年第16号）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pPr>
        <w:pStyle w:val="3"/>
        <w:rPr>
          <w:color w:val="auto"/>
          <w:highlight w:val="none"/>
        </w:rPr>
      </w:pPr>
    </w:p>
    <w:p>
      <w:pPr>
        <w:spacing w:line="380" w:lineRule="exact"/>
        <w:jc w:val="left"/>
        <w:rPr>
          <w:rFonts w:ascii="宋体" w:hAnsi="宋体"/>
          <w:color w:val="auto"/>
          <w:sz w:val="22"/>
          <w:highlight w:val="none"/>
        </w:rPr>
      </w:pPr>
      <w:r>
        <w:rPr>
          <w:color w:val="auto"/>
          <w:highlight w:val="none"/>
        </w:rPr>
        <w:br w:type="page"/>
      </w:r>
      <w:r>
        <w:rPr>
          <w:rFonts w:hint="eastAsia" w:ascii="宋体" w:hAnsi="宋体"/>
          <w:color w:val="auto"/>
          <w:sz w:val="22"/>
          <w:highlight w:val="none"/>
        </w:rPr>
        <w:t>附件2：</w:t>
      </w: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节能环保产品声明函</w:t>
      </w:r>
    </w:p>
    <w:p>
      <w:pPr>
        <w:autoSpaceDE w:val="0"/>
        <w:autoSpaceDN w:val="0"/>
        <w:adjustRightInd w:val="0"/>
        <w:spacing w:line="460" w:lineRule="atLeast"/>
        <w:jc w:val="center"/>
        <w:rPr>
          <w:rFonts w:ascii="宋体" w:hAnsi="宋体"/>
          <w:color w:val="auto"/>
          <w:sz w:val="36"/>
          <w:szCs w:val="20"/>
          <w:highlight w:val="none"/>
          <w:lang w:val="zh-CN"/>
        </w:rPr>
      </w:pPr>
      <w:r>
        <w:rPr>
          <w:rFonts w:hint="eastAsia" w:ascii="宋体" w:hAnsi="宋体"/>
          <w:color w:val="auto"/>
          <w:sz w:val="22"/>
          <w:highlight w:val="none"/>
        </w:rPr>
        <w:t>（如有则提供）</w:t>
      </w:r>
    </w:p>
    <w:p>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highlight w:val="none"/>
        </w:rPr>
        <w:t>2019〕9号）</w:t>
      </w:r>
      <w:r>
        <w:rPr>
          <w:rFonts w:hint="eastAsia" w:ascii="宋体" w:hAnsi="宋体"/>
          <w:color w:val="auto"/>
          <w:sz w:val="22"/>
          <w:highlight w:val="none"/>
        </w:rPr>
        <w:t>、《关于印发节能产品政府采购品目清单的通知》（财库〔</w:t>
      </w:r>
      <w:r>
        <w:rPr>
          <w:rFonts w:ascii="宋体" w:hAnsi="宋体"/>
          <w:color w:val="auto"/>
          <w:sz w:val="22"/>
          <w:highlight w:val="none"/>
        </w:rPr>
        <w:t>2019〕19号）</w:t>
      </w:r>
      <w:r>
        <w:rPr>
          <w:rFonts w:hint="eastAsia" w:ascii="宋体" w:hAnsi="宋体"/>
          <w:color w:val="auto"/>
          <w:sz w:val="22"/>
          <w:highlight w:val="none"/>
        </w:rPr>
        <w:t>、《关于印发环境标志产品政府采购品目清单的通知》（财库〔</w:t>
      </w:r>
      <w:r>
        <w:rPr>
          <w:rFonts w:ascii="宋体" w:hAnsi="宋体"/>
          <w:color w:val="auto"/>
          <w:sz w:val="22"/>
          <w:highlight w:val="none"/>
        </w:rPr>
        <w:t>2019〕18号）</w:t>
      </w:r>
      <w:r>
        <w:rPr>
          <w:rFonts w:hint="eastAsia" w:ascii="宋体" w:hAnsi="宋体"/>
          <w:color w:val="auto"/>
          <w:sz w:val="22"/>
          <w:highlight w:val="none"/>
        </w:rPr>
        <w:t>的规定，本公司声明如下：</w:t>
      </w:r>
    </w:p>
    <w:p>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1.本公司参加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的采购活动提供的产品已列入《节能产品政府采购品目清单》。</w:t>
      </w:r>
    </w:p>
    <w:p>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2.本公司参加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的采购活动提供的产品已列入《环境标志产品政府采购品目清单》。</w:t>
      </w:r>
    </w:p>
    <w:p>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本公司对上述声明的真实性负责。如有虚假，将依法承担相应法律责任。</w:t>
      </w:r>
    </w:p>
    <w:p>
      <w:pPr>
        <w:spacing w:line="460" w:lineRule="atLeast"/>
        <w:rPr>
          <w:rFonts w:ascii="宋体" w:hAnsi="宋体"/>
          <w:color w:val="auto"/>
          <w:sz w:val="22"/>
          <w:highlight w:val="none"/>
        </w:rPr>
      </w:pPr>
    </w:p>
    <w:p>
      <w:pPr>
        <w:pStyle w:val="3"/>
        <w:rPr>
          <w:color w:val="auto"/>
          <w:highlight w:val="none"/>
        </w:rPr>
      </w:pPr>
    </w:p>
    <w:p>
      <w:pPr>
        <w:autoSpaceDE w:val="0"/>
        <w:autoSpaceDN w:val="0"/>
        <w:adjustRightInd w:val="0"/>
        <w:spacing w:line="460" w:lineRule="atLeast"/>
        <w:rPr>
          <w:rFonts w:ascii="宋体" w:hAnsi="宋体" w:cs="Arial"/>
          <w:color w:val="auto"/>
          <w:sz w:val="22"/>
          <w:szCs w:val="20"/>
          <w:highlight w:val="none"/>
          <w:lang w:val="zh-CN"/>
        </w:rPr>
      </w:pPr>
      <w:r>
        <w:rPr>
          <w:rFonts w:hint="eastAsia" w:ascii="宋体" w:hAnsi="宋体" w:cs="Arial"/>
          <w:color w:val="auto"/>
          <w:sz w:val="22"/>
          <w:szCs w:val="20"/>
          <w:highlight w:val="none"/>
        </w:rPr>
        <w:t>投标人</w:t>
      </w:r>
      <w:r>
        <w:rPr>
          <w:rFonts w:hint="eastAsia" w:ascii="宋体" w:hAnsi="宋体" w:cs="Arial"/>
          <w:color w:val="auto"/>
          <w:sz w:val="22"/>
          <w:szCs w:val="20"/>
          <w:highlight w:val="none"/>
          <w:lang w:val="zh-CN"/>
        </w:rPr>
        <w:t xml:space="preserve">盖章：        </w:t>
      </w:r>
    </w:p>
    <w:p>
      <w:pPr>
        <w:spacing w:line="460" w:lineRule="atLeast"/>
        <w:rPr>
          <w:rFonts w:ascii="宋体" w:hAnsi="宋体"/>
          <w:color w:val="auto"/>
          <w:sz w:val="28"/>
          <w:szCs w:val="28"/>
          <w:highlight w:val="none"/>
        </w:rPr>
      </w:pPr>
      <w:r>
        <w:rPr>
          <w:rFonts w:hint="eastAsia" w:ascii="宋体" w:hAnsi="宋体"/>
          <w:color w:val="auto"/>
          <w:sz w:val="22"/>
          <w:highlight w:val="none"/>
        </w:rPr>
        <w:t xml:space="preserve">日 期：                  </w:t>
      </w:r>
    </w:p>
    <w:p>
      <w:pPr>
        <w:spacing w:line="380" w:lineRule="exact"/>
        <w:jc w:val="left"/>
        <w:rPr>
          <w:rFonts w:ascii="宋体" w:hAnsi="宋体"/>
          <w:color w:val="auto"/>
          <w:sz w:val="22"/>
          <w:highlight w:val="none"/>
        </w:rPr>
      </w:pPr>
      <w:r>
        <w:rPr>
          <w:rFonts w:ascii="宋体" w:hAnsi="宋体"/>
          <w:color w:val="auto"/>
          <w:sz w:val="28"/>
          <w:szCs w:val="28"/>
          <w:highlight w:val="none"/>
        </w:rPr>
        <w:br w:type="page"/>
      </w:r>
      <w:r>
        <w:rPr>
          <w:rFonts w:hint="eastAsia" w:ascii="宋体" w:hAnsi="宋体"/>
          <w:color w:val="auto"/>
          <w:sz w:val="22"/>
          <w:highlight w:val="none"/>
        </w:rPr>
        <w:t>附件</w:t>
      </w:r>
      <w:r>
        <w:rPr>
          <w:rFonts w:ascii="宋体" w:hAnsi="宋体"/>
          <w:color w:val="auto"/>
          <w:sz w:val="22"/>
          <w:highlight w:val="none"/>
        </w:rPr>
        <w:t>2</w:t>
      </w:r>
      <w:r>
        <w:rPr>
          <w:rFonts w:hint="eastAsia" w:ascii="宋体" w:hAnsi="宋体"/>
          <w:color w:val="auto"/>
          <w:sz w:val="22"/>
          <w:highlight w:val="none"/>
        </w:rPr>
        <w:t>：</w:t>
      </w: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节能（环保）产品清单</w:t>
      </w:r>
    </w:p>
    <w:p>
      <w:pPr>
        <w:autoSpaceDE w:val="0"/>
        <w:autoSpaceDN w:val="0"/>
        <w:adjustRightInd w:val="0"/>
        <w:spacing w:line="460" w:lineRule="atLeast"/>
        <w:jc w:val="center"/>
        <w:rPr>
          <w:rFonts w:ascii="宋体" w:hAnsi="宋体"/>
          <w:color w:val="auto"/>
          <w:sz w:val="22"/>
          <w:highlight w:val="none"/>
        </w:rPr>
      </w:pPr>
      <w:r>
        <w:rPr>
          <w:rFonts w:hint="eastAsia" w:ascii="宋体" w:hAnsi="宋体"/>
          <w:color w:val="auto"/>
          <w:sz w:val="22"/>
          <w:highlight w:val="none"/>
        </w:rPr>
        <w:t>（如有则提供）</w:t>
      </w:r>
    </w:p>
    <w:p>
      <w:pPr>
        <w:pStyle w:val="3"/>
        <w:rPr>
          <w:color w:val="auto"/>
          <w:highlight w:val="none"/>
        </w:rPr>
      </w:pPr>
    </w:p>
    <w:p>
      <w:pPr>
        <w:rPr>
          <w:rFonts w:ascii="宋体" w:hAnsi="宋体"/>
          <w:color w:val="auto"/>
          <w:sz w:val="22"/>
          <w:highlight w:val="none"/>
        </w:rPr>
      </w:pPr>
      <w:r>
        <w:rPr>
          <w:rFonts w:hint="eastAsia" w:ascii="宋体" w:hAnsi="宋体"/>
          <w:color w:val="auto"/>
          <w:sz w:val="22"/>
          <w:highlight w:val="none"/>
        </w:rPr>
        <w:t>（1）所投产品中已列入《节能产品政府采购品目清单》明细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bl>
    <w:p>
      <w:pPr>
        <w:spacing w:line="460" w:lineRule="exact"/>
        <w:rPr>
          <w:rFonts w:ascii="宋体" w:hAnsi="宋体"/>
          <w:color w:val="auto"/>
          <w:sz w:val="22"/>
          <w:highlight w:val="none"/>
        </w:rPr>
      </w:pPr>
      <w:r>
        <w:rPr>
          <w:rFonts w:hint="eastAsia" w:ascii="宋体" w:hAnsi="宋体"/>
          <w:color w:val="auto"/>
          <w:sz w:val="22"/>
          <w:highlight w:val="none"/>
        </w:rPr>
        <w:t>（2）所投产品中已列入《环境标志产品政府采购品目清单》明细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highlight w:val="none"/>
              </w:rPr>
            </w:pPr>
          </w:p>
        </w:tc>
      </w:tr>
    </w:tbl>
    <w:p>
      <w:pPr>
        <w:spacing w:line="460" w:lineRule="exact"/>
        <w:rPr>
          <w:rFonts w:ascii="宋体" w:hAnsi="宋体"/>
          <w:b/>
          <w:color w:val="auto"/>
          <w:sz w:val="22"/>
          <w:highlight w:val="none"/>
        </w:rPr>
      </w:pPr>
      <w:r>
        <w:rPr>
          <w:rFonts w:hint="eastAsia" w:ascii="宋体" w:hAnsi="宋体"/>
          <w:b/>
          <w:color w:val="auto"/>
          <w:sz w:val="22"/>
          <w:highlight w:val="none"/>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highlight w:val="none"/>
        </w:rPr>
        <w:t>2019〕19号）</w:t>
      </w:r>
      <w:r>
        <w:rPr>
          <w:rFonts w:hint="eastAsia" w:ascii="宋体" w:hAnsi="宋体" w:cs="Arial"/>
          <w:b/>
          <w:color w:val="auto"/>
          <w:sz w:val="22"/>
          <w:highlight w:val="none"/>
        </w:rPr>
        <w:t>。</w:t>
      </w:r>
      <w:r>
        <w:rPr>
          <w:rFonts w:hint="eastAsia" w:ascii="宋体" w:hAnsi="宋体" w:cs="Arial"/>
          <w:b/>
          <w:color w:val="auto"/>
          <w:sz w:val="22"/>
          <w:szCs w:val="20"/>
          <w:highlight w:val="none"/>
        </w:rPr>
        <w:t>响应文件中必须提供</w:t>
      </w:r>
      <w:r>
        <w:rPr>
          <w:rFonts w:ascii="宋体" w:hAnsi="宋体"/>
          <w:b/>
          <w:color w:val="auto"/>
          <w:sz w:val="22"/>
          <w:highlight w:val="none"/>
        </w:rPr>
        <w:t>属于政府强制采购的节能产品</w:t>
      </w:r>
      <w:r>
        <w:rPr>
          <w:rFonts w:hint="eastAsia" w:ascii="宋体" w:hAnsi="宋体" w:cs="Arial"/>
          <w:b/>
          <w:color w:val="auto"/>
          <w:sz w:val="22"/>
          <w:szCs w:val="20"/>
          <w:highlight w:val="none"/>
        </w:rPr>
        <w:t>的认证证书复印件或扫描件，否则不予认可。</w:t>
      </w:r>
    </w:p>
    <w:p>
      <w:pPr>
        <w:spacing w:line="460" w:lineRule="exact"/>
        <w:rPr>
          <w:rFonts w:ascii="宋体" w:hAnsi="宋体"/>
          <w:b/>
          <w:color w:val="auto"/>
          <w:sz w:val="22"/>
          <w:highlight w:val="none"/>
        </w:rPr>
      </w:pPr>
      <w:r>
        <w:rPr>
          <w:rFonts w:hint="eastAsia" w:ascii="宋体" w:hAnsi="宋体"/>
          <w:b/>
          <w:color w:val="auto"/>
          <w:sz w:val="22"/>
          <w:highlight w:val="none"/>
        </w:rPr>
        <w:t>2、表格可以延续。</w:t>
      </w:r>
    </w:p>
    <w:p>
      <w:pPr>
        <w:pStyle w:val="3"/>
        <w:rPr>
          <w:color w:val="auto"/>
          <w:highlight w:val="none"/>
        </w:rPr>
      </w:pPr>
    </w:p>
    <w:p>
      <w:pPr>
        <w:spacing w:line="440" w:lineRule="atLeast"/>
        <w:rPr>
          <w:rFonts w:ascii="宋体" w:hAnsi="宋体"/>
          <w:color w:val="auto"/>
          <w:sz w:val="22"/>
          <w:highlight w:val="none"/>
        </w:rPr>
      </w:pPr>
      <w:r>
        <w:rPr>
          <w:rFonts w:hint="eastAsia" w:ascii="宋体" w:hAnsi="宋体"/>
          <w:color w:val="auto"/>
          <w:sz w:val="22"/>
          <w:highlight w:val="none"/>
        </w:rPr>
        <w:t xml:space="preserve">供应商名称（盖章）：        </w:t>
      </w:r>
    </w:p>
    <w:p>
      <w:pPr>
        <w:pStyle w:val="3"/>
        <w:rPr>
          <w:rFonts w:ascii="宋体" w:hAnsi="宋体" w:cs="宋体"/>
          <w:color w:val="auto"/>
          <w:highlight w:val="none"/>
        </w:rPr>
      </w:pPr>
      <w:r>
        <w:rPr>
          <w:rFonts w:hint="eastAsia" w:ascii="宋体" w:hAnsi="宋体"/>
          <w:color w:val="auto"/>
          <w:kern w:val="0"/>
          <w:sz w:val="22"/>
          <w:highlight w:val="none"/>
        </w:rPr>
        <w:t xml:space="preserve">日 期： </w:t>
      </w:r>
    </w:p>
    <w:p>
      <w:pPr>
        <w:spacing w:line="380" w:lineRule="exact"/>
        <w:rPr>
          <w:rFonts w:ascii="宋体" w:hAnsi="宋体" w:cs="宋体"/>
          <w:color w:val="auto"/>
          <w:sz w:val="22"/>
          <w:szCs w:val="22"/>
          <w:highlight w:val="none"/>
        </w:rPr>
        <w:sectPr>
          <w:headerReference r:id="rId11" w:type="default"/>
          <w:pgSz w:w="11906" w:h="16838"/>
          <w:pgMar w:top="1134" w:right="1134" w:bottom="1134" w:left="1134" w:header="851" w:footer="992" w:gutter="0"/>
          <w:cols w:space="720" w:num="1"/>
          <w:docGrid w:linePitch="312" w:charSpace="0"/>
        </w:sectPr>
      </w:pPr>
    </w:p>
    <w:bookmarkEnd w:id="72"/>
    <w:bookmarkEnd w:id="77"/>
    <w:p>
      <w:pPr>
        <w:pStyle w:val="5"/>
        <w:spacing w:line="600" w:lineRule="exact"/>
        <w:jc w:val="center"/>
        <w:rPr>
          <w:rFonts w:ascii="黑体" w:hAnsi="黑体" w:eastAsia="黑体"/>
          <w:bCs/>
          <w:color w:val="auto"/>
          <w:sz w:val="36"/>
          <w:szCs w:val="36"/>
          <w:highlight w:val="none"/>
        </w:rPr>
      </w:pPr>
      <w:bookmarkStart w:id="88" w:name="_Toc230773793"/>
      <w:bookmarkStart w:id="89" w:name="_Toc31049"/>
      <w:r>
        <w:rPr>
          <w:rFonts w:hint="eastAsia" w:ascii="黑体" w:hAnsi="黑体" w:eastAsia="黑体"/>
          <w:bCs/>
          <w:color w:val="auto"/>
          <w:sz w:val="36"/>
          <w:szCs w:val="36"/>
          <w:highlight w:val="none"/>
        </w:rPr>
        <w:t>第五部分  招标内容及要求</w:t>
      </w:r>
      <w:bookmarkEnd w:id="88"/>
      <w:bookmarkEnd w:id="89"/>
    </w:p>
    <w:p>
      <w:pPr>
        <w:pStyle w:val="6"/>
        <w:spacing w:line="680" w:lineRule="exact"/>
        <w:jc w:val="center"/>
        <w:rPr>
          <w:rFonts w:ascii="宋体" w:hAnsi="宋体" w:eastAsia="宋体"/>
          <w:color w:val="auto"/>
          <w:sz w:val="28"/>
          <w:szCs w:val="28"/>
          <w:highlight w:val="none"/>
        </w:rPr>
      </w:pPr>
      <w:bookmarkStart w:id="90" w:name="_Toc498696426"/>
      <w:bookmarkStart w:id="91" w:name="_Toc524273187"/>
      <w:bookmarkStart w:id="92" w:name="_Toc22546"/>
      <w:bookmarkStart w:id="93" w:name="_Toc23272"/>
      <w:r>
        <w:rPr>
          <w:rFonts w:hint="eastAsia" w:ascii="宋体" w:hAnsi="宋体" w:eastAsia="宋体"/>
          <w:color w:val="auto"/>
          <w:sz w:val="28"/>
          <w:szCs w:val="28"/>
          <w:highlight w:val="none"/>
        </w:rPr>
        <w:t>一、</w:t>
      </w:r>
      <w:bookmarkEnd w:id="90"/>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相关说明</w:t>
      </w:r>
      <w:bookmarkEnd w:id="91"/>
      <w:bookmarkEnd w:id="92"/>
    </w:p>
    <w:bookmarkEnd w:id="93"/>
    <w:p>
      <w:pPr>
        <w:spacing w:line="440" w:lineRule="exact"/>
        <w:ind w:left="550" w:hanging="550" w:hangingChars="250"/>
        <w:rPr>
          <w:rFonts w:ascii="宋体" w:hAnsi="宋体" w:cs="宋体"/>
          <w:color w:val="auto"/>
          <w:sz w:val="22"/>
          <w:szCs w:val="22"/>
          <w:highlight w:val="none"/>
        </w:rPr>
      </w:pPr>
      <w:bookmarkStart w:id="94" w:name="_Toc56694061"/>
      <w:bookmarkStart w:id="95" w:name="_Toc230773795"/>
      <w:r>
        <w:rPr>
          <w:rFonts w:hint="eastAsia" w:ascii="宋体" w:hAnsi="宋体" w:cs="宋体"/>
          <w:color w:val="auto"/>
          <w:sz w:val="22"/>
          <w:szCs w:val="22"/>
          <w:highlight w:val="none"/>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Cs/>
          <w:color w:val="auto"/>
          <w:sz w:val="22"/>
          <w:szCs w:val="22"/>
          <w:highlight w:val="none"/>
        </w:rPr>
        <w:t>投标人</w:t>
      </w:r>
      <w:r>
        <w:rPr>
          <w:rFonts w:hint="eastAsia" w:ascii="宋体" w:hAnsi="宋体" w:cs="宋体"/>
          <w:color w:val="auto"/>
          <w:sz w:val="22"/>
          <w:szCs w:val="22"/>
          <w:highlight w:val="none"/>
        </w:rPr>
        <w:t>须完成货物的生产、运输、安装、整合调试，直至验收合格交付使用前的所有工作。在此过程中发生的一切费用（包括辅助材料、零部件等配套设施）均由中标人提供，各投标人应对本招标文件未列出但完成本项目所必须的其他材料一一列出，并详细注明报价等情况，如未列出，则视为已包含在总价内，由投标人免费提供。</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3.   供应商需针对本项目所提供的产品的技术性能、质量水平、具体实施方案、售后服务、培训计划等做详尽的描述。</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   对于低于原厂商对外公布的基本（标准）配置进行报价的产品，无论招标文件对此有无明确规定，供应商都必须在投标文件中对低于基本（标准）配置的内容作出明确说明。</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5.   主要技术参数及要求中所列的参数仅仅为主要部分，投标人有义务完成所投设备的详细技术参数描述。否则，一旦出现所投设备在技术、功能上存在缺陷，采购人将否决其投标。</w:t>
      </w:r>
    </w:p>
    <w:p>
      <w:pPr>
        <w:spacing w:line="440" w:lineRule="exact"/>
        <w:ind w:left="539" w:hanging="539" w:hangingChars="245"/>
        <w:rPr>
          <w:rFonts w:ascii="宋体" w:hAnsi="宋体" w:cs="宋体"/>
          <w:b/>
          <w:color w:val="auto"/>
          <w:sz w:val="22"/>
          <w:szCs w:val="22"/>
          <w:highlight w:val="none"/>
        </w:rPr>
      </w:pPr>
      <w:r>
        <w:rPr>
          <w:rFonts w:hint="eastAsia" w:ascii="宋体" w:hAnsi="宋体" w:cs="宋体"/>
          <w:color w:val="auto"/>
          <w:sz w:val="22"/>
          <w:szCs w:val="22"/>
          <w:highlight w:val="none"/>
        </w:rPr>
        <w:t>6.▲</w:t>
      </w:r>
      <w:r>
        <w:rPr>
          <w:rFonts w:hint="eastAsia" w:ascii="宋体" w:hAnsi="宋体" w:cs="宋体"/>
          <w:b/>
          <w:bCs/>
          <w:color w:val="auto"/>
          <w:sz w:val="22"/>
          <w:szCs w:val="22"/>
          <w:highlight w:val="none"/>
          <w:u w:val="single"/>
        </w:rPr>
        <w:t>本项目采购预算为人民币</w:t>
      </w:r>
      <w:r>
        <w:rPr>
          <w:rFonts w:hint="eastAsia" w:ascii="宋体" w:hAnsi="宋体" w:cs="宋体"/>
          <w:b/>
          <w:bCs/>
          <w:color w:val="auto"/>
          <w:sz w:val="22"/>
          <w:szCs w:val="22"/>
          <w:highlight w:val="none"/>
          <w:u w:val="single"/>
          <w:lang w:val="en-US" w:eastAsia="zh-CN"/>
        </w:rPr>
        <w:t>捌拾柒万伍仟伍佰壹拾肆</w:t>
      </w:r>
      <w:r>
        <w:rPr>
          <w:rFonts w:hint="eastAsia" w:ascii="宋体" w:hAnsi="宋体" w:cs="宋体"/>
          <w:b/>
          <w:bCs/>
          <w:color w:val="auto"/>
          <w:sz w:val="22"/>
          <w:szCs w:val="22"/>
          <w:highlight w:val="none"/>
          <w:u w:val="single"/>
        </w:rPr>
        <w:t>元整（￥</w:t>
      </w:r>
      <w:r>
        <w:rPr>
          <w:rFonts w:hint="eastAsia" w:ascii="宋体" w:hAnsi="宋体" w:cs="宋体"/>
          <w:b/>
          <w:bCs/>
          <w:color w:val="auto"/>
          <w:sz w:val="22"/>
          <w:szCs w:val="22"/>
          <w:highlight w:val="none"/>
          <w:u w:val="single"/>
          <w:lang w:val="en-US" w:eastAsia="zh-CN"/>
        </w:rPr>
        <w:t>875514</w:t>
      </w:r>
      <w:r>
        <w:rPr>
          <w:rFonts w:hint="eastAsia" w:ascii="宋体" w:hAnsi="宋体" w:cs="宋体"/>
          <w:b/>
          <w:bCs/>
          <w:color w:val="auto"/>
          <w:sz w:val="22"/>
          <w:szCs w:val="22"/>
          <w:highlight w:val="none"/>
          <w:u w:val="single"/>
        </w:rPr>
        <w:t>.00元），投标人最后报价超过预算的，按无效</w:t>
      </w:r>
      <w:r>
        <w:rPr>
          <w:rFonts w:hint="eastAsia" w:ascii="宋体" w:hAnsi="宋体" w:cs="宋体"/>
          <w:b/>
          <w:color w:val="auto"/>
          <w:sz w:val="22"/>
          <w:szCs w:val="22"/>
          <w:highlight w:val="none"/>
          <w:u w:val="single"/>
        </w:rPr>
        <w:t>标处理</w:t>
      </w:r>
      <w:r>
        <w:rPr>
          <w:rFonts w:hint="eastAsia" w:ascii="宋体" w:hAnsi="宋体" w:cs="宋体"/>
          <w:b/>
          <w:color w:val="auto"/>
          <w:sz w:val="22"/>
          <w:szCs w:val="22"/>
          <w:highlight w:val="none"/>
        </w:rPr>
        <w:t>。</w:t>
      </w:r>
    </w:p>
    <w:p>
      <w:pPr>
        <w:rPr>
          <w:color w:val="auto"/>
          <w:highlight w:val="none"/>
        </w:rPr>
      </w:pPr>
    </w:p>
    <w:p>
      <w:pPr>
        <w:pStyle w:val="6"/>
        <w:numPr>
          <w:ilvl w:val="0"/>
          <w:numId w:val="2"/>
        </w:numPr>
        <w:spacing w:line="680" w:lineRule="exact"/>
        <w:jc w:val="center"/>
        <w:rPr>
          <w:rFonts w:ascii="宋体" w:hAnsi="宋体" w:eastAsia="宋体"/>
          <w:color w:val="auto"/>
          <w:sz w:val="28"/>
          <w:szCs w:val="28"/>
          <w:highlight w:val="none"/>
        </w:rPr>
      </w:pPr>
      <w:bookmarkStart w:id="96" w:name="_Toc8"/>
      <w:bookmarkStart w:id="97" w:name="_Toc20424"/>
      <w:r>
        <w:rPr>
          <w:rFonts w:hint="eastAsia" w:ascii="宋体" w:hAnsi="宋体" w:eastAsia="宋体"/>
          <w:color w:val="auto"/>
          <w:sz w:val="28"/>
          <w:szCs w:val="28"/>
          <w:highlight w:val="none"/>
        </w:rPr>
        <w:t>采购内容及要求</w:t>
      </w:r>
      <w:bookmarkEnd w:id="96"/>
      <w:bookmarkEnd w:id="97"/>
    </w:p>
    <w:p>
      <w:pPr>
        <w:rPr>
          <w:color w:val="auto"/>
          <w:highlight w:val="none"/>
        </w:rPr>
      </w:pPr>
    </w:p>
    <w:p>
      <w:pPr>
        <w:pStyle w:val="3"/>
        <w:rPr>
          <w:rFonts w:ascii="宋体" w:hAnsi="宋体" w:cs="宋体"/>
          <w:color w:val="auto"/>
          <w:sz w:val="22"/>
          <w:szCs w:val="28"/>
          <w:highlight w:val="none"/>
        </w:rPr>
      </w:pPr>
      <w:r>
        <w:rPr>
          <w:rFonts w:hint="eastAsia" w:ascii="宋体" w:hAnsi="宋体" w:cs="宋体"/>
          <w:b/>
          <w:bCs/>
          <w:color w:val="auto"/>
          <w:sz w:val="22"/>
          <w:szCs w:val="28"/>
          <w:highlight w:val="none"/>
        </w:rPr>
        <w:t>1.   采购内容</w:t>
      </w:r>
      <w:r>
        <w:rPr>
          <w:rFonts w:hint="eastAsia" w:ascii="宋体" w:hAnsi="宋体" w:cs="宋体"/>
          <w:b/>
          <w:bCs/>
          <w:color w:val="auto"/>
          <w:sz w:val="22"/>
          <w:szCs w:val="28"/>
          <w:highlight w:val="none"/>
          <w:lang w:val="en-US" w:eastAsia="zh-CN"/>
        </w:rPr>
        <w:t>及</w:t>
      </w:r>
      <w:r>
        <w:rPr>
          <w:rFonts w:hint="eastAsia" w:ascii="宋体" w:hAnsi="宋体" w:cs="宋体"/>
          <w:b/>
          <w:bCs/>
          <w:color w:val="auto"/>
          <w:sz w:val="22"/>
          <w:szCs w:val="28"/>
          <w:highlight w:val="none"/>
        </w:rPr>
        <w:t>技术参数</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861"/>
        <w:gridCol w:w="6500"/>
        <w:gridCol w:w="518"/>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序号</w:t>
            </w:r>
          </w:p>
        </w:tc>
        <w:tc>
          <w:tcPr>
            <w:tcW w:w="94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设备名称</w:t>
            </w:r>
          </w:p>
        </w:tc>
        <w:tc>
          <w:tcPr>
            <w:tcW w:w="3303"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技术参数及要求</w:t>
            </w:r>
          </w:p>
        </w:tc>
        <w:tc>
          <w:tcPr>
            <w:tcW w:w="263" w:type="pct"/>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数量</w:t>
            </w:r>
          </w:p>
        </w:tc>
        <w:tc>
          <w:tcPr>
            <w:tcW w:w="221" w:type="pct"/>
            <w:vAlign w:val="center"/>
          </w:tcPr>
          <w:p>
            <w:pPr>
              <w:widowControl/>
              <w:spacing w:line="400" w:lineRule="exact"/>
              <w:jc w:val="center"/>
              <w:textAlignment w:val="center"/>
              <w:rPr>
                <w:rFonts w:hint="default" w:ascii="宋体" w:hAnsi="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200万双光人脸警戒变焦枪型网络摄像机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内置GPU芯片，支持深度学习算法，有效提升检测准确率</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支持三种智能资源切换：通用行为分析、人脸检测、人数统计</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支持人脸检测：支持跟踪，支持优选，支持抓拍，支持上报最优的人脸抓图，支持人脸增强，人脸曝光</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支持人脸侦测功能，可对经过设定区域的行人进行人脸检测,当栓测到人脸后,可联动抓拍人脸图片、录像及给出报警提示； 支持对齐刘海遮挡眉毛、头发遮挡眼镜、戴普通眼镜、戴墨镜、栽彩色眼镜、戴帽子、 戴头戴式耳机、半边人脸、戴口罩、侧脸方式的人脸进行检测；可对出现在监控场景内的两眼瞳距不小于12像素的人脸进行检测，同时叠加目标提示框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支持声光报警联动，当报警产生时，可触发联动声音警报和灯光闪烁</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可对人员、机动车、非机动车区分检验，具备智能分析抗干扰功能，当小狗、树叶等非人或车辆目标经过检测区域时，不会触发报警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（提供公安部检测报告）</w:t>
            </w:r>
          </w:p>
          <w:p>
            <w:pPr>
              <w:widowControl/>
              <w:spacing w:line="40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支持人数统计：支持进入/离开人数统计，并可生成人数统计日/月/年报表，导出使用；支持排队管理；支持区域内人数统计</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采用星光级低照度200万像素1/2.8英寸CMOS图像传感器，</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最大可输出200万(1920×1080)@25fps</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支持H.265编码，压缩比高，实现超低码流传输</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同一静止场景相同图像质量下，设备在H.265编码方式时，开启智能编码功能和不开启智能编码相比，码率节约90%</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rPr>
              <w:t>内置高效双光灯和红外补光灯，最大红外监控距离60米，最大暖光监控距离30米</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支持走廊模式，宽动态，3D降噪，强光抑制，背光补偿，数字水印，适用不同监控环境</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13、</w:t>
            </w:r>
            <w:r>
              <w:rPr>
                <w:rFonts w:hint="eastAsia" w:ascii="宋体" w:hAnsi="宋体" w:cs="宋体"/>
                <w:color w:val="auto"/>
                <w:sz w:val="22"/>
                <w:szCs w:val="22"/>
                <w:highlight w:val="none"/>
              </w:rPr>
              <w:t>支持ROI，SVC，SMART H.264/H.265</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rPr>
              <w:t>支持报警3进2出，音频1进1出，内置MIC和扬声器，最大支持256G Micro SD卡</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支持DC12V/POE供电方式</w:t>
            </w:r>
            <w:r>
              <w:rPr>
                <w:rFonts w:hint="eastAsia" w:ascii="宋体" w:hAnsi="宋体" w:cs="宋体"/>
                <w:color w:val="auto"/>
                <w:sz w:val="22"/>
                <w:szCs w:val="22"/>
                <w:highlight w:val="none"/>
                <w:lang w:eastAsia="zh-CN"/>
              </w:rPr>
              <w:t>；</w:t>
            </w:r>
          </w:p>
          <w:p>
            <w:pPr>
              <w:widowControl/>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当供电电压低于DC8.4V或者高于DC19V时，设备可在客户端软件给出报警提示或播放报警提示音</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17、</w:t>
            </w:r>
            <w:r>
              <w:rPr>
                <w:rFonts w:hint="eastAsia" w:ascii="宋体" w:hAnsi="宋体" w:cs="宋体"/>
                <w:color w:val="auto"/>
                <w:sz w:val="22"/>
                <w:szCs w:val="22"/>
                <w:highlight w:val="none"/>
              </w:rPr>
              <w:t>支持IP67防护等级</w:t>
            </w:r>
            <w:r>
              <w:rPr>
                <w:rFonts w:hint="eastAsia" w:ascii="宋体" w:hAnsi="宋体" w:cs="宋体"/>
                <w:color w:val="auto"/>
                <w:sz w:val="22"/>
                <w:szCs w:val="22"/>
                <w:highlight w:val="none"/>
                <w:lang w:eastAsia="zh-CN"/>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小型枪机壁装支架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铝合金；白色；最大承重1.0kg；壁装</w:t>
            </w:r>
            <w:r>
              <w:rPr>
                <w:rFonts w:hint="eastAsia" w:ascii="宋体" w:hAnsi="宋体" w:cs="宋体"/>
                <w:color w:val="auto"/>
                <w:sz w:val="22"/>
                <w:szCs w:val="22"/>
                <w:highlight w:val="none"/>
                <w:lang w:eastAsia="zh-CN"/>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电源适配器</w:t>
            </w:r>
          </w:p>
        </w:tc>
        <w:tc>
          <w:tcPr>
            <w:tcW w:w="3303" w:type="pct"/>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DC12V2A电源适配器</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人脸警戒变焦防暴半球网络摄像机</w:t>
            </w:r>
          </w:p>
        </w:tc>
        <w:tc>
          <w:tcPr>
            <w:tcW w:w="3303" w:type="pct"/>
            <w:vAlign w:val="center"/>
          </w:tcPr>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内置GPU芯片，支持深度学习算法，有效提升检测准确率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支持三种智能资源切换：通用行为分析、人脸检测、人数统计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支持人脸检测：支持跟踪，支持优选，支持抓拍，支持上报最优的人脸抓图，支持人脸增强，人脸曝光</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支持人脸侦测功能，可对经过设定区域的行人进行人脸检测,当栓测到人脸后,可联动抓拍人脸图片、录像及给出报警提示 ；支持对齐刘海遮挡眉毛、头发遮挡眼镜、戴普通眼镜、戴墨镜、栽彩色眼镜、戴帽子、 戴头戴式耳机、半边人脸、戴口罩、侧脸方式的人脸进行检测；可对出现在监控场景内的两眼瞳距不小于12像素的人脸进行检测，同时叠加目标提示框</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支持声光报警联动，当报警产生时，可触发联动声音警报和灯光闪烁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支持人数统计：支持进入/离开人数统计，并可生成人数统计日/月/年报表，导出使用；支持排队管理；支持区域内人数统计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采用星光级低照度200万像素1/2.8英寸CMOS图像传感器，低照度效果好，图像清晰度高</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最大可输出200万(1920×1080)@25fps</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支持H.265编码，压缩比高，实现超低码流传输</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支持内置语音播放，不同智能行为分析可设置联动不同的声音；播放次数可设置为1～10次；白光可设置常亮与闪烁模式，闪烁频率、时长、周期可设</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内置高效暖光灯和红外补光灯，最大红外监控距离50米，最大暖光监控距离20米</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支持走廊模式，宽动态，3D降噪，强光抑制，背光补偿，数字水印，适用不同监控环境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支持ROI，SVC，SMART H.264/H.265，帧前滤波，灵活编码，适用不同带宽和存储环境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支持一键撤防，可在自定义设置的时间段内对报警输出，邮件，音频，灯光等事件联动项进行统一撤防控制</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支持报警3进2出，音频1进1出，内置MIC和扬声器，最大支持256G Micro SD卡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16、</w:t>
            </w:r>
            <w:r>
              <w:rPr>
                <w:rFonts w:hint="eastAsia" w:ascii="宋体" w:hAnsi="宋体" w:cs="宋体"/>
                <w:color w:val="auto"/>
                <w:sz w:val="22"/>
                <w:szCs w:val="22"/>
                <w:highlight w:val="none"/>
                <w:lang w:bidi="ar"/>
              </w:rPr>
              <w:t>支持DC12V/POE供电方式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17、</w:t>
            </w:r>
            <w:r>
              <w:rPr>
                <w:rFonts w:hint="eastAsia" w:ascii="宋体" w:hAnsi="宋体" w:cs="宋体"/>
                <w:color w:val="auto"/>
                <w:sz w:val="22"/>
                <w:szCs w:val="22"/>
                <w:highlight w:val="none"/>
                <w:lang w:bidi="ar"/>
              </w:rPr>
              <w:t>设备检测到电压低于8.4V或者高于19V时，可在客户端显示图标或者播放报警提示音进行报警提示音</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（提供公安部检测报告）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18、</w:t>
            </w:r>
            <w:r>
              <w:rPr>
                <w:rFonts w:hint="eastAsia" w:ascii="宋体" w:hAnsi="宋体" w:cs="宋体"/>
                <w:color w:val="auto"/>
                <w:sz w:val="22"/>
                <w:szCs w:val="22"/>
                <w:highlight w:val="none"/>
                <w:lang w:bidi="ar"/>
              </w:rPr>
              <w:t>支持IP67、IK10防护等级</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小型半球壁装支架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尺寸为160.0*122.0*76.0mm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采用铝合金材质，不易生锈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白色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重量为0.5kg</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支持最大承重1.0kg</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支持壁装安装方式</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ascii="宋体" w:hAnsi="宋体" w:cs="宋体"/>
                <w:color w:val="auto"/>
                <w:sz w:val="22"/>
                <w:szCs w:val="22"/>
                <w:highlight w:val="none"/>
                <w:lang w:bidi="ar"/>
              </w:rPr>
              <w:t>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DC12V2A电源适配器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尺寸为104mm(L)×45mm(W)×33mm(H)</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AC输入线350mm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DC输出端线800mm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黑色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支持共模4KV,差模2KV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达到V5能效等级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支持AC180~264V电压供电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支持DC12V2A输出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适应温度-30~70℃； 湿度＜90%的环境应用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通过3C检测</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ascii="宋体" w:hAnsi="宋体" w:cs="宋体"/>
                <w:color w:val="auto"/>
                <w:sz w:val="22"/>
                <w:szCs w:val="22"/>
                <w:highlight w:val="none"/>
                <w:lang w:bidi="ar"/>
              </w:rPr>
              <w:t>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23倍400W网络球机</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智能球机： </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内置GPU芯片，支持深度学习算法，有效提升检测准确率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支持人脸检测；支持优选；支持抓拍；支持上报最优的人脸抓图；支持人脸增强，支持人脸属性提取，6种属性8种表情</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支持绊线入侵、区域入侵、穿越围栏、徘徊、物品遗留、物品搬移、快速移动、停车、人员聚集检测；支持人车分类报警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内置100米红外灯补光，采用倍率与红外灯功率匹配算法，补光效果更均匀</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水平方向360°连续旋转，垂直方向-15°～90°自动翻转180°后连续监视,无监视盲区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支持300个预置位，8条巡航路径，5条巡迹路径</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支持IP66防护等级，8000V防雷、防浪涌和防突波保护</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ascii="宋体" w:hAnsi="宋体" w:cs="宋体"/>
                <w:color w:val="auto"/>
                <w:sz w:val="22"/>
                <w:szCs w:val="22"/>
                <w:highlight w:val="none"/>
                <w:lang w:bidi="ar"/>
              </w:rPr>
              <w:t>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球机壁装支架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尺寸为115.0*160.0*200.0mm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采用铝合金材质，不易生锈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白色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重量为0.86kg</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支持最大承重5kg</w:t>
            </w:r>
            <w:r>
              <w:rPr>
                <w:rFonts w:hint="eastAsia" w:ascii="宋体" w:hAnsi="宋体" w:cs="宋体"/>
                <w:color w:val="auto"/>
                <w:sz w:val="22"/>
                <w:szCs w:val="22"/>
                <w:highlight w:val="none"/>
                <w:lang w:eastAsia="zh-CN" w:bidi="ar"/>
              </w:rPr>
              <w:t>；</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支持壁装安装方式</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ascii="宋体" w:hAnsi="宋体" w:cs="宋体"/>
                <w:color w:val="auto"/>
                <w:sz w:val="22"/>
                <w:szCs w:val="22"/>
                <w:highlight w:val="none"/>
                <w:lang w:bidi="ar"/>
              </w:rPr>
              <w:t>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双目客流定焦半球网络摄像机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内置GPU芯片，支持深度学习算法，有效提升检测准确率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支持客流人数统计及区域人数统计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采用高性能130万像素1/3英寸CMOS图像传感器，低照度效果好，图像清晰度高</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可输出130万(1280*960)@25fps实时图像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支持H.265编码，压缩比高，实现超低码流传输</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支持宽动态，3D降噪，强光抑制，背光补偿，数字水印，适用不同室内监控环境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支持报警1进1出，485，128G Micro SD卡，RS232，1路内置MIC</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支持DC12V/POE供电方式，方便工程安装</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支持IP54防护等级</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ascii="宋体" w:hAnsi="宋体" w:cs="宋体"/>
                <w:color w:val="auto"/>
                <w:sz w:val="22"/>
                <w:szCs w:val="22"/>
                <w:highlight w:val="none"/>
                <w:lang w:bidi="ar"/>
              </w:rPr>
              <w:t>10</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小型枪机吊装支架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尺寸为φ95.0*185.0mm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采用铝合金材质，不易生锈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白色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重量为0.2kg</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支持最大承重1.0kg</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支持壁装，吊装，面装安装方式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支持水平：0~360°；垂直：0~90°旋转角度范围</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ascii="宋体" w:hAnsi="宋体" w:cs="宋体"/>
                <w:color w:val="auto"/>
                <w:sz w:val="22"/>
                <w:szCs w:val="22"/>
                <w:highlight w:val="none"/>
                <w:lang w:bidi="ar"/>
              </w:rPr>
              <w:t>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网络硬盘录像机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支持全新</w:t>
            </w:r>
            <w:r>
              <w:rPr>
                <w:rFonts w:hint="eastAsia" w:ascii="宋体" w:hAnsi="宋体" w:cs="宋体"/>
                <w:color w:val="auto"/>
                <w:sz w:val="22"/>
                <w:szCs w:val="22"/>
                <w:highlight w:val="none"/>
                <w:lang w:val="en-US" w:eastAsia="zh-CN" w:bidi="ar"/>
              </w:rPr>
              <w:t>产品</w:t>
            </w:r>
            <w:r>
              <w:rPr>
                <w:rFonts w:hint="eastAsia" w:ascii="宋体" w:hAnsi="宋体" w:cs="宋体"/>
                <w:color w:val="auto"/>
                <w:sz w:val="22"/>
                <w:szCs w:val="22"/>
                <w:highlight w:val="none"/>
                <w:lang w:bidi="ar"/>
              </w:rPr>
              <w:t>界面风格</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支持APP远程监控，预览，回放</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支持6个1080P自适应解码</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支持接入ONVIF、RTSP协议的主流品牌摄像机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支持H264/H265/Smart264/Smart265，并支持自动切换到H265</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支持VGA、HDMI默认同源输出，HDMI支持4K显示输出；支持异源输出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支持1路后智能人脸检测比对； 或2路后智能周界检测；或4路后智能SMD</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人脸库：最大10个，共5000张人脸图片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支持全通道前智能：人脸检测比对；周界检测和SMD</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支持安全2.1基线</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ascii="宋体" w:hAnsi="宋体" w:cs="宋体"/>
                <w:color w:val="auto"/>
                <w:sz w:val="22"/>
                <w:szCs w:val="22"/>
                <w:highlight w:val="none"/>
                <w:lang w:bidi="ar"/>
              </w:rPr>
              <w:t>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智慧安防小区一体机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智能分析盒子，单盘位，最大可配16TB硬盘</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2路HDMI输出，1路VGA输出，可支持4K显示输出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支持2个10/100/1000Mbps自适应以太网口（千兆电口）</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支持32路H.264/H.265混合接入，网络带宽192Mbps接入、192Mbps存储、192Mbps转发</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支持20路1080P解码显示输出，支持H.264、H.265混合解</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支持50万张人脸图片，50个人脸名单库</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支持50万张车牌名单，50个车牌库,支持黑名单/白名单</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支持12路人脸识别（1080p视频流）或40张/秒图片流比对报警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支持12路视频结构化分析（1080P视频流），单模块40个目标属性提取(无特征向量)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支持12路通用行为分析检测，每路支持5条规则</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支持4路消防占道检测，包含非机动车、箱包盒检测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支持4路车辆违停检测，包含机动车、非机动车检测，且支持应急车辆过滤</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支持4路安全隐患检测，包含电动车进电梯检测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支持4路烟火检测，包含烟雾、火焰检测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支持4路岗位行为检测，包含打电话、睡觉、玩手机、离岗、人数异常、吸烟检测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16、</w:t>
            </w:r>
            <w:r>
              <w:rPr>
                <w:rFonts w:hint="eastAsia" w:ascii="宋体" w:hAnsi="宋体" w:cs="宋体"/>
                <w:color w:val="auto"/>
                <w:sz w:val="22"/>
                <w:szCs w:val="22"/>
                <w:highlight w:val="none"/>
                <w:lang w:bidi="ar"/>
              </w:rPr>
              <w:t xml:space="preserve">支持4路垃圾检测，包含暴露垃圾、垃圾桶满溢、乱堆物堆料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支持4路人员行为分析，包含人员跌倒、人员奔跑、剧烈运动、尾随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17、</w:t>
            </w:r>
            <w:r>
              <w:rPr>
                <w:rFonts w:hint="eastAsia" w:ascii="宋体" w:hAnsi="宋体" w:cs="宋体"/>
                <w:color w:val="auto"/>
                <w:sz w:val="22"/>
                <w:szCs w:val="22"/>
                <w:highlight w:val="none"/>
                <w:lang w:bidi="ar"/>
              </w:rPr>
              <w:t>支持4路高空抛物检测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18、</w:t>
            </w:r>
            <w:r>
              <w:rPr>
                <w:rFonts w:hint="eastAsia" w:ascii="宋体" w:hAnsi="宋体" w:cs="宋体"/>
                <w:color w:val="auto"/>
                <w:sz w:val="22"/>
                <w:szCs w:val="22"/>
                <w:highlight w:val="none"/>
                <w:lang w:bidi="ar"/>
              </w:rPr>
              <w:t>支持单通道多智能、智能检索、以图搜图</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19、</w:t>
            </w:r>
            <w:r>
              <w:rPr>
                <w:rFonts w:hint="eastAsia" w:ascii="宋体" w:hAnsi="宋体" w:cs="宋体"/>
                <w:color w:val="auto"/>
                <w:sz w:val="22"/>
                <w:szCs w:val="22"/>
                <w:highlight w:val="none"/>
                <w:lang w:bidi="ar"/>
              </w:rPr>
              <w:t>后智能分析支持实时模式和分时轮巡模式切换，单个轮巡任务最大支持16路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20、</w:t>
            </w:r>
            <w:r>
              <w:rPr>
                <w:rFonts w:hint="eastAsia" w:ascii="宋体" w:hAnsi="宋体" w:cs="宋体"/>
                <w:color w:val="auto"/>
                <w:sz w:val="22"/>
                <w:szCs w:val="22"/>
                <w:highlight w:val="none"/>
                <w:lang w:bidi="ar"/>
              </w:rPr>
              <w:t>支持联动录像，抓图，蜂鸣，邮件，预置点，本地报警输出，IPC报警输出，语音播报</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4TB硬盘</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适配于1盘位、2盘位、4盘位、8盘位和16盘位</w:t>
            </w:r>
            <w:r>
              <w:rPr>
                <w:rFonts w:hint="eastAsia" w:ascii="宋体" w:hAnsi="宋体" w:cs="宋体"/>
                <w:color w:val="auto"/>
                <w:sz w:val="22"/>
                <w:szCs w:val="22"/>
                <w:highlight w:val="none"/>
                <w:lang w:val="en-US" w:eastAsia="zh-CN" w:bidi="ar"/>
              </w:rPr>
              <w:t>的</w:t>
            </w:r>
            <w:r>
              <w:rPr>
                <w:rFonts w:hint="eastAsia" w:ascii="宋体" w:hAnsi="宋体" w:cs="宋体"/>
                <w:color w:val="auto"/>
                <w:sz w:val="22"/>
                <w:szCs w:val="22"/>
                <w:highlight w:val="none"/>
                <w:lang w:bidi="ar"/>
              </w:rPr>
              <w:t>NVR/HCVR/XVR/DVR</w:t>
            </w:r>
            <w:r>
              <w:rPr>
                <w:rFonts w:hint="eastAsia" w:ascii="宋体" w:hAnsi="宋体" w:cs="宋体"/>
                <w:color w:val="auto"/>
                <w:sz w:val="22"/>
                <w:szCs w:val="22"/>
                <w:highlight w:val="none"/>
                <w:lang w:val="en-US" w:eastAsia="zh-CN" w:bidi="ar"/>
              </w:rPr>
              <w:t>等</w:t>
            </w:r>
            <w:r>
              <w:rPr>
                <w:rFonts w:hint="eastAsia" w:ascii="宋体" w:hAnsi="宋体" w:cs="宋体"/>
                <w:color w:val="auto"/>
                <w:sz w:val="22"/>
                <w:szCs w:val="22"/>
                <w:highlight w:val="none"/>
                <w:lang w:bidi="ar"/>
              </w:rPr>
              <w:t xml:space="preserve">产品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 xml:space="preserve">接入路数不超过64路 </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可支持RAID</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4路超高清解码器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支持4路HDMI信号输出接口</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支持4路HDMI音频输出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支持MPEG2/MPEG4/H.264/H.265/SVAC/MJPEG标准网络视频流解码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QCIF/CIF/2CIF/HD1/D1/720P/1080P/300W/500W/600W/800W/1200W/3200W视频解码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支持通过串口控制屏幕开关</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2个RS-232接口(1个采用RJ45接口形式，1个采用DB9接口形式)</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（提供第三方检测报告证明）</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支持视频图像跨屏同步显示功能，所有跨屏信号源可以同时发送至各个屏幕显示， 时差≤50ｕs</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（提供第三方检测报告证明）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最大支持2路3200W@25fps / 7路1200W@25fps / 10路800W@25fps / 14路600W@25fps / 18路500W @25fps / 28路300W @25fps / 36路1080P @30fps /144路D1@30fps同时解码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支持单屏1/4/6/8/9/16/25/36分割，支持MxN自由分割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HDMI输出接口支持3840x2160,1920x1080,1280x1024,1280x720,1024x768五种显示分辨率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HDMI输入接口最大支持3840x2160分辨率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支持Onvif、RTSP协议接入，支持国标GB28181接入 ，支持</w:t>
            </w:r>
            <w:r>
              <w:rPr>
                <w:rFonts w:hint="eastAsia" w:ascii="宋体" w:hAnsi="宋体" w:cs="宋体"/>
                <w:color w:val="auto"/>
                <w:sz w:val="22"/>
                <w:szCs w:val="22"/>
                <w:highlight w:val="none"/>
                <w:lang w:val="en-US" w:eastAsia="zh-CN" w:bidi="ar"/>
              </w:rPr>
              <w:t>国内主流各大</w:t>
            </w:r>
            <w:r>
              <w:rPr>
                <w:rFonts w:hint="eastAsia" w:ascii="宋体" w:hAnsi="宋体" w:cs="宋体"/>
                <w:color w:val="auto"/>
                <w:sz w:val="22"/>
                <w:szCs w:val="22"/>
                <w:highlight w:val="none"/>
                <w:lang w:bidi="ar"/>
              </w:rPr>
              <w:t>私有协议接入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支持预案轮巡</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支持底色选择</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支持自定义分辨率输出，支持小间距LED对接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16、</w:t>
            </w:r>
            <w:r>
              <w:rPr>
                <w:rFonts w:hint="eastAsia" w:ascii="宋体" w:hAnsi="宋体" w:cs="宋体"/>
                <w:color w:val="auto"/>
                <w:sz w:val="22"/>
                <w:szCs w:val="22"/>
                <w:highlight w:val="none"/>
                <w:lang w:bidi="ar"/>
              </w:rPr>
              <w:t>支持多屏融合拼接，跨屏画面毫秒级完美同步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17、</w:t>
            </w:r>
            <w:r>
              <w:rPr>
                <w:rFonts w:hint="eastAsia" w:ascii="宋体" w:hAnsi="宋体" w:cs="宋体"/>
                <w:color w:val="auto"/>
                <w:sz w:val="22"/>
                <w:szCs w:val="22"/>
                <w:highlight w:val="none"/>
                <w:lang w:bidi="ar"/>
              </w:rPr>
              <w:t>支持1个10M/100M/1000M自适应以太网接口</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18、</w:t>
            </w:r>
            <w:r>
              <w:rPr>
                <w:rFonts w:hint="eastAsia" w:ascii="宋体" w:hAnsi="宋体" w:cs="宋体"/>
                <w:color w:val="auto"/>
                <w:sz w:val="22"/>
                <w:szCs w:val="22"/>
                <w:highlight w:val="none"/>
                <w:lang w:bidi="ar"/>
              </w:rPr>
              <w:t>加强用户保密等级：HTTP的MD5加密，HTTPS和SSL证书认证，TELNET的密码修改同步应用的用户账号管理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19、</w:t>
            </w:r>
            <w:r>
              <w:rPr>
                <w:rFonts w:hint="eastAsia" w:ascii="宋体" w:hAnsi="宋体" w:cs="宋体"/>
                <w:color w:val="auto"/>
                <w:sz w:val="22"/>
                <w:szCs w:val="22"/>
                <w:highlight w:val="none"/>
                <w:lang w:bidi="ar"/>
              </w:rPr>
              <w:t>采用标准网络协议和标准压缩算法，在各种平台上轻松实现互联互通</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20、</w:t>
            </w:r>
            <w:r>
              <w:rPr>
                <w:rFonts w:hint="eastAsia" w:ascii="宋体" w:hAnsi="宋体" w:cs="宋体"/>
                <w:color w:val="auto"/>
                <w:sz w:val="22"/>
                <w:szCs w:val="22"/>
                <w:highlight w:val="none"/>
                <w:lang w:bidi="ar"/>
              </w:rPr>
              <w:t>标准1U机箱，美观大方</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防盗报警控制器</w:t>
            </w:r>
          </w:p>
        </w:tc>
        <w:tc>
          <w:tcPr>
            <w:tcW w:w="3303" w:type="pct"/>
            <w:vAlign w:val="center"/>
          </w:tcPr>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支持本地8路报警输入，最大可扩展到72路；支持接入常开或常闭型探测器；支持探测器防拆、防短、防遮挡功能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支持本地4路报警输出，最大可扩展到84路；支持强制开启、强制关闭、自动控制功能，支持报警联动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支持即时防区、延时防区、24小时无声等多种防区类型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支持报警输入输出接口电路保护功能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支持异常报警，包括主机防拆报警、键盘防拆报警、主电掉电报警、蓄电池掉电报警、蓄电池欠压报警、PSTN掉线报警、网络断开报警、IP冲突报警、MAC冲突报警等</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支持2路RS-485接口，支持最大32路键盘接入，支持打印机接入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支持火警、医疗、胁迫等紧急报警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支持CID（Contact ID protocol），支持话机复用（拨打个人电话功能需定制PSTN硬件模块）</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可选4G模块，支持短信报警，设置个人电话后TTS语音报警，支持4G电话反控，无线网络支持主动注册</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支持键盘、WEB多种配置方式，支持快速配置向导，支持远程配置及查询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支持最多8个子系统，支持单防区和子系统布撤防，支持键盘、遥控器、IC卡等多种布撤防方式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支持多个接警中心和报警数据上传策略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支持海量日志查询功能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支持远程升级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支持多种设备恢复方式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16、</w:t>
            </w:r>
            <w:r>
              <w:rPr>
                <w:rFonts w:hint="eastAsia" w:ascii="宋体" w:hAnsi="宋体" w:cs="宋体"/>
                <w:color w:val="auto"/>
                <w:sz w:val="22"/>
                <w:szCs w:val="22"/>
                <w:highlight w:val="none"/>
                <w:lang w:bidi="ar"/>
              </w:rPr>
              <w:t>支持双网口，2个有线中心</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紧急按钮（86盒型）</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支持常开/常闭的触点模式，一键紧急报警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支持86盒安装方式，螺丝固定</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支持电压≤250VDC，电流≤300mA的环境下工作</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设备无需供电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自带配套复位钥匙，出警确认警情，通过钥匙复位</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性能稳定，经久耐用</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室内智能三鉴入侵探测器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支持红外与微波双重复合报警，报警准确率更高探测器探测距离15m，探测角度90°</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报警输出常闭</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探测器内置防拆开关，防拆报警输出，更加安全可靠</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支持Cloakwise算法，实现双鉴防遮挡技术，探测器能力强，对遮挡不会漏报或误报</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支持白光/强光过滤技术，有效提高报警准确率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光学器件密封设计，防护等级更高，产品性能更加稳定可靠</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数字式温度补偿功能，确保高温环境下探测距离不衰减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表面贴焊技术（SMT）抗RF频射干扰，适应更多使用环境</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报警键盘</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配套报警主机使用，拥有防区状态、故障、布撤防、网络、通讯等5种指示灯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支持防区状态、系统故障、程序版本、通信参数等查询操作</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支持本地、遥控器、IC卡（最大支持32个）等布撤防方式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支持对主机编程、布撤防、消警、旁路/旁路恢复、 子系统操作、继电器操作、防区状态查询、步测模式等功能</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19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报警遥控器</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配套报警主机使用，可选择布防、撤防、在家模式以及紧急按钮功能。</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20</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声光警号</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声光警号</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DC12V2A电源适配器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尺寸为104mm(L)×45mm(W)×33mm(H)</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AC输入线350mm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DC输出端线800mm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黑色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支持共模4KV,差模2KV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达到V5能效等级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支持AC180~264V电压供电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支持DC12V2A输出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适应温度-30~70℃； 湿度＜90%的环境应用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通过3C检测</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RS485扩展模块</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 xml:space="preserve">8路报警输入；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 xml:space="preserve">2路报警输出；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 xml:space="preserve">4位拨码地址；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 xml:space="preserve">7种尾线电阻接入方式 (NC, NO, EOL, 2EOL, 3EOL, 灵敏式和脉冲式)；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 xml:space="preserve">支持三种尾线电阻阻值(2.7K，4.7K和6.8K)；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 xml:space="preserve">支持跳帽切换报警输出方式；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 xml:space="preserve">支持主机对扩展模块进行升级；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支持前出线，后出线和下出线多种走线方式，接线端子不外漏</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便携型两门双向门禁控制器(V2)</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支持给门锁供电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支持TCP/IP通讯方式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具有双通讯协议设计，同时支持RS485协议和韦根W26、W34协议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支持10万用户容量，存储50万条刷卡记录</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支持多人开门、防反潜、远程开门等功能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支持读卡器防拆报警、非法闯入报警、门超时报警、胁迫报警、非法卡超次报警、非法密码超次报警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支持消防联动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内置RTC，支持手动校时、自动校时功能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支持数据断电永久保存，支持在线升级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内置看门狗程序，确保设备长期稳定运行</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适配相关平台</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支持POE供电</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DC12V2A电源适配器</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DC12V2A电源适配器</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刷卡桌面式门禁发卡器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采用PC+ABS材质，适用于室内</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支持Mifare卡（IC卡）刷卡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支持USB2.0接口，即插即用，无需安装驱动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发卡成功或失败有双色LED指示灯和蜂鸣器提示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适配相关平台</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防水读卡器(IC)</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采用PC材质、亚克力面板，IP66防护等级，适用于室内、室外场景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非接触式读卡，可读取Mifare卡（IC卡）卡号、CPU序列号、身份证序列号</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支持刷卡开门模式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支持RS485和韦根通信协议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5</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支持蜂鸣器蜂鸣和指示灯提示功能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6</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支持防拆报警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7</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内置看门狗程序，能够检控设备的异常运行状态，并执行修复处理，确保设备长期运行</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8.所有连接端口均具备过流和过压保护</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IC卡</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白色，表面光滑</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55*85*1mm</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280KG单门磁力锁</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磁力锁（或称电磁锁）</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设计和电磁铁一样，利用电磁的原理，当电流通过硅钢片时，磁力锁会产生强大的吸力紧紧吸住铁板；只要非常小的电流就会让磁力锁产生很大的磁力，从而能有效地控制门的开关</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280KG（600Lbs）静态直线拉力 </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可自行设定12VDC或24VDC</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内置反向电流保护装置（MOV）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防残磁设计，防磨损材料制造</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LED指示灯显示门锁状态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门锁状态信号输出(NO\NC\COM)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铝外壳采用高强度合金材料，阳极硬化处理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完全电磁吸力工作，不存在机械故障</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加大电磁吸力、专业设计、双重锁体绝缘处理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适用于木门、玻璃门、金属门、防火门等电源</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DC12V2A电源适配器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尺寸为104mm(L)×45mm(W)×33mm(H)</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AC输入线350mm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DC输出端线800mm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黑色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支持共模4KV,差模2KV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达到V5能效等级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支持AC180~264V电压供电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支持DC12V2A输出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适应温度-30~70℃； 湿度＜90%的环境应用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通过3C检测</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30</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出门按钮</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专业电路设计，无机械故障</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精美外观设计，美观大方</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采用防火阻燃材料，安装方便</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品种齐全，多种触发方式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常开/常闭功能，可灵活应用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五十万次抗疲劳测试，经久耐用</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7寸室外人脸门禁一体主机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采用2.5D曲面屏，时尚大方</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采用7寸TFT液晶屏，屏幕显示分辩率达到1024×600</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摄像头采用 200万CMOS，支持真实宽动态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工作温度支持-30至70℃，可适应各种环境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支持IP65防护等级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支持自动补光，可有效降低环境光污染</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支持10万个用户、10万张人脸、10万张卡、10万个密码、50个管理员、30万条记录</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支持人脸、IC卡、密码、二维码等多种识别方式，并支持多种组合识别鉴权方式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支持显示人脸框，并实时检测最大人脸，支持识别区域及人脸目标大小设置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在距离地面 1.4m 安装高度情况下，距离屏幕正前方 0.18m～4m 范围内，应能有效人脸识别；在距离地面 1.4m 安装高度情况下，在距离屏幕正前方 3m 时，应能对 0.6m～2.4m 高度的人脸进行人脸识别；识别距离最近应≤0.2m</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（提供公安部检测报告）</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设备应支持至少 5 段视频的播放设置 视频应支持上分屏播放或下分屏播放可配置</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视频格式应支持MP4、AVI、DAV。 视频应能配置开始播放时间和结束播放时间</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视频应支持原比例播放和全屏播放两种播放方式。 视频应支持多段循环播放</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（提供公安部检测报告）</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支持面部识别距离0.3m-2.0m；适应0.9m～2.4m身高范围(镜头安装高度1.4米)</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基于深度人脸识别算法，精准定位目标人脸360个以上关键点位置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人脸识别速度0.2秒，可实现无感通行</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支持活体检测功能，支持手机照片、打印照片和视频防假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16、</w:t>
            </w:r>
            <w:r>
              <w:rPr>
                <w:rFonts w:hint="eastAsia" w:ascii="宋体" w:hAnsi="宋体" w:cs="宋体"/>
                <w:color w:val="auto"/>
                <w:sz w:val="22"/>
                <w:szCs w:val="22"/>
                <w:highlight w:val="none"/>
                <w:lang w:bidi="ar"/>
              </w:rPr>
              <w:t>支持逆光、顺光等强光场景的稳定识别，场景适应性更广</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17、</w:t>
            </w:r>
            <w:r>
              <w:rPr>
                <w:rFonts w:hint="eastAsia" w:ascii="宋体" w:hAnsi="宋体" w:cs="宋体"/>
                <w:color w:val="auto"/>
                <w:sz w:val="22"/>
                <w:szCs w:val="22"/>
                <w:highlight w:val="none"/>
                <w:lang w:bidi="ar"/>
              </w:rPr>
              <w:t>支持门控安全模块扩展，防止暴力开门，提升通行安全</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18、</w:t>
            </w:r>
            <w:r>
              <w:rPr>
                <w:rFonts w:hint="eastAsia" w:ascii="宋体" w:hAnsi="宋体" w:cs="宋体"/>
                <w:color w:val="auto"/>
                <w:sz w:val="22"/>
                <w:szCs w:val="22"/>
                <w:highlight w:val="none"/>
                <w:lang w:bidi="ar"/>
              </w:rPr>
              <w:t>支持多种比对结果呈现模式及多种语音提示信息，适应多种场景，有效保障用户隐私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19、</w:t>
            </w:r>
            <w:r>
              <w:rPr>
                <w:rFonts w:hint="eastAsia" w:ascii="宋体" w:hAnsi="宋体" w:cs="宋体"/>
                <w:color w:val="auto"/>
                <w:sz w:val="22"/>
                <w:szCs w:val="22"/>
                <w:highlight w:val="none"/>
                <w:lang w:bidi="ar"/>
              </w:rPr>
              <w:t>支持胁迫报警、 防拆报警、 闯入报警、 门超时报警、非法卡超次报警</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20、</w:t>
            </w:r>
            <w:r>
              <w:rPr>
                <w:rFonts w:hint="eastAsia" w:ascii="宋体" w:hAnsi="宋体" w:cs="宋体"/>
                <w:color w:val="auto"/>
                <w:sz w:val="22"/>
                <w:szCs w:val="22"/>
                <w:highlight w:val="none"/>
                <w:lang w:bidi="ar"/>
              </w:rPr>
              <w:t>支持来宾用户下发、巡逻用户下发、黑名单用户下发、VIP用户下发、普通用户下发、特殊用户</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21</w:t>
            </w:r>
            <w:r>
              <w:rPr>
                <w:rFonts w:hint="eastAsia" w:ascii="宋体" w:hAnsi="宋体" w:cs="宋体"/>
                <w:color w:val="auto"/>
                <w:sz w:val="22"/>
                <w:szCs w:val="22"/>
                <w:highlight w:val="none"/>
                <w:lang w:bidi="ar"/>
              </w:rPr>
              <w:t>支持TCP/IP和WIFI接入网络，支持主动注册、P2P注册、DHCP</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22、</w:t>
            </w:r>
            <w:r>
              <w:rPr>
                <w:rFonts w:hint="eastAsia" w:ascii="宋体" w:hAnsi="宋体" w:cs="宋体"/>
                <w:color w:val="auto"/>
                <w:sz w:val="22"/>
                <w:szCs w:val="22"/>
                <w:highlight w:val="none"/>
                <w:lang w:bidi="ar"/>
              </w:rPr>
              <w:t>支持在线升级，USB升级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23、</w:t>
            </w:r>
            <w:r>
              <w:rPr>
                <w:rFonts w:hint="eastAsia" w:ascii="宋体" w:hAnsi="宋体" w:cs="宋体"/>
                <w:color w:val="auto"/>
                <w:sz w:val="22"/>
                <w:szCs w:val="22"/>
                <w:highlight w:val="none"/>
                <w:lang w:bidi="ar"/>
              </w:rPr>
              <w:t>支持可视对讲功能</w:t>
            </w:r>
            <w:r>
              <w:rPr>
                <w:rFonts w:hint="eastAsia" w:ascii="宋体" w:hAnsi="宋体" w:cs="宋体"/>
                <w:color w:val="auto"/>
                <w:sz w:val="22"/>
                <w:szCs w:val="22"/>
                <w:highlight w:val="none"/>
                <w:lang w:eastAsia="zh-CN" w:bidi="ar"/>
              </w:rPr>
              <w:t>；</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适配相关平台。</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单元人脸门口机4.3寸</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采用4.3英寸IPS屏，触摸按键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 xml:space="preserve">采用200万像素低照度高清双摄像头、星光级图像传感器；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 xml:space="preserve">支持自动补光，夜视；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 xml:space="preserve">支持双向语音对讲；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 xml:space="preserve">支持平台管理，APP对讲；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 xml:space="preserve">支持多种开门方式：密码开门、IC卡开门、远程开门、二维码开门、人脸开门；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支持10000张人脸白名单；1：N人脸比对时间≤0.2S/人，识别距离0.3m-2m可配置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 xml:space="preserve">支持前端活体检测，有效防假；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支持暗装、明装</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整机IP65，室外产品</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明装壳组件（薄款）</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明装</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室外产品</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适用于相关产品 </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DC12V2A电源适配器</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尺寸为104mm(L)×45mm(W)×33mm(H)</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AC输入线350mm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DC输出端线800mm</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黑色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支持共模4KV,差模2KV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达到V5能效等级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支持AC180~264V电压供电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支持DC12V2A输出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适应温度-30~70℃； 湿度＜90%的环境应用</w:t>
            </w:r>
            <w:r>
              <w:rPr>
                <w:rFonts w:hint="eastAsia" w:ascii="宋体" w:hAnsi="宋体" w:cs="宋体"/>
                <w:color w:val="auto"/>
                <w:sz w:val="22"/>
                <w:szCs w:val="22"/>
                <w:highlight w:val="none"/>
                <w:lang w:eastAsia="zh-CN" w:bidi="ar"/>
              </w:rPr>
              <w:t>；</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通过3C检测</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7寸数字室内机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可远程打开单元门锁（支持监视开锁、对讲开锁）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支持免打扰</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支持主动监视门口机的画面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支持接收并查看中心下发的公告信息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同一户支持多台室内机（最多支持4台室内机）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支持呼梯功能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设备支持报警接入功能（8路有线防区）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支持SOS紧急求助，同时将报警信息上报管理中心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采用高性能的扬声器和麦克风，支持噪声抑制与回声消除技术，保证高质量的语音通话</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安装便利（86盒安装、防脱钩设计、批量配置、网线供电等）</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安装支架</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室内机支架</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其他线</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其他线-(12芯2.0间距转裸线,裸线半剥,CH款室内机)-200mm</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10寸数字管理机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采用10寸全玻璃触摸显示屏，屏幕分辨率1024*600</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支持远程打开单元门锁（支持监视开锁、对讲开锁）</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支持和门口机，室内机的双向实时对讲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支持同时监视4路门口机、IPC的画面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支持SD卡扩展，在门口机对讲和监视时进行录像和抓拍图片</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支持免提和听筒自由切换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支持桌面安装，支架0～45°可调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支持HDMI输出，最大分辨率1024*600</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辅助设备</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支持信号中继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室内机选通</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支持30级级联</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支持短路保护功能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支持8路RJ4510M/100Mbps以太网口(1路上行接口IN，1路下行接口OUT，6路接数字室内机）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使用网线连接室内机，单根网线直接供网供电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电气设计，支持DIN导轨安装</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40</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内置机壳电源-AC100V~120V/200V~240V-150W-24V6.5A-接线端子输入9.5mm-接线端子输出9.5mm</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AC输入，手动开关转换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通电指示灯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过载/过压/短路保护</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小体积,高效率,高可靠性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100%满载老化测试</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主要用于给联网分配器或楼道交换机供电。支持接3个VTNA1080B或6个VTNA1040B。支持接3个VTNS1060A</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智能物联综合管理平台（一体机）</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软硬一体化部署，插电可用，7*24小时稳定运行；</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平台业务架构支持通过业务服务集群部署扩展业务处理能力，通过设备接入服务分布式部署扩展设备接入能力，采用一体机堆叠方式自动累加快速实现；</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平台支持多终端（C/S客户端、移动APP、WEB、微信小程序）运行使用；</w:t>
            </w:r>
          </w:p>
          <w:p>
            <w:pPr>
              <w:widowControl/>
              <w:spacing w:line="400" w:lineRule="exact"/>
              <w:jc w:val="left"/>
              <w:rPr>
                <w:rFonts w:hint="eastAsia" w:ascii="宋体" w:hAnsi="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支持安防行业主流协议；符合安防行业相关国家标准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智能应用集成，支持雷达监控移动物体、热成像预览实时测温、高空抛物实时视频预览目标轨迹检测、离岗检测等各类智能报警应用；</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自定义可视化数据驾驶舱，支持聚合业务数据，结合自定义组件，形成数据魔墙，满足不同终端或投屏展示；</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部署运维监管，基础业务模块自动部署安装，个性化业务模块根据实际场景自定义选择安装；</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8、</w:t>
            </w:r>
            <w:r>
              <w:rPr>
                <w:rFonts w:hint="eastAsia" w:ascii="宋体" w:hAnsi="宋体" w:cs="宋体"/>
                <w:color w:val="auto"/>
                <w:sz w:val="22"/>
                <w:szCs w:val="22"/>
                <w:highlight w:val="none"/>
                <w:lang w:bidi="ar"/>
              </w:rPr>
              <w:t>操作系统：CentOS7.7</w:t>
            </w:r>
            <w:r>
              <w:rPr>
                <w:rFonts w:hint="eastAsia" w:ascii="宋体" w:hAnsi="宋体" w:cs="宋体"/>
                <w:color w:val="auto"/>
                <w:sz w:val="22"/>
                <w:szCs w:val="22"/>
                <w:highlight w:val="none"/>
                <w:lang w:val="en-US" w:eastAsia="zh-CN" w:bidi="ar"/>
              </w:rPr>
              <w:t>或更优系统</w:t>
            </w:r>
            <w:r>
              <w:rPr>
                <w:rFonts w:hint="eastAsia" w:ascii="宋体" w:hAnsi="宋体" w:cs="宋体"/>
                <w:color w:val="auto"/>
                <w:sz w:val="22"/>
                <w:szCs w:val="22"/>
                <w:highlight w:val="none"/>
                <w:lang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9、</w:t>
            </w:r>
            <w:r>
              <w:rPr>
                <w:rFonts w:hint="eastAsia" w:ascii="宋体" w:hAnsi="宋体" w:cs="宋体"/>
                <w:color w:val="auto"/>
                <w:sz w:val="22"/>
                <w:szCs w:val="22"/>
                <w:highlight w:val="none"/>
                <w:lang w:bidi="ar"/>
              </w:rPr>
              <w:t>处理器:Intel Xeon E3-12 V5 CPU</w:t>
            </w:r>
            <w:r>
              <w:rPr>
                <w:rFonts w:hint="eastAsia" w:ascii="宋体" w:hAnsi="宋体" w:cs="宋体"/>
                <w:color w:val="auto"/>
                <w:sz w:val="22"/>
                <w:szCs w:val="22"/>
                <w:highlight w:val="none"/>
                <w:lang w:val="en-US" w:eastAsia="zh-CN" w:bidi="ar"/>
              </w:rPr>
              <w:t>或更优CPU；</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10、</w:t>
            </w:r>
            <w:r>
              <w:rPr>
                <w:rFonts w:hint="eastAsia" w:ascii="宋体" w:hAnsi="宋体" w:cs="宋体"/>
                <w:color w:val="auto"/>
                <w:sz w:val="22"/>
                <w:szCs w:val="22"/>
                <w:highlight w:val="none"/>
                <w:lang w:bidi="ar"/>
              </w:rPr>
              <w:t>支持最大TDP功耗75W.；</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芯片组:Intel C236 chipset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内存：DDR4内存条-8GB-VLP-ECC-UDIMM*4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13、</w:t>
            </w:r>
            <w:r>
              <w:rPr>
                <w:rFonts w:hint="eastAsia" w:ascii="宋体" w:hAnsi="宋体" w:cs="宋体"/>
                <w:color w:val="auto"/>
                <w:sz w:val="22"/>
                <w:szCs w:val="22"/>
                <w:highlight w:val="none"/>
                <w:lang w:bidi="ar"/>
              </w:rPr>
              <w:t>存储：硬盘-ST1000NM0055-1T-128M缓存-3.5英寸-SATA3.0接口，规格：2*1T；前置4盘位, 可支持4个3.5英寸SATA硬盘；</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配置SAS HBA卡时，可支持SAS硬盘；内置主板支持2个M.2 SATA接口。</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16口千兆上联PoE交换机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非管理PoE交换机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高性能交换机芯片，大缓存，视频无卡顿</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符合IEEE802.3、IEEE802.3u、IEEE802.3z、IEEE802.3x标准</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全金属外壳，全封闭防尘、宽温设计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无网管，即插即用，支简化工程施工部署</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支持IEEE802.3af/IEEE802.3at/Hi-PoE</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7、</w:t>
            </w:r>
            <w:r>
              <w:rPr>
                <w:rFonts w:hint="eastAsia" w:ascii="宋体" w:hAnsi="宋体" w:cs="宋体"/>
                <w:color w:val="auto"/>
                <w:sz w:val="22"/>
                <w:szCs w:val="22"/>
                <w:highlight w:val="none"/>
                <w:lang w:bidi="ar"/>
              </w:rPr>
              <w:t>支持250m远距离传输</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支持WEB界面，SNMP管理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支持STP、RSTP生成树协议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支持手工聚合和静态LACP协议聚合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支持PoE功耗管理和绿色PoE功能</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支持IEEE 802.1X认证</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机柜</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机柜（高*宽*深）1500*600*1000（mm）</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螺丝刀套装</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300万双光变焦出入口相机（球头支架）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支持全天候车辆信息全结构化深度提取，车辆捕获率和车牌识别率都达到99.9%以上</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丰富多样的信号通讯接口，可控制出入口道闸等外设</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内置暖光、红外双光补光灯（可根据需求自由切换），根据环境亮度自动控制开关或调节补光亮度，降低光污染和功耗</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采用电动变焦镜头，场景适应性强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通过485可配置雷达和道闸，监控出入口系统设备运行状态，减少调试和故障定位困难问题</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完善的低功耗一体化结构设计，IP67防护等级</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室外4行双色信息屏</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四行四字高亮显示屏、满足户外使用需求</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支持自定义显示中文、数字等内容</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485控制显示及播报，调试方便</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支持语音播报功能，声音清晰洪亮</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出入口抓拍一体机</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外置485补光灯（白色）</w:t>
            </w:r>
            <w:r>
              <w:rPr>
                <w:rFonts w:hint="eastAsia" w:ascii="宋体" w:hAnsi="宋体" w:cs="宋体"/>
                <w:i w:val="0"/>
                <w:iCs w:val="0"/>
                <w:color w:val="auto"/>
                <w:kern w:val="0"/>
                <w:sz w:val="22"/>
                <w:szCs w:val="22"/>
                <w:highlight w:val="none"/>
                <w:u w:val="none"/>
                <w:lang w:val="en-US"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直流右向3米直臂道闸（1.5秒）</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适用于日均车流量≤1000辆场景</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右向直臂道闸，箱体采用钣金设计，机箱表面采用静电喷涂工艺防锈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采用24V直流无刷电机，低功耗、效率高、运行稳定、安全且噪声小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支持3米直杆</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5</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道闸起落杆速度可调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6</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道闸开关限位位置可调</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7</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数码管面板显示，支持设备故障码、设备运行状态显示</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8</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可通过485接口连接相机，通过相机web端可读取道闸状态包括运行次数和运行状态。并且可以读取道闸运行日志</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9</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支持外接雷达、 线圈、 红外防砸功能， 内置 DC12V输出，可用于外接雷达供电</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10</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标配遇阻反弹功能， 当杆子下落过程中受阻时会自动反弹</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断电手摇起落杆，断电之后可以通过手摇电机把手控制起落杆</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无线摇控功能，采用学习码遥控技术，方便且保密性高，最大遥控距离50米（空旷无干扰）</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一键车队模式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支持道闸计数模式</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15</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支持延迟落杆且延迟落杆时间和速度均可设置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16</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电机寿命：300万次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17</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弹簧寿命：80万次</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18</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工作温度：-35℃~85℃</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19</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工作湿度：10%~90%</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20</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外部供电电压：AC220V±10%或AC110~120V（通过内置开关电源拨码切换）</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工作电压：DC24V</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防护等级：IP54</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50</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3米直臂道闸杆件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直臂杆件，杆长3米，左右向通用，杆子采用铝合金材质，表面采用静电喷涂工艺防锈，杆子底部带弹性防砸胶条</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51</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自助终端</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出入口可视对讲集成200万高清摄像机、喇叭、麦克风、呼叫按钮为一体，实现无牌车自助扫描入场、出场扫描支付及可视对讲功能。其中机体可粘贴显示二维码信息，呼叫按钮实现可视对讲功能</w:t>
            </w:r>
            <w:r>
              <w:rPr>
                <w:rFonts w:hint="eastAsia" w:ascii="宋体" w:hAnsi="宋体" w:cs="宋体"/>
                <w:color w:val="auto"/>
                <w:sz w:val="22"/>
                <w:szCs w:val="22"/>
                <w:highlight w:val="none"/>
                <w:lang w:eastAsia="zh-CN" w:bidi="ar"/>
              </w:rPr>
              <w:t>；</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支持通过呼叫按钮发起语音对讲，在平台端打开视频并接通语音对讲，实现可视对讲功能，执行人工服务。</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52</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杆式抓拍一体机杆件</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杆件外表喷涂户外金属粉末，避免产品生锈</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配合相机内部走线，提高整机安全性</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一体化设计，外观简洁大方</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53</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79G出入口防砸雷达</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 xml:space="preserve">支持全系（直杆、折臂、栅栏、广告）道闸配套使用；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 xml:space="preserve">支持手机蓝牙调试和设置； </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支持防砸区域可配置</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4、</w:t>
            </w:r>
            <w:r>
              <w:rPr>
                <w:rFonts w:hint="eastAsia" w:ascii="宋体" w:hAnsi="宋体" w:cs="宋体"/>
                <w:color w:val="auto"/>
                <w:sz w:val="22"/>
                <w:szCs w:val="22"/>
                <w:highlight w:val="none"/>
                <w:lang w:bidi="ar"/>
              </w:rPr>
              <w:t>支持虚警点检测及剔除</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5、</w:t>
            </w:r>
            <w:r>
              <w:rPr>
                <w:rFonts w:hint="eastAsia" w:ascii="宋体" w:hAnsi="宋体" w:cs="宋体"/>
                <w:color w:val="auto"/>
                <w:sz w:val="22"/>
                <w:szCs w:val="22"/>
                <w:highlight w:val="none"/>
                <w:lang w:bidi="ar"/>
              </w:rPr>
              <w:t>支持在线升级程序</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54</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安全岛</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支持道闸安装：</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支持抓拍显示一体机安装</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 xml:space="preserve">支持立杆支架产品安装： </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注： 直杆、折臂道闸杆长不超过5米，栅栏道闸杆长不超过4米</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55</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自助终端</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可视对讲功能，200万摄像机、喇叭、麦克风、呼叫按钮一体化设计； </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9寸户外LCD液晶屏，采用光敏控制，空闲屏保。入口：无牌车扫码入场，出口：显示缴费二维码、缴费金额、车牌号码、出入场时间等信息。</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56</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出入口管理终端</w:t>
            </w:r>
          </w:p>
        </w:tc>
        <w:tc>
          <w:tcPr>
            <w:tcW w:w="3303" w:type="pct"/>
            <w:vAlign w:val="center"/>
          </w:tcPr>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【有操作系统】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产品采用Intel 4305UE处理器，</w:t>
            </w:r>
            <w:r>
              <w:rPr>
                <w:rFonts w:hint="eastAsia" w:ascii="宋体" w:hAnsi="宋体" w:cs="宋体"/>
                <w:color w:val="auto"/>
                <w:sz w:val="22"/>
                <w:szCs w:val="22"/>
                <w:highlight w:val="none"/>
                <w:lang w:val="en-US" w:eastAsia="zh-CN" w:bidi="ar"/>
              </w:rPr>
              <w:t>支持</w:t>
            </w:r>
            <w:r>
              <w:rPr>
                <w:rFonts w:hint="eastAsia" w:ascii="宋体" w:hAnsi="宋体" w:eastAsia="宋体" w:cs="宋体"/>
                <w:i w:val="0"/>
                <w:iCs w:val="0"/>
                <w:color w:val="auto"/>
                <w:kern w:val="0"/>
                <w:sz w:val="22"/>
                <w:szCs w:val="22"/>
                <w:highlight w:val="none"/>
                <w:u w:val="none"/>
                <w:lang w:val="en-US" w:eastAsia="zh-CN" w:bidi="ar"/>
              </w:rPr>
              <w:t>WIN10系统</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color w:val="auto"/>
                <w:sz w:val="22"/>
                <w:szCs w:val="22"/>
                <w:highlight w:val="none"/>
                <w:lang w:bidi="ar"/>
              </w:rPr>
              <w:t xml:space="preserve">标配4G内存、M.2接口256G固态硬盘，可用存储容量230G；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预留DDR内存卡槽、2.5寸硬盘SATA接口可扩展；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内置加密狗，支持添加2万条白名单，支持同步下发相机，支持按次收费、按时收费、按时段收费、按日夜收费、分时收费；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支持5类车类：免费车、月租车、储值车、临时车和VIP车，支持3种车型：黄牌、蓝牌和绿牌；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5</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单台最大支持4车道（1进3出、2进2出、3进1出），支持5台级联；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6</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支持2/4车道监控，岗亭收费、异常放行，支持接入相关平台实现电子支付； </w:t>
            </w:r>
          </w:p>
          <w:p>
            <w:pPr>
              <w:widowControl/>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7</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外部接口：4个USB3.0接口、1个VGA、1个HDMI、1路音频输入、1路音频输出，双网卡设计，8口千兆交换机，1个电源开关按键； </w:t>
            </w:r>
          </w:p>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8</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 xml:space="preserve">采用无风扇、低功耗设计。 </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57</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停车场-电子支付</w:t>
            </w:r>
          </w:p>
        </w:tc>
        <w:tc>
          <w:tcPr>
            <w:tcW w:w="3303" w:type="pct"/>
            <w:vAlign w:val="center"/>
          </w:tcPr>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1、该料号将包含所有电子支付种类，包括免密支付、聚合支付，以及后续可能会出现的ETC支付等其他支付类型</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2、根据实际的出入口数量下单对应数量的料就行，对于量大的可以进行适当的打折，折扣可以参考原先的物料定价</w:t>
            </w:r>
            <w:r>
              <w:rPr>
                <w:rFonts w:hint="eastAsia" w:ascii="宋体" w:hAnsi="宋体" w:cs="宋体"/>
                <w:color w:val="auto"/>
                <w:sz w:val="22"/>
                <w:szCs w:val="22"/>
                <w:highlight w:val="none"/>
                <w:lang w:eastAsia="zh-CN" w:bidi="ar"/>
              </w:rPr>
              <w:t>；</w:t>
            </w:r>
          </w:p>
          <w:p>
            <w:pPr>
              <w:widowControl/>
              <w:spacing w:line="400" w:lineRule="exact"/>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3、对于需要下多个年份的，也通过增加数量解决</w:t>
            </w:r>
            <w:r>
              <w:rPr>
                <w:rFonts w:hint="eastAsia" w:ascii="宋体" w:hAnsi="宋体" w:cs="宋体"/>
                <w:color w:val="auto"/>
                <w:sz w:val="22"/>
                <w:szCs w:val="22"/>
                <w:highlight w:val="none"/>
                <w:lang w:eastAsia="zh-CN" w:bidi="ar"/>
              </w:rPr>
              <w:t>。</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58</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8口千兆交换机</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塑壳8口千兆交换机</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Align w:val="center"/>
          </w:tcPr>
          <w:p>
            <w:pPr>
              <w:widowControl/>
              <w:spacing w:line="40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59</w:t>
            </w:r>
          </w:p>
        </w:tc>
        <w:tc>
          <w:tcPr>
            <w:tcW w:w="945"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仿真车道</w:t>
            </w:r>
          </w:p>
        </w:tc>
        <w:tc>
          <w:tcPr>
            <w:tcW w:w="3303" w:type="pct"/>
            <w:vAlign w:val="center"/>
          </w:tcPr>
          <w:p>
            <w:pPr>
              <w:widowControl/>
              <w:spacing w:line="40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仿真车道+模型车</w:t>
            </w:r>
          </w:p>
        </w:tc>
        <w:tc>
          <w:tcPr>
            <w:tcW w:w="263" w:type="pct"/>
            <w:vAlign w:val="center"/>
          </w:tcPr>
          <w:p>
            <w:pPr>
              <w:keepNext w:val="0"/>
              <w:keepLines w:val="0"/>
              <w:widowControl/>
              <w:suppressLineNumbers w:val="0"/>
              <w:jc w:val="center"/>
              <w:textAlignment w:val="bottom"/>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vAlign w:val="center"/>
          </w:tcPr>
          <w:p>
            <w:pPr>
              <w:keepNext w:val="0"/>
              <w:keepLines w:val="0"/>
              <w:widowControl/>
              <w:suppressLineNumbers w:val="0"/>
              <w:jc w:val="center"/>
              <w:textAlignment w:val="bottom"/>
              <w:rPr>
                <w:rFonts w:ascii="宋体" w:hAnsi="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圆</w:t>
            </w:r>
          </w:p>
        </w:tc>
      </w:tr>
    </w:tbl>
    <w:p>
      <w:pPr>
        <w:rPr>
          <w:color w:val="auto"/>
          <w:highlight w:val="none"/>
        </w:rPr>
        <w:sectPr>
          <w:headerReference r:id="rId12" w:type="default"/>
          <w:footerReference r:id="rId13" w:type="default"/>
          <w:pgSz w:w="11906" w:h="16838"/>
          <w:pgMar w:top="1134" w:right="1134" w:bottom="1134" w:left="1134" w:header="851" w:footer="992" w:gutter="0"/>
          <w:cols w:space="720" w:num="1"/>
          <w:docGrid w:linePitch="312" w:charSpace="0"/>
        </w:sectPr>
      </w:pPr>
    </w:p>
    <w:bookmarkEnd w:id="94"/>
    <w:p>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 xml:space="preserve">2.  </w:t>
      </w:r>
      <w:r>
        <w:rPr>
          <w:rFonts w:hint="eastAsia" w:ascii="宋体" w:hAnsi="宋体" w:cs="宋体"/>
          <w:b/>
          <w:bCs/>
          <w:color w:val="auto"/>
          <w:sz w:val="22"/>
          <w:szCs w:val="28"/>
          <w:highlight w:val="none"/>
        </w:rPr>
        <w:t>商务要求（技术参数里另有注明的以技术参数为准）</w:t>
      </w:r>
    </w:p>
    <w:tbl>
      <w:tblPr>
        <w:tblStyle w:val="36"/>
        <w:tblW w:w="10357"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6"/>
        <w:gridCol w:w="8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highlight w:val="none"/>
              </w:rPr>
            </w:pPr>
            <w:bookmarkStart w:id="98" w:name="_Hlk51759376"/>
            <w:r>
              <w:rPr>
                <w:rFonts w:hint="eastAsia" w:ascii="宋体" w:hAnsi="宋体" w:cs="宋体"/>
                <w:b/>
                <w:bCs/>
                <w:color w:val="auto"/>
                <w:szCs w:val="22"/>
                <w:highlight w:val="none"/>
              </w:rPr>
              <w:t>支付方式</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jc w:val="left"/>
              <w:rPr>
                <w:rFonts w:ascii="宋体" w:hAnsi="宋体" w:cs="宋体"/>
                <w:color w:val="auto"/>
                <w:szCs w:val="22"/>
                <w:highlight w:val="none"/>
                <w:u w:val="single"/>
                <w:lang w:val="zh-CN"/>
              </w:rPr>
            </w:pPr>
            <w:r>
              <w:rPr>
                <w:rFonts w:hint="eastAsia" w:ascii="宋体" w:hAnsi="宋体" w:cs="宋体"/>
                <w:color w:val="auto"/>
                <w:szCs w:val="22"/>
                <w:highlight w:val="none"/>
              </w:rPr>
              <w:t>合同签订后7个工作日内，甲方向乙方支付合同总额的40%合同款作为预付款；全部设备供货完成后7个工作日内，甲方向乙方支付合同总额的50%合同款；设备安装、调试、验收合格后，甲方待收到乙方开具的正式发票后7</w:t>
            </w:r>
            <w:r>
              <w:rPr>
                <w:rFonts w:hint="eastAsia" w:ascii="宋体" w:hAnsi="宋体" w:cs="宋体"/>
                <w:color w:val="auto"/>
                <w:szCs w:val="22"/>
                <w:highlight w:val="none"/>
                <w:lang w:val="en-US" w:eastAsia="zh-CN"/>
              </w:rPr>
              <w:t>个</w:t>
            </w:r>
            <w:r>
              <w:rPr>
                <w:rFonts w:hint="eastAsia" w:ascii="宋体" w:hAnsi="宋体" w:cs="宋体"/>
                <w:color w:val="auto"/>
                <w:szCs w:val="22"/>
                <w:highlight w:val="none"/>
              </w:rPr>
              <w:t>工作日内向乙方支付剩余全部合同款。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质保期</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40" w:lineRule="exact"/>
              <w:jc w:val="left"/>
              <w:rPr>
                <w:rFonts w:ascii="宋体" w:hAnsi="宋体" w:cs="宋体"/>
                <w:color w:val="auto"/>
                <w:sz w:val="22"/>
                <w:szCs w:val="22"/>
                <w:highlight w:val="none"/>
              </w:rPr>
            </w:pPr>
            <w:r>
              <w:rPr>
                <w:rFonts w:hint="eastAsia" w:ascii="宋体" w:hAnsi="宋体" w:cs="宋体"/>
                <w:color w:val="auto"/>
                <w:sz w:val="22"/>
                <w:highlight w:val="none"/>
              </w:rPr>
              <w:t>自验收合格之日起3年。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交付时间</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合同签订起30天内完成交付使用。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交付地点</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质保期内，所有故障维护服务均为上门(远程)服务。投标人须对整个系统至少提供3年免费的升级更新以及其他的支持服务，并提供永久性7*24小时技术支持，包括各种软件系统故障及对各种突发事件采取应急措施等，服务响应时间为1小时。</w:t>
            </w:r>
          </w:p>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2.超过保修期的软件实行终身维护，维护只收成本费，提供所有软件备份，提供不少于3年的软件免费升级。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服务效率</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投标人须通过电话提供解决方案，或者利用远程维护方式解决问题。若不能在2小时内解决故障问题或采购人需要投标人现场服务的，须在12小时内赶到现场解决。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验收标准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olor w:val="auto"/>
                <w:sz w:val="22"/>
                <w:szCs w:val="22"/>
                <w:highlight w:val="none"/>
              </w:rPr>
            </w:pPr>
            <w:r>
              <w:rPr>
                <w:rFonts w:hint="eastAsia" w:ascii="宋体" w:hAnsi="宋体"/>
                <w:color w:val="auto"/>
                <w:sz w:val="22"/>
                <w:szCs w:val="22"/>
                <w:highlight w:val="none"/>
              </w:rPr>
              <w:t>1.合同履约验收参照《温州市政府采购履约验收办法》(温财采[2020]6号)相关规定。</w:t>
            </w:r>
          </w:p>
          <w:p>
            <w:pPr>
              <w:spacing w:line="400" w:lineRule="exact"/>
              <w:rPr>
                <w:rFonts w:ascii="宋体" w:hAnsi="宋体"/>
                <w:color w:val="auto"/>
                <w:sz w:val="22"/>
                <w:szCs w:val="22"/>
                <w:highlight w:val="none"/>
              </w:rPr>
            </w:pPr>
            <w:r>
              <w:rPr>
                <w:rFonts w:hint="eastAsia" w:ascii="宋体" w:hAnsi="宋体"/>
                <w:color w:val="auto"/>
                <w:sz w:val="22"/>
                <w:szCs w:val="22"/>
                <w:highlight w:val="none"/>
              </w:rPr>
              <w:t>2.合同履约达到验收条件时，供应商按照合同约定向采购人书面发起验收申请，采购人或者其委托的采购代理机构（以下简称验收组织机构）在收到供应商验收申请五个工作日内启动项目验收，并书面通知供应商。技术复杂、专业性强或者重大民生、金额较大的项目验收准备时间，经政府采购合同双方当事人协商，可适当延长。</w:t>
            </w:r>
          </w:p>
          <w:p>
            <w:pPr>
              <w:spacing w:line="400" w:lineRule="exact"/>
              <w:rPr>
                <w:rFonts w:ascii="宋体" w:hAnsi="宋体"/>
                <w:color w:val="auto"/>
                <w:sz w:val="22"/>
                <w:szCs w:val="22"/>
                <w:highlight w:val="none"/>
              </w:rPr>
            </w:pPr>
            <w:r>
              <w:rPr>
                <w:rFonts w:hint="eastAsia" w:ascii="宋体" w:hAnsi="宋体"/>
                <w:color w:val="auto"/>
                <w:sz w:val="22"/>
                <w:szCs w:val="22"/>
                <w:highlight w:val="none"/>
              </w:rPr>
              <w:t>3.验收组织机构可以邀请参加项目采购活动的其他供应商或第三方专业机构及专家参与验收。验收组织机构应当按照招标文件、响应文件、采购合同、封存样品（如有）等约定的质量、数量、技术指标或者服务要求设置验收指标及其标准。未约定的，应当符合国家强制性规定、政策要求、安全标准、行业或企业有关标准等。</w:t>
            </w:r>
          </w:p>
          <w:p>
            <w:pPr>
              <w:pStyle w:val="18"/>
              <w:widowControl/>
              <w:adjustRightInd w:val="0"/>
              <w:snapToGrid w:val="0"/>
              <w:spacing w:line="400" w:lineRule="exact"/>
              <w:rPr>
                <w:rFonts w:ascii="宋体" w:hAnsi="宋体" w:cs="宋体"/>
                <w:color w:val="auto"/>
                <w:sz w:val="22"/>
                <w:szCs w:val="22"/>
                <w:highlight w:val="none"/>
              </w:rPr>
            </w:pPr>
            <w:r>
              <w:rPr>
                <w:rFonts w:hint="eastAsia" w:ascii="宋体" w:hAnsi="宋体"/>
                <w:color w:val="auto"/>
                <w:sz w:val="22"/>
                <w:szCs w:val="22"/>
                <w:highlight w:val="none"/>
              </w:rPr>
              <w:t>4.验收费用由中标人承担。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其他技术、服务要求</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1.培训：</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1.1 对采购人的操作人员、维修人员每年定期免费进行培训。</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1.2 提供完整详细的实施、培训和运维计划方案，并得到采购人的批准。实施过程严格按照批准后的计划进行，如有变更需再次得到采购人的批准。</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1.3 中标人应根据项目实施的计划、进度和需要，及时对采购人操作人员进行培训，使其基本掌握应用系统的目标和功能，能够独立完成其操作对象。中标人应无条件对采购人操作人员提供培训，学会为止，培训费用包含在报价中，采购人无需另行自费。</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2.技术支持：</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中标人应及时免费提供合同货物软件的升级，免费提供合同货物新功能和应用的资料。</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3.安装调试（若需要安装调试）：</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3.1 安装地点：采购人指定地点。</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3.2 安装完成时间：接到采购人通知后在规定时间内完成安装和调试，如在规定的时间内由于中标人的原因不能完成安装和调试，中标人应承担由此给采购人造成的损失。</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3.3 安装标准：符合我国国家有关技术规范要求和技术标准，所有的软件和硬件必须保证同时安装到位。</w:t>
            </w:r>
          </w:p>
          <w:p>
            <w:pPr>
              <w:pStyle w:val="18"/>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3.4 中标人免费提供合同货物的安装服务。</w:t>
            </w:r>
          </w:p>
          <w:p>
            <w:pPr>
              <w:pStyle w:val="18"/>
              <w:widowControl/>
              <w:adjustRightInd w:val="0"/>
              <w:snapToGrid w:val="0"/>
              <w:spacing w:line="400" w:lineRule="exact"/>
              <w:rPr>
                <w:rFonts w:ascii="宋体" w:hAnsi="宋体"/>
                <w:color w:val="auto"/>
                <w:sz w:val="22"/>
                <w:szCs w:val="22"/>
                <w:highlight w:val="none"/>
              </w:rPr>
            </w:pPr>
            <w:r>
              <w:rPr>
                <w:rFonts w:hint="eastAsia" w:ascii="宋体" w:hAnsi="宋体" w:cs="宋体"/>
                <w:color w:val="auto"/>
                <w:sz w:val="22"/>
                <w:highlight w:val="none"/>
              </w:rPr>
              <w:t>3.5 供应商在响应文件中应提供安装调试计划、对安装场地和环境的要求。</w:t>
            </w:r>
          </w:p>
        </w:tc>
      </w:tr>
      <w:bookmarkEnd w:id="98"/>
    </w:tbl>
    <w:p>
      <w:pPr>
        <w:rPr>
          <w:rFonts w:ascii="宋体" w:hAnsi="宋体" w:cs="宋体"/>
          <w:b/>
          <w:bCs/>
          <w:color w:val="auto"/>
          <w:szCs w:val="22"/>
          <w:highlight w:val="none"/>
        </w:rPr>
      </w:pPr>
    </w:p>
    <w:p>
      <w:pPr>
        <w:rPr>
          <w:color w:val="auto"/>
          <w:highlight w:val="none"/>
        </w:rPr>
      </w:pPr>
    </w:p>
    <w:p>
      <w:pPr>
        <w:pStyle w:val="5"/>
        <w:spacing w:line="600" w:lineRule="exact"/>
        <w:jc w:val="center"/>
        <w:rPr>
          <w:rFonts w:ascii="黑体" w:hAnsi="黑体"/>
          <w:bCs/>
          <w:color w:val="auto"/>
          <w:sz w:val="36"/>
          <w:szCs w:val="36"/>
          <w:highlight w:val="none"/>
        </w:rPr>
      </w:pPr>
      <w:r>
        <w:rPr>
          <w:rFonts w:hint="eastAsia" w:ascii="黑体" w:hAnsi="黑体" w:cs="黑体"/>
          <w:b w:val="0"/>
          <w:bCs/>
          <w:color w:val="auto"/>
          <w:sz w:val="22"/>
          <w:szCs w:val="22"/>
          <w:highlight w:val="none"/>
        </w:rPr>
        <w:br w:type="page"/>
      </w:r>
      <w:bookmarkStart w:id="99" w:name="_Toc9343395"/>
      <w:bookmarkStart w:id="100" w:name="_Toc20837"/>
      <w:r>
        <w:rPr>
          <w:rFonts w:hint="eastAsia" w:ascii="黑体" w:hAnsi="黑体" w:eastAsia="黑体"/>
          <w:bCs/>
          <w:color w:val="auto"/>
          <w:sz w:val="36"/>
          <w:szCs w:val="36"/>
          <w:highlight w:val="none"/>
        </w:rPr>
        <w:t>第六部分  评标原则及方法</w:t>
      </w:r>
      <w:bookmarkEnd w:id="95"/>
      <w:bookmarkEnd w:id="99"/>
      <w:bookmarkEnd w:id="100"/>
    </w:p>
    <w:p>
      <w:pPr>
        <w:pStyle w:val="3"/>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根据《中华人民共和国政府采购法》、《政府采购货物和服务招标投标管理办法》（财政部第87号令）等相关法律、法规特制定以下评标办法。</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在政采云系统上公开资格和商务技术评审结果；</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在政采云系统上公开报价情况；</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特别说明：政采云公司如对电子化开标及评审程序有调整的，按调整后的程序操作。</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w:t>
      </w:r>
      <w:r>
        <w:rPr>
          <w:rFonts w:ascii="宋体" w:hAnsi="宋体" w:cs="宋体"/>
          <w:color w:val="auto"/>
          <w:sz w:val="22"/>
          <w:szCs w:val="22"/>
          <w:highlight w:val="none"/>
        </w:rPr>
        <w:t>70</w:t>
      </w:r>
      <w:r>
        <w:rPr>
          <w:rFonts w:hint="eastAsia" w:ascii="宋体" w:hAnsi="宋体" w:cs="宋体"/>
          <w:color w:val="auto"/>
          <w:sz w:val="22"/>
          <w:szCs w:val="22"/>
          <w:highlight w:val="none"/>
        </w:rPr>
        <w:t>分（商务技术权值</w:t>
      </w:r>
      <w:r>
        <w:rPr>
          <w:rFonts w:ascii="宋体" w:hAnsi="宋体" w:cs="宋体"/>
          <w:color w:val="auto"/>
          <w:sz w:val="22"/>
          <w:szCs w:val="22"/>
          <w:highlight w:val="none"/>
        </w:rPr>
        <w:t>70</w:t>
      </w:r>
      <w:r>
        <w:rPr>
          <w:rFonts w:hint="eastAsia" w:ascii="宋体" w:hAnsi="宋体" w:cs="宋体"/>
          <w:color w:val="auto"/>
          <w:sz w:val="22"/>
          <w:szCs w:val="22"/>
          <w:highlight w:val="none"/>
        </w:rPr>
        <w:t>%），价格3</w:t>
      </w:r>
      <w:r>
        <w:rPr>
          <w:rFonts w:ascii="宋体" w:hAnsi="宋体" w:cs="宋体"/>
          <w:color w:val="auto"/>
          <w:sz w:val="22"/>
          <w:szCs w:val="22"/>
          <w:highlight w:val="none"/>
        </w:rPr>
        <w:t>0</w:t>
      </w:r>
      <w:r>
        <w:rPr>
          <w:rFonts w:hint="eastAsia" w:ascii="宋体" w:hAnsi="宋体" w:cs="宋体"/>
          <w:color w:val="auto"/>
          <w:sz w:val="22"/>
          <w:szCs w:val="22"/>
          <w:highlight w:val="none"/>
        </w:rPr>
        <w:t>分（价格权值3</w:t>
      </w:r>
      <w:r>
        <w:rPr>
          <w:rFonts w:ascii="宋体" w:hAnsi="宋体" w:cs="宋体"/>
          <w:color w:val="auto"/>
          <w:sz w:val="22"/>
          <w:szCs w:val="22"/>
          <w:highlight w:val="none"/>
        </w:rPr>
        <w:t>0</w:t>
      </w:r>
      <w:r>
        <w:rPr>
          <w:rFonts w:hint="eastAsia" w:ascii="宋体" w:hAnsi="宋体" w:cs="宋体"/>
          <w:color w:val="auto"/>
          <w:sz w:val="22"/>
          <w:szCs w:val="22"/>
          <w:highlight w:val="none"/>
        </w:rPr>
        <w:t>%）。即最大限度地满足招标文件实质性要求前提下，按照招标文件中规定的各项评分内容评审后，以评标总得分最高的投标人，作为中标人。</w:t>
      </w:r>
    </w:p>
    <w:p>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w:t>
      </w:r>
      <w:r>
        <w:rPr>
          <w:rFonts w:ascii="宋体" w:hAnsi="宋体" w:cs="宋体"/>
          <w:color w:val="auto"/>
          <w:sz w:val="22"/>
          <w:szCs w:val="22"/>
          <w:highlight w:val="none"/>
        </w:rPr>
        <w:t>70</w:t>
      </w:r>
      <w:r>
        <w:rPr>
          <w:rFonts w:hint="eastAsia" w:ascii="宋体" w:hAnsi="宋体" w:cs="宋体"/>
          <w:color w:val="auto"/>
          <w:sz w:val="22"/>
          <w:szCs w:val="22"/>
          <w:highlight w:val="none"/>
        </w:rPr>
        <w:t>分）</w:t>
      </w:r>
    </w:p>
    <w:p>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pPr>
        <w:spacing w:line="440" w:lineRule="exact"/>
        <w:rPr>
          <w:rFonts w:ascii="宋体" w:hAnsi="宋体"/>
          <w:color w:val="auto"/>
          <w:sz w:val="22"/>
          <w:szCs w:val="22"/>
          <w:highlight w:val="none"/>
        </w:rPr>
      </w:pPr>
      <w:r>
        <w:rPr>
          <w:rFonts w:hint="eastAsia" w:ascii="宋体" w:hAnsi="宋体" w:cs="宋体"/>
          <w:b/>
          <w:color w:val="auto"/>
          <w:szCs w:val="22"/>
          <w:highlight w:val="none"/>
        </w:rPr>
        <w:t>商务技术70分</w:t>
      </w:r>
    </w:p>
    <w:tbl>
      <w:tblPr>
        <w:tblStyle w:val="3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01"/>
        <w:gridCol w:w="686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813" w:type="pct"/>
            <w:vAlign w:val="center"/>
          </w:tcPr>
          <w:p>
            <w:pPr>
              <w:widowControl/>
              <w:adjustRightInd w:val="0"/>
              <w:snapToGrid w:val="0"/>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评分内容</w:t>
            </w:r>
          </w:p>
        </w:tc>
        <w:tc>
          <w:tcPr>
            <w:tcW w:w="3483" w:type="pct"/>
            <w:vAlign w:val="center"/>
          </w:tcPr>
          <w:p>
            <w:pPr>
              <w:widowControl/>
              <w:adjustRightInd w:val="0"/>
              <w:snapToGrid w:val="0"/>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评分标准</w:t>
            </w:r>
          </w:p>
        </w:tc>
        <w:tc>
          <w:tcPr>
            <w:tcW w:w="316" w:type="pct"/>
            <w:vAlign w:val="center"/>
          </w:tcPr>
          <w:p>
            <w:pPr>
              <w:widowControl/>
              <w:adjustRightInd w:val="0"/>
              <w:snapToGrid w:val="0"/>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813"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同类业绩</w:t>
            </w:r>
          </w:p>
        </w:tc>
        <w:tc>
          <w:tcPr>
            <w:tcW w:w="3483" w:type="pct"/>
            <w:vAlign w:val="center"/>
          </w:tcPr>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投标人提供（2019年1月1日至今）已完成同类项目业绩，每项类似业绩得1分，最多得3分。（提供合同原件扫描件并加盖电子签章）</w:t>
            </w:r>
          </w:p>
        </w:tc>
        <w:tc>
          <w:tcPr>
            <w:tcW w:w="31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86" w:type="pct"/>
            <w:vMerge w:val="restar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813" w:type="pct"/>
            <w:vMerge w:val="restar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产品功能及技术要求</w:t>
            </w:r>
          </w:p>
        </w:tc>
        <w:tc>
          <w:tcPr>
            <w:tcW w:w="6860" w:type="dxa"/>
            <w:vAlign w:val="center"/>
          </w:tcPr>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kern w:val="0"/>
                <w:sz w:val="22"/>
                <w:szCs w:val="22"/>
                <w:highlight w:val="none"/>
              </w:rPr>
              <w:t>根据所投产品</w:t>
            </w:r>
            <w:r>
              <w:rPr>
                <w:rFonts w:hint="eastAsia" w:ascii="宋体" w:hAnsi="宋体" w:cs="宋体"/>
                <w:color w:val="auto"/>
                <w:kern w:val="0"/>
                <w:sz w:val="22"/>
                <w:szCs w:val="22"/>
                <w:highlight w:val="none"/>
                <w:lang w:val="en-US" w:eastAsia="zh-CN"/>
              </w:rPr>
              <w:t>非</w:t>
            </w:r>
            <w:r>
              <w:rPr>
                <w:rFonts w:hint="eastAsia" w:ascii="宋体" w:hAnsi="宋体" w:cs="宋体"/>
                <w:color w:val="auto"/>
                <w:sz w:val="22"/>
                <w:szCs w:val="22"/>
                <w:highlight w:val="none"/>
              </w:rPr>
              <w:t>标★的</w:t>
            </w:r>
            <w:r>
              <w:rPr>
                <w:rFonts w:hint="eastAsia" w:ascii="宋体" w:hAnsi="宋体" w:cs="宋体"/>
                <w:color w:val="auto"/>
                <w:sz w:val="22"/>
                <w:szCs w:val="22"/>
                <w:highlight w:val="none"/>
                <w:lang w:val="en-US" w:eastAsia="zh-CN"/>
              </w:rPr>
              <w:t>一般</w:t>
            </w:r>
            <w:r>
              <w:rPr>
                <w:rFonts w:hint="eastAsia" w:ascii="宋体" w:hAnsi="宋体" w:cs="宋体"/>
                <w:color w:val="auto"/>
                <w:sz w:val="22"/>
                <w:szCs w:val="22"/>
                <w:highlight w:val="none"/>
              </w:rPr>
              <w:t>参数</w:t>
            </w:r>
            <w:r>
              <w:rPr>
                <w:rFonts w:hint="eastAsia" w:ascii="宋体" w:hAnsi="宋体" w:cs="宋体"/>
                <w:color w:val="auto"/>
                <w:kern w:val="0"/>
                <w:sz w:val="22"/>
                <w:szCs w:val="22"/>
                <w:highlight w:val="none"/>
              </w:rPr>
              <w:t>技术指标与</w:t>
            </w:r>
            <w:r>
              <w:rPr>
                <w:rFonts w:hint="eastAsia" w:ascii="宋体" w:hAnsi="宋体" w:cs="宋体"/>
                <w:color w:val="auto"/>
                <w:kern w:val="0"/>
                <w:sz w:val="22"/>
                <w:szCs w:val="22"/>
                <w:highlight w:val="none"/>
                <w:lang w:val="en-US" w:eastAsia="zh-CN"/>
              </w:rPr>
              <w:t>招标</w:t>
            </w:r>
            <w:r>
              <w:rPr>
                <w:rFonts w:hint="eastAsia" w:ascii="宋体" w:hAnsi="宋体" w:cs="宋体"/>
                <w:color w:val="auto"/>
                <w:kern w:val="0"/>
                <w:sz w:val="22"/>
                <w:szCs w:val="22"/>
                <w:highlight w:val="none"/>
              </w:rPr>
              <w:t>文件要求的响应程度，完全响应的得</w:t>
            </w:r>
            <w:r>
              <w:rPr>
                <w:rFonts w:hint="eastAsia" w:ascii="宋体" w:hAnsi="宋体" w:cs="宋体"/>
                <w:color w:val="auto"/>
                <w:kern w:val="0"/>
                <w:sz w:val="22"/>
                <w:szCs w:val="22"/>
                <w:highlight w:val="none"/>
                <w:lang w:val="en-US" w:eastAsia="zh-CN"/>
              </w:rPr>
              <w:t>17</w:t>
            </w:r>
            <w:r>
              <w:rPr>
                <w:rFonts w:hint="eastAsia" w:ascii="宋体" w:hAnsi="宋体" w:cs="宋体"/>
                <w:color w:val="auto"/>
                <w:kern w:val="0"/>
                <w:sz w:val="22"/>
                <w:szCs w:val="22"/>
                <w:highlight w:val="none"/>
              </w:rPr>
              <w:t>分，不满足或负偏离的每项扣1分，扣完为止。</w:t>
            </w:r>
          </w:p>
        </w:tc>
        <w:tc>
          <w:tcPr>
            <w:tcW w:w="316" w:type="pct"/>
            <w:vAlign w:val="center"/>
          </w:tcPr>
          <w:p>
            <w:pPr>
              <w:widowControl/>
              <w:adjustRightInd w:val="0"/>
              <w:snapToGrid w:val="0"/>
              <w:spacing w:line="3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6" w:type="pct"/>
            <w:vMerge w:val="continue"/>
            <w:vAlign w:val="center"/>
          </w:tcPr>
          <w:p>
            <w:pPr>
              <w:widowControl/>
              <w:adjustRightInd w:val="0"/>
              <w:snapToGrid w:val="0"/>
              <w:spacing w:line="360" w:lineRule="exact"/>
              <w:jc w:val="center"/>
              <w:rPr>
                <w:rFonts w:ascii="宋体" w:hAnsi="宋体" w:cs="宋体"/>
                <w:bCs/>
                <w:color w:val="auto"/>
                <w:sz w:val="22"/>
                <w:szCs w:val="22"/>
                <w:highlight w:val="none"/>
              </w:rPr>
            </w:pPr>
          </w:p>
        </w:tc>
        <w:tc>
          <w:tcPr>
            <w:tcW w:w="813" w:type="pct"/>
            <w:vMerge w:val="continue"/>
            <w:vAlign w:val="center"/>
          </w:tcPr>
          <w:p>
            <w:pPr>
              <w:widowControl/>
              <w:adjustRightInd w:val="0"/>
              <w:snapToGrid w:val="0"/>
              <w:spacing w:line="360" w:lineRule="exact"/>
              <w:jc w:val="center"/>
              <w:rPr>
                <w:rFonts w:ascii="宋体" w:hAnsi="宋体" w:cs="宋体"/>
                <w:bCs/>
                <w:color w:val="auto"/>
                <w:sz w:val="22"/>
                <w:szCs w:val="22"/>
                <w:highlight w:val="none"/>
              </w:rPr>
            </w:pPr>
          </w:p>
        </w:tc>
        <w:tc>
          <w:tcPr>
            <w:tcW w:w="6860" w:type="dxa"/>
            <w:vAlign w:val="center"/>
          </w:tcPr>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标★的重要参数（共</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rPr>
              <w:t>条），不能按照招标文件要求提供截图、检测报告、证书等证明文件视为负偏离，不满足或负偏离的每项扣</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分，扣完为止。</w:t>
            </w:r>
          </w:p>
        </w:tc>
        <w:tc>
          <w:tcPr>
            <w:tcW w:w="316" w:type="pct"/>
            <w:vAlign w:val="center"/>
          </w:tcPr>
          <w:p>
            <w:pPr>
              <w:widowControl/>
              <w:adjustRightInd w:val="0"/>
              <w:snapToGrid w:val="0"/>
              <w:spacing w:line="3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813"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产品功能及配置</w:t>
            </w:r>
          </w:p>
        </w:tc>
        <w:tc>
          <w:tcPr>
            <w:tcW w:w="3483" w:type="pct"/>
            <w:vAlign w:val="center"/>
          </w:tcPr>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投标产品的总体配置和功能的先进性、完整性和适用性情况。</w:t>
            </w:r>
          </w:p>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1)能贴合采购人需求，完整性、适用性强的得</w:t>
            </w:r>
            <w:r>
              <w:rPr>
                <w:rFonts w:hint="eastAsia" w:ascii="宋体" w:hAnsi="宋体" w:cs="宋体"/>
                <w:color w:val="auto"/>
                <w:highlight w:val="none"/>
              </w:rPr>
              <w:t>3-4</w:t>
            </w:r>
            <w:r>
              <w:rPr>
                <w:rFonts w:hint="eastAsia" w:ascii="宋体" w:hAnsi="宋体" w:cs="宋体"/>
                <w:color w:val="auto"/>
                <w:sz w:val="22"/>
                <w:szCs w:val="22"/>
                <w:highlight w:val="none"/>
              </w:rPr>
              <w:t>分；</w:t>
            </w:r>
          </w:p>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2)能比较贴合采购人需求，完整性、适用性较强的得2-3分；</w:t>
            </w:r>
          </w:p>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3)能基本贴合采购人需求，完整性、适用性一般的得1-2分；</w:t>
            </w:r>
          </w:p>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4)完整性、适用性差的或不提供不得分。</w:t>
            </w:r>
          </w:p>
        </w:tc>
        <w:tc>
          <w:tcPr>
            <w:tcW w:w="316" w:type="pct"/>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813" w:type="pct"/>
            <w:vAlign w:val="center"/>
          </w:tcPr>
          <w:p>
            <w:pPr>
              <w:pStyle w:val="3"/>
              <w:adjustRightInd w:val="0"/>
              <w:snapToGrid w:val="0"/>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实施方案</w:t>
            </w:r>
          </w:p>
        </w:tc>
        <w:tc>
          <w:tcPr>
            <w:tcW w:w="3483" w:type="pct"/>
            <w:vAlign w:val="center"/>
          </w:tcPr>
          <w:p>
            <w:pPr>
              <w:widowControl/>
              <w:spacing w:line="360" w:lineRule="exact"/>
              <w:rPr>
                <w:rFonts w:ascii="宋体" w:hAnsi="宋体" w:cs="宋体"/>
                <w:color w:val="auto"/>
                <w:szCs w:val="21"/>
                <w:highlight w:val="none"/>
              </w:rPr>
            </w:pPr>
            <w:r>
              <w:rPr>
                <w:rFonts w:hint="eastAsia" w:ascii="宋体" w:hAnsi="宋体" w:cs="宋体"/>
                <w:color w:val="auto"/>
                <w:szCs w:val="21"/>
                <w:highlight w:val="none"/>
              </w:rPr>
              <w:t>根据投标人提供的实施方案包括进度安排以及产品的供货、安装调试、试运行、测试、调优、验收标准等内容综合评审打分。</w:t>
            </w:r>
          </w:p>
          <w:p>
            <w:pPr>
              <w:widowControl/>
              <w:spacing w:line="360" w:lineRule="exact"/>
              <w:rPr>
                <w:rFonts w:ascii="宋体" w:hAnsi="宋体" w:cs="宋体"/>
                <w:color w:val="auto"/>
                <w:szCs w:val="21"/>
                <w:highlight w:val="none"/>
              </w:rPr>
            </w:pPr>
            <w:r>
              <w:rPr>
                <w:rFonts w:hint="eastAsia" w:ascii="宋体" w:hAnsi="宋体" w:cs="宋体"/>
                <w:color w:val="auto"/>
                <w:szCs w:val="21"/>
                <w:highlight w:val="none"/>
              </w:rPr>
              <w:t>(1)实施方案、措施科学、合理、规范：</w:t>
            </w:r>
            <w:r>
              <w:rPr>
                <w:rFonts w:hint="eastAsia" w:ascii="宋体" w:hAnsi="宋体" w:cs="宋体"/>
                <w:color w:val="auto"/>
                <w:sz w:val="22"/>
                <w:szCs w:val="22"/>
                <w:highlight w:val="none"/>
              </w:rPr>
              <w:t>4-5</w:t>
            </w:r>
            <w:r>
              <w:rPr>
                <w:rFonts w:hint="eastAsia" w:ascii="宋体" w:hAnsi="宋体" w:cs="宋体"/>
                <w:color w:val="auto"/>
                <w:szCs w:val="21"/>
                <w:highlight w:val="none"/>
              </w:rPr>
              <w:t>分</w:t>
            </w:r>
          </w:p>
          <w:p>
            <w:pPr>
              <w:widowControl/>
              <w:spacing w:line="360" w:lineRule="exact"/>
              <w:rPr>
                <w:rFonts w:ascii="宋体" w:hAnsi="宋体" w:cs="宋体"/>
                <w:color w:val="auto"/>
                <w:szCs w:val="21"/>
                <w:highlight w:val="none"/>
              </w:rPr>
            </w:pPr>
            <w:r>
              <w:rPr>
                <w:rFonts w:hint="eastAsia" w:ascii="宋体" w:hAnsi="宋体" w:cs="宋体"/>
                <w:color w:val="auto"/>
                <w:szCs w:val="21"/>
                <w:highlight w:val="none"/>
              </w:rPr>
              <w:t>(2)实施方案、措施较科学、合理、规范：</w:t>
            </w:r>
            <w:r>
              <w:rPr>
                <w:rFonts w:hint="eastAsia" w:ascii="宋体" w:hAnsi="宋体" w:cs="宋体"/>
                <w:color w:val="auto"/>
                <w:sz w:val="22"/>
                <w:szCs w:val="22"/>
                <w:highlight w:val="none"/>
              </w:rPr>
              <w:t>2-4</w:t>
            </w:r>
            <w:r>
              <w:rPr>
                <w:rFonts w:hint="eastAsia" w:ascii="宋体" w:hAnsi="宋体" w:cs="宋体"/>
                <w:color w:val="auto"/>
                <w:szCs w:val="21"/>
                <w:highlight w:val="none"/>
              </w:rPr>
              <w:t>分；</w:t>
            </w:r>
          </w:p>
          <w:p>
            <w:pPr>
              <w:widowControl/>
              <w:spacing w:line="360" w:lineRule="exact"/>
              <w:rPr>
                <w:rFonts w:ascii="宋体" w:hAnsi="宋体" w:cs="宋体"/>
                <w:color w:val="auto"/>
                <w:szCs w:val="21"/>
                <w:highlight w:val="none"/>
              </w:rPr>
            </w:pPr>
            <w:r>
              <w:rPr>
                <w:rFonts w:hint="eastAsia" w:ascii="宋体" w:hAnsi="宋体" w:cs="宋体"/>
                <w:color w:val="auto"/>
                <w:szCs w:val="21"/>
                <w:highlight w:val="none"/>
              </w:rPr>
              <w:t>(3)实施方案、措施一般科学、合理、规范：</w:t>
            </w:r>
            <w:r>
              <w:rPr>
                <w:rFonts w:hint="eastAsia" w:ascii="宋体" w:hAnsi="宋体" w:cs="宋体"/>
                <w:color w:val="auto"/>
                <w:sz w:val="22"/>
                <w:szCs w:val="22"/>
                <w:highlight w:val="none"/>
              </w:rPr>
              <w:t>1-2</w:t>
            </w:r>
            <w:r>
              <w:rPr>
                <w:rFonts w:hint="eastAsia" w:ascii="宋体" w:hAnsi="宋体" w:cs="宋体"/>
                <w:color w:val="auto"/>
                <w:szCs w:val="21"/>
                <w:highlight w:val="none"/>
              </w:rPr>
              <w:t>分；</w:t>
            </w:r>
          </w:p>
          <w:p>
            <w:pPr>
              <w:pStyle w:val="3"/>
              <w:adjustRightInd w:val="0"/>
              <w:snapToGrid w:val="0"/>
              <w:spacing w:after="0" w:line="360" w:lineRule="exact"/>
              <w:rPr>
                <w:rFonts w:ascii="宋体" w:hAnsi="宋体" w:cs="宋体"/>
                <w:color w:val="auto"/>
                <w:sz w:val="22"/>
                <w:szCs w:val="22"/>
                <w:highlight w:val="none"/>
              </w:rPr>
            </w:pPr>
            <w:r>
              <w:rPr>
                <w:rFonts w:hint="eastAsia" w:ascii="宋体" w:hAnsi="宋体" w:cs="宋体"/>
                <w:color w:val="auto"/>
                <w:kern w:val="0"/>
                <w:szCs w:val="21"/>
                <w:highlight w:val="none"/>
              </w:rPr>
              <w:t>(4)无</w:t>
            </w:r>
            <w:r>
              <w:rPr>
                <w:rFonts w:hint="eastAsia" w:ascii="宋体" w:hAnsi="宋体" w:cs="宋体"/>
                <w:color w:val="auto"/>
                <w:szCs w:val="21"/>
                <w:highlight w:val="none"/>
              </w:rPr>
              <w:t>实施方案、措施</w:t>
            </w:r>
            <w:r>
              <w:rPr>
                <w:rFonts w:hint="eastAsia" w:ascii="宋体" w:hAnsi="宋体" w:cs="宋体"/>
                <w:color w:val="auto"/>
                <w:kern w:val="0"/>
                <w:szCs w:val="21"/>
                <w:highlight w:val="none"/>
              </w:rPr>
              <w:t>：0分。</w:t>
            </w:r>
          </w:p>
        </w:tc>
        <w:tc>
          <w:tcPr>
            <w:tcW w:w="31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1601" w:type="dxa"/>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服务团队保障</w:t>
            </w:r>
          </w:p>
        </w:tc>
        <w:tc>
          <w:tcPr>
            <w:tcW w:w="6860" w:type="dxa"/>
            <w:vAlign w:val="center"/>
          </w:tcPr>
          <w:p>
            <w:pPr>
              <w:widowControl/>
              <w:adjustRightInd w:val="0"/>
              <w:snapToGrid w:val="0"/>
              <w:spacing w:line="360" w:lineRule="exact"/>
              <w:textAlignment w:val="baseline"/>
              <w:rPr>
                <w:rFonts w:ascii="宋体" w:hAnsi="宋体" w:cs="宋体"/>
                <w:color w:val="auto"/>
                <w:highlight w:val="none"/>
              </w:rPr>
            </w:pPr>
            <w:r>
              <w:rPr>
                <w:rFonts w:hint="eastAsia" w:ascii="宋体" w:hAnsi="宋体" w:cs="宋体"/>
                <w:color w:val="auto"/>
                <w:highlight w:val="none"/>
              </w:rPr>
              <w:t>根据项目实施人员经验、职称、能力（提供相关证书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社保证明</w:t>
            </w:r>
            <w:r>
              <w:rPr>
                <w:rFonts w:hint="eastAsia" w:ascii="宋体" w:hAnsi="宋体" w:cs="宋体"/>
                <w:color w:val="auto"/>
                <w:highlight w:val="none"/>
              </w:rPr>
              <w:t>复印件）等综合评分。</w:t>
            </w:r>
          </w:p>
          <w:p>
            <w:pPr>
              <w:widowControl/>
              <w:adjustRightInd w:val="0"/>
              <w:snapToGrid w:val="0"/>
              <w:spacing w:line="360" w:lineRule="exact"/>
              <w:textAlignment w:val="baseline"/>
              <w:rPr>
                <w:rFonts w:ascii="宋体" w:hAnsi="宋体" w:cs="宋体"/>
                <w:color w:val="auto"/>
                <w:highlight w:val="none"/>
              </w:rPr>
            </w:pPr>
            <w:r>
              <w:rPr>
                <w:rFonts w:hint="eastAsia" w:ascii="宋体" w:hAnsi="宋体" w:cs="宋体"/>
                <w:color w:val="auto"/>
                <w:highlight w:val="none"/>
              </w:rPr>
              <w:t>1)人员配置合理、经验丰富、能力强的得3-4分；</w:t>
            </w:r>
          </w:p>
          <w:p>
            <w:pPr>
              <w:widowControl/>
              <w:adjustRightInd w:val="0"/>
              <w:snapToGrid w:val="0"/>
              <w:spacing w:line="360" w:lineRule="exact"/>
              <w:textAlignment w:val="baseline"/>
              <w:rPr>
                <w:rFonts w:ascii="宋体" w:hAnsi="宋体" w:cs="宋体"/>
                <w:color w:val="auto"/>
                <w:highlight w:val="none"/>
              </w:rPr>
            </w:pPr>
            <w:r>
              <w:rPr>
                <w:rFonts w:hint="eastAsia" w:ascii="宋体" w:hAnsi="宋体" w:cs="宋体"/>
                <w:color w:val="auto"/>
                <w:highlight w:val="none"/>
              </w:rPr>
              <w:t>2)人员配置较合理、经验较丰富、能力较强的得</w:t>
            </w:r>
            <w:r>
              <w:rPr>
                <w:rFonts w:hint="eastAsia" w:ascii="宋体" w:hAnsi="宋体" w:cs="宋体"/>
                <w:color w:val="auto"/>
                <w:sz w:val="22"/>
                <w:szCs w:val="22"/>
                <w:highlight w:val="none"/>
              </w:rPr>
              <w:t>2-3</w:t>
            </w:r>
            <w:bookmarkStart w:id="101" w:name="_GoBack"/>
            <w:bookmarkEnd w:id="101"/>
            <w:r>
              <w:rPr>
                <w:rFonts w:hint="eastAsia" w:ascii="宋体" w:hAnsi="宋体" w:cs="宋体"/>
                <w:color w:val="auto"/>
                <w:highlight w:val="none"/>
              </w:rPr>
              <w:t>分；</w:t>
            </w:r>
          </w:p>
          <w:p>
            <w:pPr>
              <w:widowControl/>
              <w:adjustRightInd w:val="0"/>
              <w:snapToGrid w:val="0"/>
              <w:spacing w:line="360" w:lineRule="exact"/>
              <w:textAlignment w:val="baseline"/>
              <w:rPr>
                <w:rFonts w:ascii="宋体" w:hAnsi="宋体" w:cs="宋体"/>
                <w:color w:val="auto"/>
                <w:highlight w:val="none"/>
              </w:rPr>
            </w:pPr>
            <w:r>
              <w:rPr>
                <w:rFonts w:hint="eastAsia" w:ascii="宋体" w:hAnsi="宋体" w:cs="宋体"/>
                <w:color w:val="auto"/>
                <w:highlight w:val="none"/>
              </w:rPr>
              <w:t>3)人员配置合理一般、经验一般、能力一般的得1-2分；</w:t>
            </w:r>
          </w:p>
          <w:p>
            <w:pPr>
              <w:widowControl/>
              <w:adjustRightInd w:val="0"/>
              <w:snapToGrid w:val="0"/>
              <w:spacing w:line="360" w:lineRule="exact"/>
              <w:textAlignment w:val="baseline"/>
              <w:rPr>
                <w:rFonts w:ascii="宋体" w:hAnsi="宋体" w:cs="宋体"/>
                <w:color w:val="auto"/>
                <w:szCs w:val="21"/>
                <w:highlight w:val="none"/>
              </w:rPr>
            </w:pPr>
            <w:r>
              <w:rPr>
                <w:rFonts w:hint="eastAsia" w:ascii="宋体" w:hAnsi="宋体" w:cs="宋体"/>
                <w:color w:val="auto"/>
                <w:highlight w:val="none"/>
              </w:rPr>
              <w:t>4)不提供的不得分。</w:t>
            </w:r>
          </w:p>
        </w:tc>
        <w:tc>
          <w:tcPr>
            <w:tcW w:w="623" w:type="dxa"/>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1601" w:type="dxa"/>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培训方案</w:t>
            </w:r>
          </w:p>
        </w:tc>
        <w:tc>
          <w:tcPr>
            <w:tcW w:w="6860" w:type="dxa"/>
            <w:vAlign w:val="center"/>
          </w:tcPr>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针对本次项目提供培训方案，包括培训</w:t>
            </w:r>
            <w:r>
              <w:rPr>
                <w:rFonts w:hint="eastAsia" w:ascii="宋体" w:hAnsi="宋体" w:cs="宋体"/>
                <w:color w:val="auto"/>
                <w:sz w:val="22"/>
                <w:szCs w:val="22"/>
                <w:highlight w:val="none"/>
                <w:lang w:val="en-GB"/>
              </w:rPr>
              <w:t>目的</w:t>
            </w:r>
            <w:r>
              <w:rPr>
                <w:rFonts w:hint="eastAsia" w:ascii="宋体" w:hAnsi="宋体" w:cs="宋体"/>
                <w:color w:val="auto"/>
                <w:sz w:val="22"/>
                <w:szCs w:val="22"/>
                <w:highlight w:val="none"/>
              </w:rPr>
              <w:t>、培训内容、培训时间、地点、</w:t>
            </w:r>
            <w:r>
              <w:rPr>
                <w:rFonts w:hint="eastAsia" w:ascii="宋体" w:hAnsi="宋体" w:cs="宋体"/>
                <w:color w:val="auto"/>
                <w:sz w:val="22"/>
                <w:szCs w:val="22"/>
                <w:highlight w:val="none"/>
                <w:lang w:val="en-GB"/>
              </w:rPr>
              <w:t>频次</w:t>
            </w:r>
            <w:r>
              <w:rPr>
                <w:rFonts w:hint="eastAsia" w:ascii="宋体" w:hAnsi="宋体" w:cs="宋体"/>
                <w:color w:val="auto"/>
                <w:sz w:val="22"/>
                <w:szCs w:val="22"/>
                <w:highlight w:val="none"/>
              </w:rPr>
              <w:t>等综合评审打分。</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(1)方案能贴合采购人需求，合理可行、针对性强的得</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sz w:val="22"/>
                <w:szCs w:val="22"/>
                <w:highlight w:val="none"/>
              </w:rPr>
              <w:t>分；</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(2)方案能比较贴合采购人需求，较合理可行、针对性较强的得</w:t>
            </w: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sz w:val="22"/>
                <w:szCs w:val="22"/>
                <w:highlight w:val="none"/>
              </w:rPr>
              <w:t>分；</w:t>
            </w:r>
          </w:p>
          <w:p>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(3)方案能基本贴合采购人需求，合理性、可行性、针对性一般的得</w:t>
            </w:r>
            <w:r>
              <w:rPr>
                <w:rFonts w:hint="eastAsia" w:ascii="宋体" w:hAnsi="宋体" w:cs="宋体"/>
                <w:color w:val="auto"/>
                <w:highlight w:val="none"/>
              </w:rPr>
              <w:t>1-2</w:t>
            </w:r>
            <w:r>
              <w:rPr>
                <w:rFonts w:hint="eastAsia" w:ascii="宋体" w:hAnsi="宋体" w:cs="宋体"/>
                <w:color w:val="auto"/>
                <w:sz w:val="22"/>
                <w:szCs w:val="22"/>
                <w:highlight w:val="none"/>
              </w:rPr>
              <w:t>分；</w:t>
            </w:r>
          </w:p>
          <w:p>
            <w:pPr>
              <w:adjustRightInd w:val="0"/>
              <w:snapToGrid w:val="0"/>
              <w:spacing w:line="360" w:lineRule="exact"/>
              <w:rPr>
                <w:rFonts w:ascii="宋体" w:hAnsi="宋体" w:cs="宋体"/>
                <w:color w:val="auto"/>
                <w:szCs w:val="21"/>
                <w:highlight w:val="none"/>
              </w:rPr>
            </w:pPr>
            <w:r>
              <w:rPr>
                <w:rFonts w:hint="eastAsia" w:ascii="宋体" w:hAnsi="宋体" w:cs="宋体"/>
                <w:color w:val="auto"/>
                <w:sz w:val="22"/>
                <w:szCs w:val="22"/>
                <w:highlight w:val="none"/>
              </w:rPr>
              <w:t>(4)不提供不得分。</w:t>
            </w:r>
          </w:p>
        </w:tc>
        <w:tc>
          <w:tcPr>
            <w:tcW w:w="623" w:type="dxa"/>
            <w:vAlign w:val="center"/>
          </w:tcPr>
          <w:p>
            <w:pPr>
              <w:widowControl/>
              <w:adjustRightInd w:val="0"/>
              <w:snapToGrid w:val="0"/>
              <w:spacing w:line="360" w:lineRule="exact"/>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813"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质保期</w:t>
            </w:r>
          </w:p>
        </w:tc>
        <w:tc>
          <w:tcPr>
            <w:tcW w:w="3483" w:type="pct"/>
            <w:vAlign w:val="center"/>
          </w:tcPr>
          <w:p>
            <w:pPr>
              <w:pStyle w:val="90"/>
              <w:adjustRightInd w:val="0"/>
              <w:snapToGrid w:val="0"/>
              <w:spacing w:line="360" w:lineRule="exact"/>
              <w:jc w:val="both"/>
              <w:rPr>
                <w:rFonts w:ascii="宋体" w:hAnsi="宋体" w:cs="宋体"/>
                <w:color w:val="auto"/>
                <w:highlight w:val="none"/>
              </w:rPr>
            </w:pPr>
            <w:r>
              <w:rPr>
                <w:rFonts w:hint="eastAsia" w:ascii="宋体" w:hAnsi="宋体" w:cs="宋体"/>
                <w:color w:val="auto"/>
                <w:highlight w:val="none"/>
              </w:rPr>
              <w:t>满足招标文件要求的3年免费质保不得分，</w:t>
            </w:r>
            <w:r>
              <w:rPr>
                <w:rFonts w:hint="eastAsia" w:ascii="宋体" w:hAnsi="宋体" w:cs="宋体"/>
                <w:bCs/>
                <w:color w:val="auto"/>
                <w:kern w:val="2"/>
                <w:highlight w:val="none"/>
              </w:rPr>
              <w:t>每增加1年得2分，最高得4分，不足1年的不计入加分。</w:t>
            </w:r>
          </w:p>
        </w:tc>
        <w:tc>
          <w:tcPr>
            <w:tcW w:w="31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813"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售后服务</w:t>
            </w:r>
          </w:p>
        </w:tc>
        <w:tc>
          <w:tcPr>
            <w:tcW w:w="3483" w:type="pct"/>
            <w:vAlign w:val="center"/>
          </w:tcPr>
          <w:p>
            <w:pPr>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根据投标人提供的售后服务承诺、质保期外的后续技术支持和维护能力情况、配件、附件、备品备件的准备和保障措施，由评审小组综合打分。</w:t>
            </w:r>
          </w:p>
          <w:p>
            <w:pPr>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(1)能贴合采购人需求，合理可行、针对性强的得4-5分；</w:t>
            </w:r>
          </w:p>
          <w:p>
            <w:pPr>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(2)能比较贴合采购人需求，较合理可行、针对性较强的得2-4分；</w:t>
            </w:r>
          </w:p>
          <w:p>
            <w:pPr>
              <w:spacing w:line="360" w:lineRule="exact"/>
              <w:jc w:val="left"/>
              <w:rPr>
                <w:rFonts w:ascii="宋体" w:hAnsi="宋体" w:cs="宋体"/>
                <w:color w:val="auto"/>
                <w:highlight w:val="none"/>
              </w:rPr>
            </w:pPr>
            <w:r>
              <w:rPr>
                <w:rFonts w:hint="eastAsia" w:ascii="宋体" w:hAnsi="宋体" w:cs="宋体"/>
                <w:color w:val="auto"/>
                <w:sz w:val="22"/>
                <w:szCs w:val="22"/>
                <w:highlight w:val="none"/>
              </w:rPr>
              <w:t>(3)能基本贴合采购人需求，合理性、可行性、针对性一般的得1-2分。</w:t>
            </w:r>
          </w:p>
          <w:p>
            <w:pPr>
              <w:pStyle w:val="90"/>
              <w:adjustRightInd w:val="0"/>
              <w:snapToGrid w:val="0"/>
              <w:spacing w:line="360" w:lineRule="exact"/>
              <w:jc w:val="both"/>
              <w:rPr>
                <w:rFonts w:ascii="宋体" w:hAnsi="宋体" w:cs="宋体"/>
                <w:color w:val="auto"/>
                <w:sz w:val="22"/>
                <w:szCs w:val="22"/>
                <w:highlight w:val="none"/>
              </w:rPr>
            </w:pPr>
            <w:r>
              <w:rPr>
                <w:rFonts w:hint="eastAsia" w:ascii="宋体" w:hAnsi="宋体" w:cs="宋体"/>
                <w:color w:val="auto"/>
                <w:sz w:val="22"/>
                <w:szCs w:val="22"/>
                <w:highlight w:val="none"/>
              </w:rPr>
              <w:t>(4)不能贴合采购人需求，合理性、可行性、针对性差的或者不提供的均不得分。</w:t>
            </w:r>
          </w:p>
        </w:tc>
        <w:tc>
          <w:tcPr>
            <w:tcW w:w="31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813"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环保节能产品</w:t>
            </w:r>
          </w:p>
        </w:tc>
        <w:tc>
          <w:tcPr>
            <w:tcW w:w="3483" w:type="pct"/>
          </w:tcPr>
          <w:p>
            <w:pPr>
              <w:widowControl/>
              <w:adjustRightInd w:val="0"/>
              <w:snapToGrid w:val="0"/>
              <w:spacing w:line="360" w:lineRule="exac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所提供的产品列入最新一期财政部、环境保护部公布的“环境标志产品政府采购品目清单”和最新一期财政部、发展改革委公布的“节能产品政府采购品目清单”，并获得国家确定的认证机构出具的处于有效期之内的节能产品的或环境标志产品认证证书的每个得0.5分，最高得1分。</w:t>
            </w:r>
          </w:p>
        </w:tc>
        <w:tc>
          <w:tcPr>
            <w:tcW w:w="316" w:type="pct"/>
            <w:vAlign w:val="center"/>
          </w:tcPr>
          <w:p>
            <w:pPr>
              <w:widowControl/>
              <w:adjustRightInd w:val="0"/>
              <w:snapToGrid w:val="0"/>
              <w:spacing w:line="3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bl>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w:t>
      </w:r>
      <w:r>
        <w:rPr>
          <w:rFonts w:ascii="宋体" w:hAnsi="宋体" w:cs="宋体"/>
          <w:b/>
          <w:color w:val="auto"/>
          <w:sz w:val="22"/>
          <w:szCs w:val="22"/>
          <w:highlight w:val="none"/>
        </w:rPr>
        <w:t>0</w:t>
      </w:r>
      <w:r>
        <w:rPr>
          <w:rFonts w:hint="eastAsia" w:ascii="宋体" w:hAnsi="宋体" w:cs="宋体"/>
          <w:b/>
          <w:color w:val="auto"/>
          <w:sz w:val="22"/>
          <w:szCs w:val="22"/>
          <w:highlight w:val="none"/>
        </w:rPr>
        <w:t>分）</w:t>
      </w:r>
      <w:r>
        <w:rPr>
          <w:rFonts w:hint="eastAsia" w:ascii="宋体" w:hAnsi="宋体" w:cs="宋体"/>
          <w:color w:val="auto"/>
          <w:sz w:val="22"/>
          <w:szCs w:val="22"/>
          <w:highlight w:val="none"/>
        </w:rPr>
        <w:t>：</w:t>
      </w:r>
    </w:p>
    <w:p>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w:t>
      </w:r>
      <w:r>
        <w:rPr>
          <w:rFonts w:ascii="宋体" w:hAnsi="宋体" w:cs="宋体"/>
          <w:color w:val="auto"/>
          <w:sz w:val="22"/>
          <w:szCs w:val="22"/>
          <w:highlight w:val="none"/>
        </w:rPr>
        <w:t>0</w:t>
      </w:r>
      <w:r>
        <w:rPr>
          <w:rFonts w:hint="eastAsia" w:ascii="宋体" w:hAnsi="宋体" w:cs="宋体"/>
          <w:color w:val="auto"/>
          <w:sz w:val="22"/>
          <w:szCs w:val="22"/>
          <w:highlight w:val="none"/>
        </w:rPr>
        <w:t>分；</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（3）如投标人报价超过采购预算，按无效标处理。</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并公布《中小企业声明函》（如有），在发布中标公告的同时，采购人和采购代理机构将向中标人发出中标通知书。中标通知书对采购人和中标人具有同等法律效力。</w:t>
      </w:r>
    </w:p>
    <w:p>
      <w:pPr>
        <w:pStyle w:val="3"/>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pPr>
        <w:rPr>
          <w:color w:val="auto"/>
          <w:highlight w:val="none"/>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86"/>
    <w:family w:val="auto"/>
    <w:pitch w:val="default"/>
    <w:sig w:usb0="00000000" w:usb1="00000000" w:usb2="00000010" w:usb3="00000000" w:csb0="00040000"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0"/>
      </w:rPr>
    </w:pPr>
    <w:r>
      <w:fldChar w:fldCharType="begin"/>
    </w:r>
    <w:r>
      <w:rPr>
        <w:rStyle w:val="40"/>
      </w:rPr>
      <w:instrText xml:space="preserve">PAGE  </w:instrText>
    </w:r>
    <w:r>
      <w:fldChar w:fldCharType="separate"/>
    </w:r>
    <w:r>
      <w:rPr>
        <w:rStyle w:val="40"/>
      </w:rPr>
      <w:t>23</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19</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w:t>
    </w:r>
    <w:r>
      <w:rPr>
        <w:lang w:val="zh-CN"/>
      </w:rP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107</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0A2E9F"/>
    <w:multiLevelType w:val="singleLevel"/>
    <w:tmpl w:val="240A2E9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jMzZiNzczYzc5OGExMjEyMDUxOGFjMjhhMmEwNzI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1119"/>
    <w:rsid w:val="00042345"/>
    <w:rsid w:val="00042389"/>
    <w:rsid w:val="000428E3"/>
    <w:rsid w:val="00042E50"/>
    <w:rsid w:val="00042E80"/>
    <w:rsid w:val="000431B8"/>
    <w:rsid w:val="00043771"/>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A4F"/>
    <w:rsid w:val="00071EBC"/>
    <w:rsid w:val="00072105"/>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7FC2"/>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E4F"/>
    <w:rsid w:val="000E1732"/>
    <w:rsid w:val="000E1D03"/>
    <w:rsid w:val="000E2DF9"/>
    <w:rsid w:val="000E35AA"/>
    <w:rsid w:val="000E35E5"/>
    <w:rsid w:val="000E4271"/>
    <w:rsid w:val="000E4DA7"/>
    <w:rsid w:val="000E4E87"/>
    <w:rsid w:val="000E5198"/>
    <w:rsid w:val="000E66C8"/>
    <w:rsid w:val="000E6A41"/>
    <w:rsid w:val="000E7F5B"/>
    <w:rsid w:val="000F0031"/>
    <w:rsid w:val="000F050E"/>
    <w:rsid w:val="000F0C81"/>
    <w:rsid w:val="000F15AA"/>
    <w:rsid w:val="000F1F36"/>
    <w:rsid w:val="000F2B07"/>
    <w:rsid w:val="000F2F3F"/>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EB9"/>
    <w:rsid w:val="00263283"/>
    <w:rsid w:val="00263771"/>
    <w:rsid w:val="00263C0B"/>
    <w:rsid w:val="002642F0"/>
    <w:rsid w:val="002647C2"/>
    <w:rsid w:val="00264950"/>
    <w:rsid w:val="00264B27"/>
    <w:rsid w:val="00266388"/>
    <w:rsid w:val="00266631"/>
    <w:rsid w:val="00266A3C"/>
    <w:rsid w:val="00266C22"/>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11DE"/>
    <w:rsid w:val="00291357"/>
    <w:rsid w:val="002913F8"/>
    <w:rsid w:val="002921A1"/>
    <w:rsid w:val="002922AE"/>
    <w:rsid w:val="00292CD2"/>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543"/>
    <w:rsid w:val="002B06DE"/>
    <w:rsid w:val="002B0844"/>
    <w:rsid w:val="002B0B64"/>
    <w:rsid w:val="002B1219"/>
    <w:rsid w:val="002B1580"/>
    <w:rsid w:val="002B17F0"/>
    <w:rsid w:val="002B1DEB"/>
    <w:rsid w:val="002B245E"/>
    <w:rsid w:val="002B28FF"/>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3FD"/>
    <w:rsid w:val="002C1B47"/>
    <w:rsid w:val="002C2353"/>
    <w:rsid w:val="002C2D2B"/>
    <w:rsid w:val="002C2DB8"/>
    <w:rsid w:val="002C33C6"/>
    <w:rsid w:val="002C376F"/>
    <w:rsid w:val="002C3966"/>
    <w:rsid w:val="002C40C7"/>
    <w:rsid w:val="002C4806"/>
    <w:rsid w:val="002C49D1"/>
    <w:rsid w:val="002C4F67"/>
    <w:rsid w:val="002C5182"/>
    <w:rsid w:val="002C5DE8"/>
    <w:rsid w:val="002C796F"/>
    <w:rsid w:val="002D0042"/>
    <w:rsid w:val="002D00B9"/>
    <w:rsid w:val="002D1E3C"/>
    <w:rsid w:val="002D21C5"/>
    <w:rsid w:val="002D287B"/>
    <w:rsid w:val="002D2F7C"/>
    <w:rsid w:val="002D34D1"/>
    <w:rsid w:val="002D37F1"/>
    <w:rsid w:val="002D39AF"/>
    <w:rsid w:val="002D4DF7"/>
    <w:rsid w:val="002D6623"/>
    <w:rsid w:val="002D676D"/>
    <w:rsid w:val="002D6B3A"/>
    <w:rsid w:val="002D7072"/>
    <w:rsid w:val="002D7CA4"/>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886"/>
    <w:rsid w:val="00414B47"/>
    <w:rsid w:val="00414D6C"/>
    <w:rsid w:val="00415CA2"/>
    <w:rsid w:val="0041653F"/>
    <w:rsid w:val="00416BE2"/>
    <w:rsid w:val="00416E89"/>
    <w:rsid w:val="00416FEF"/>
    <w:rsid w:val="004171AD"/>
    <w:rsid w:val="00417F04"/>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6B8"/>
    <w:rsid w:val="00542975"/>
    <w:rsid w:val="005438EF"/>
    <w:rsid w:val="00543F60"/>
    <w:rsid w:val="00544B51"/>
    <w:rsid w:val="00544F22"/>
    <w:rsid w:val="00544F8B"/>
    <w:rsid w:val="0054509C"/>
    <w:rsid w:val="0054559D"/>
    <w:rsid w:val="00546594"/>
    <w:rsid w:val="00546DAD"/>
    <w:rsid w:val="00546F91"/>
    <w:rsid w:val="00547A9C"/>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977"/>
    <w:rsid w:val="00687F0B"/>
    <w:rsid w:val="00691000"/>
    <w:rsid w:val="0069101F"/>
    <w:rsid w:val="006911BD"/>
    <w:rsid w:val="006928E5"/>
    <w:rsid w:val="00692FEA"/>
    <w:rsid w:val="006932C7"/>
    <w:rsid w:val="0069363B"/>
    <w:rsid w:val="00693B5E"/>
    <w:rsid w:val="00693BE2"/>
    <w:rsid w:val="00694B3E"/>
    <w:rsid w:val="0069538E"/>
    <w:rsid w:val="006954F4"/>
    <w:rsid w:val="00695946"/>
    <w:rsid w:val="006970B5"/>
    <w:rsid w:val="00697D2B"/>
    <w:rsid w:val="00697FB8"/>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505A"/>
    <w:rsid w:val="00805857"/>
    <w:rsid w:val="00806A00"/>
    <w:rsid w:val="00806BEF"/>
    <w:rsid w:val="00807133"/>
    <w:rsid w:val="0080752A"/>
    <w:rsid w:val="00807674"/>
    <w:rsid w:val="00807748"/>
    <w:rsid w:val="00810E7B"/>
    <w:rsid w:val="00811AAC"/>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2012"/>
    <w:rsid w:val="008E230B"/>
    <w:rsid w:val="008E2612"/>
    <w:rsid w:val="008E2BC7"/>
    <w:rsid w:val="008E3031"/>
    <w:rsid w:val="008E35A6"/>
    <w:rsid w:val="008E3A56"/>
    <w:rsid w:val="008E4156"/>
    <w:rsid w:val="008E4174"/>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85E"/>
    <w:rsid w:val="00CA0E3E"/>
    <w:rsid w:val="00CA0F09"/>
    <w:rsid w:val="00CA1334"/>
    <w:rsid w:val="00CA160F"/>
    <w:rsid w:val="00CA18E5"/>
    <w:rsid w:val="00CA1CDB"/>
    <w:rsid w:val="00CA220B"/>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9BE"/>
    <w:rsid w:val="00D70A66"/>
    <w:rsid w:val="00D70C4A"/>
    <w:rsid w:val="00D71D69"/>
    <w:rsid w:val="00D7237A"/>
    <w:rsid w:val="00D7258C"/>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34DB"/>
    <w:rsid w:val="00E53AF5"/>
    <w:rsid w:val="00E5412F"/>
    <w:rsid w:val="00E548F0"/>
    <w:rsid w:val="00E54F17"/>
    <w:rsid w:val="00E55866"/>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ED3"/>
    <w:rsid w:val="00E83FC6"/>
    <w:rsid w:val="00E84AE0"/>
    <w:rsid w:val="00E84FB4"/>
    <w:rsid w:val="00E85013"/>
    <w:rsid w:val="00E853ED"/>
    <w:rsid w:val="00E85F05"/>
    <w:rsid w:val="00E872E7"/>
    <w:rsid w:val="00E90324"/>
    <w:rsid w:val="00E90600"/>
    <w:rsid w:val="00E90B2E"/>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F68"/>
    <w:rsid w:val="00F52F59"/>
    <w:rsid w:val="00F5337D"/>
    <w:rsid w:val="00F53E9C"/>
    <w:rsid w:val="00F54054"/>
    <w:rsid w:val="00F541B0"/>
    <w:rsid w:val="00F545E8"/>
    <w:rsid w:val="00F549F9"/>
    <w:rsid w:val="00F55CCF"/>
    <w:rsid w:val="00F5631B"/>
    <w:rsid w:val="00F56917"/>
    <w:rsid w:val="00F56B38"/>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203EBB"/>
    <w:rsid w:val="01D950F6"/>
    <w:rsid w:val="039A3ED8"/>
    <w:rsid w:val="03BA2CC2"/>
    <w:rsid w:val="047B4ECF"/>
    <w:rsid w:val="05612CD8"/>
    <w:rsid w:val="06662DE7"/>
    <w:rsid w:val="08311597"/>
    <w:rsid w:val="08BA07A0"/>
    <w:rsid w:val="09073675"/>
    <w:rsid w:val="098E15D7"/>
    <w:rsid w:val="0A41496A"/>
    <w:rsid w:val="0DC82AB8"/>
    <w:rsid w:val="0DE20392"/>
    <w:rsid w:val="0E3D12C7"/>
    <w:rsid w:val="0F2759E5"/>
    <w:rsid w:val="0F7E3778"/>
    <w:rsid w:val="10914FFE"/>
    <w:rsid w:val="11CD1C9B"/>
    <w:rsid w:val="11DF3786"/>
    <w:rsid w:val="11F30DC5"/>
    <w:rsid w:val="12EF27DA"/>
    <w:rsid w:val="12F57DD8"/>
    <w:rsid w:val="14105EB0"/>
    <w:rsid w:val="14894E98"/>
    <w:rsid w:val="15087518"/>
    <w:rsid w:val="15A1686E"/>
    <w:rsid w:val="161E3CC0"/>
    <w:rsid w:val="16214089"/>
    <w:rsid w:val="16DF1C51"/>
    <w:rsid w:val="17FE7CDB"/>
    <w:rsid w:val="186F5470"/>
    <w:rsid w:val="1A6B04CE"/>
    <w:rsid w:val="1B7038CA"/>
    <w:rsid w:val="1D5369D2"/>
    <w:rsid w:val="1EA145F0"/>
    <w:rsid w:val="1EC23455"/>
    <w:rsid w:val="1F371C2F"/>
    <w:rsid w:val="1F892492"/>
    <w:rsid w:val="1FAF0BB3"/>
    <w:rsid w:val="20F6344B"/>
    <w:rsid w:val="20FC53CE"/>
    <w:rsid w:val="22DB1410"/>
    <w:rsid w:val="235D752E"/>
    <w:rsid w:val="247A0118"/>
    <w:rsid w:val="24B4D623"/>
    <w:rsid w:val="259D1F7B"/>
    <w:rsid w:val="260D3FC7"/>
    <w:rsid w:val="270B22EB"/>
    <w:rsid w:val="27A67A03"/>
    <w:rsid w:val="289E23F3"/>
    <w:rsid w:val="29BEB437"/>
    <w:rsid w:val="2AFA1016"/>
    <w:rsid w:val="2B354727"/>
    <w:rsid w:val="2B4E10EE"/>
    <w:rsid w:val="2D0D05FE"/>
    <w:rsid w:val="2DA28150"/>
    <w:rsid w:val="2E643645"/>
    <w:rsid w:val="2F217151"/>
    <w:rsid w:val="33583E39"/>
    <w:rsid w:val="33593A3B"/>
    <w:rsid w:val="33DE36C7"/>
    <w:rsid w:val="341674CA"/>
    <w:rsid w:val="342F4D61"/>
    <w:rsid w:val="350D02F0"/>
    <w:rsid w:val="355E0668"/>
    <w:rsid w:val="371F5C2E"/>
    <w:rsid w:val="37882F80"/>
    <w:rsid w:val="38AE3570"/>
    <w:rsid w:val="38C33ED6"/>
    <w:rsid w:val="39213309"/>
    <w:rsid w:val="3A25250F"/>
    <w:rsid w:val="3B256C4E"/>
    <w:rsid w:val="3CF230F2"/>
    <w:rsid w:val="3E2E7433"/>
    <w:rsid w:val="3E5C6C61"/>
    <w:rsid w:val="3E8C7A26"/>
    <w:rsid w:val="3F055894"/>
    <w:rsid w:val="406D7300"/>
    <w:rsid w:val="416E24D6"/>
    <w:rsid w:val="41E10C70"/>
    <w:rsid w:val="429A0303"/>
    <w:rsid w:val="43511F37"/>
    <w:rsid w:val="43888190"/>
    <w:rsid w:val="4494675C"/>
    <w:rsid w:val="45F44B43"/>
    <w:rsid w:val="47385A50"/>
    <w:rsid w:val="47F2C001"/>
    <w:rsid w:val="4870744B"/>
    <w:rsid w:val="4891428A"/>
    <w:rsid w:val="489F0449"/>
    <w:rsid w:val="4B103655"/>
    <w:rsid w:val="4B8C2A00"/>
    <w:rsid w:val="4C9E19C0"/>
    <w:rsid w:val="4D51587D"/>
    <w:rsid w:val="4DC71B74"/>
    <w:rsid w:val="4E387C78"/>
    <w:rsid w:val="4F19221F"/>
    <w:rsid w:val="4F5C75FB"/>
    <w:rsid w:val="4FAE11FC"/>
    <w:rsid w:val="4FBA6DB9"/>
    <w:rsid w:val="4FCF53F6"/>
    <w:rsid w:val="516C4956"/>
    <w:rsid w:val="51710677"/>
    <w:rsid w:val="51722FF6"/>
    <w:rsid w:val="528B6F1A"/>
    <w:rsid w:val="53106DAB"/>
    <w:rsid w:val="536F1A94"/>
    <w:rsid w:val="5396417F"/>
    <w:rsid w:val="54224EA2"/>
    <w:rsid w:val="545F6C51"/>
    <w:rsid w:val="54ED1452"/>
    <w:rsid w:val="5571600D"/>
    <w:rsid w:val="56A50CDA"/>
    <w:rsid w:val="5A0F25CF"/>
    <w:rsid w:val="5C574AC3"/>
    <w:rsid w:val="5C7F6ACD"/>
    <w:rsid w:val="5D4A4C0E"/>
    <w:rsid w:val="5E4D7F51"/>
    <w:rsid w:val="5E6847AF"/>
    <w:rsid w:val="5FC41C75"/>
    <w:rsid w:val="5FDD42D4"/>
    <w:rsid w:val="60606896"/>
    <w:rsid w:val="60EB1C49"/>
    <w:rsid w:val="610B690B"/>
    <w:rsid w:val="620333B0"/>
    <w:rsid w:val="627C6F22"/>
    <w:rsid w:val="62B96FE1"/>
    <w:rsid w:val="63702777"/>
    <w:rsid w:val="63A10E0E"/>
    <w:rsid w:val="63CF7B03"/>
    <w:rsid w:val="64571E7C"/>
    <w:rsid w:val="64B809E2"/>
    <w:rsid w:val="65E2470D"/>
    <w:rsid w:val="65E669EC"/>
    <w:rsid w:val="67157A1D"/>
    <w:rsid w:val="68581B13"/>
    <w:rsid w:val="6AC53691"/>
    <w:rsid w:val="6B173EB2"/>
    <w:rsid w:val="6B824E99"/>
    <w:rsid w:val="6C414AB2"/>
    <w:rsid w:val="6DF6BB41"/>
    <w:rsid w:val="6E365989"/>
    <w:rsid w:val="6E6733CC"/>
    <w:rsid w:val="6EA501C4"/>
    <w:rsid w:val="6EEC6DFC"/>
    <w:rsid w:val="6FE767F1"/>
    <w:rsid w:val="701D3DDF"/>
    <w:rsid w:val="71642515"/>
    <w:rsid w:val="71AC4B85"/>
    <w:rsid w:val="71EA5B48"/>
    <w:rsid w:val="71F159DB"/>
    <w:rsid w:val="72C42A56"/>
    <w:rsid w:val="72D30D83"/>
    <w:rsid w:val="72F02B78"/>
    <w:rsid w:val="73A60330"/>
    <w:rsid w:val="73A612D7"/>
    <w:rsid w:val="747316A8"/>
    <w:rsid w:val="75897D5B"/>
    <w:rsid w:val="75913708"/>
    <w:rsid w:val="75C5050B"/>
    <w:rsid w:val="76CC2CFF"/>
    <w:rsid w:val="771865D2"/>
    <w:rsid w:val="77846810"/>
    <w:rsid w:val="7942768C"/>
    <w:rsid w:val="7966337A"/>
    <w:rsid w:val="79CB5C60"/>
    <w:rsid w:val="7A3562E6"/>
    <w:rsid w:val="7A4B32C7"/>
    <w:rsid w:val="7AD4482E"/>
    <w:rsid w:val="7BF51EAC"/>
    <w:rsid w:val="7D5F1FA6"/>
    <w:rsid w:val="7DC160A2"/>
    <w:rsid w:val="7E717A18"/>
    <w:rsid w:val="7E7C6352"/>
    <w:rsid w:val="7E89142D"/>
    <w:rsid w:val="7F572AE8"/>
    <w:rsid w:val="7F96532A"/>
    <w:rsid w:val="812E654B"/>
    <w:rsid w:val="E807B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5">
    <w:name w:val="heading 1"/>
    <w:basedOn w:val="1"/>
    <w:next w:val="1"/>
    <w:link w:val="54"/>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6">
    <w:name w:val="heading 2"/>
    <w:basedOn w:val="1"/>
    <w:next w:val="1"/>
    <w:link w:val="55"/>
    <w:qFormat/>
    <w:uiPriority w:val="9"/>
    <w:pPr>
      <w:keepNext/>
      <w:keepLines/>
      <w:spacing w:before="260" w:after="260" w:line="413" w:lineRule="auto"/>
      <w:outlineLvl w:val="1"/>
    </w:pPr>
    <w:rPr>
      <w:rFonts w:ascii="Arial" w:hAnsi="Arial" w:eastAsia="黑体"/>
      <w:b/>
      <w:bCs/>
      <w:kern w:val="2"/>
      <w:sz w:val="32"/>
      <w:szCs w:val="32"/>
    </w:rPr>
  </w:style>
  <w:style w:type="paragraph" w:styleId="7">
    <w:name w:val="heading 3"/>
    <w:basedOn w:val="1"/>
    <w:next w:val="1"/>
    <w:link w:val="56"/>
    <w:qFormat/>
    <w:uiPriority w:val="0"/>
    <w:pPr>
      <w:keepNext/>
      <w:keepLines/>
      <w:spacing w:before="260" w:after="260" w:line="413" w:lineRule="auto"/>
      <w:outlineLvl w:val="2"/>
    </w:pPr>
    <w:rPr>
      <w:b/>
      <w:bCs/>
      <w:kern w:val="2"/>
      <w:sz w:val="32"/>
      <w:szCs w:val="32"/>
    </w:rPr>
  </w:style>
  <w:style w:type="paragraph" w:styleId="8">
    <w:name w:val="heading 4"/>
    <w:basedOn w:val="1"/>
    <w:next w:val="1"/>
    <w:link w:val="57"/>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9">
    <w:name w:val="heading 5"/>
    <w:basedOn w:val="1"/>
    <w:next w:val="1"/>
    <w:link w:val="58"/>
    <w:qFormat/>
    <w:uiPriority w:val="0"/>
    <w:pPr>
      <w:keepNext/>
      <w:keepLines/>
      <w:tabs>
        <w:tab w:val="left" w:pos="567"/>
      </w:tabs>
      <w:ind w:left="567" w:hanging="567"/>
      <w:outlineLvl w:val="4"/>
    </w:pPr>
    <w:rPr>
      <w:b/>
      <w:bCs/>
      <w:kern w:val="2"/>
      <w:sz w:val="28"/>
      <w:szCs w:val="28"/>
    </w:rPr>
  </w:style>
  <w:style w:type="paragraph" w:styleId="10">
    <w:name w:val="heading 6"/>
    <w:basedOn w:val="1"/>
    <w:next w:val="1"/>
    <w:link w:val="59"/>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11">
    <w:name w:val="heading 7"/>
    <w:basedOn w:val="1"/>
    <w:next w:val="1"/>
    <w:link w:val="60"/>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12">
    <w:name w:val="heading 8"/>
    <w:basedOn w:val="1"/>
    <w:next w:val="1"/>
    <w:link w:val="61"/>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3">
    <w:name w:val="heading 9"/>
    <w:basedOn w:val="1"/>
    <w:next w:val="1"/>
    <w:link w:val="62"/>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link w:val="68"/>
    <w:qFormat/>
    <w:uiPriority w:val="99"/>
    <w:pPr>
      <w:spacing w:after="120"/>
    </w:pPr>
    <w:rPr>
      <w:kern w:val="2"/>
    </w:rPr>
  </w:style>
  <w:style w:type="paragraph" w:styleId="4">
    <w:name w:val="toc 6"/>
    <w:basedOn w:val="1"/>
    <w:next w:val="1"/>
    <w:semiHidden/>
    <w:qFormat/>
    <w:uiPriority w:val="0"/>
    <w:pPr>
      <w:ind w:left="1050"/>
      <w:jc w:val="left"/>
    </w:pPr>
    <w:rPr>
      <w:sz w:val="18"/>
      <w:szCs w:val="18"/>
    </w:rPr>
  </w:style>
  <w:style w:type="paragraph" w:styleId="14">
    <w:name w:val="Normal Indent"/>
    <w:basedOn w:val="1"/>
    <w:next w:val="1"/>
    <w:link w:val="64"/>
    <w:qFormat/>
    <w:uiPriority w:val="0"/>
    <w:pPr>
      <w:adjustRightInd w:val="0"/>
      <w:spacing w:line="312" w:lineRule="atLeast"/>
      <w:ind w:firstLine="420"/>
      <w:textAlignment w:val="baseline"/>
    </w:pPr>
    <w:rPr>
      <w:szCs w:val="20"/>
    </w:rPr>
  </w:style>
  <w:style w:type="paragraph" w:styleId="15">
    <w:name w:val="caption"/>
    <w:basedOn w:val="1"/>
    <w:next w:val="1"/>
    <w:qFormat/>
    <w:uiPriority w:val="0"/>
    <w:rPr>
      <w:rFonts w:ascii="Calibri Light" w:hAnsi="Calibri Light" w:eastAsia="黑体"/>
      <w:sz w:val="20"/>
      <w:szCs w:val="20"/>
    </w:rPr>
  </w:style>
  <w:style w:type="paragraph" w:styleId="16">
    <w:name w:val="List Bullet"/>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7">
    <w:name w:val="Document Map"/>
    <w:basedOn w:val="1"/>
    <w:link w:val="65"/>
    <w:qFormat/>
    <w:uiPriority w:val="0"/>
    <w:pPr>
      <w:shd w:val="clear" w:color="auto" w:fill="000080"/>
    </w:pPr>
    <w:rPr>
      <w:kern w:val="2"/>
    </w:rPr>
  </w:style>
  <w:style w:type="paragraph" w:styleId="18">
    <w:name w:val="annotation text"/>
    <w:basedOn w:val="1"/>
    <w:link w:val="66"/>
    <w:qFormat/>
    <w:uiPriority w:val="0"/>
    <w:pPr>
      <w:jc w:val="left"/>
    </w:pPr>
    <w:rPr>
      <w:kern w:val="2"/>
    </w:rPr>
  </w:style>
  <w:style w:type="paragraph" w:styleId="19">
    <w:name w:val="Salutation"/>
    <w:basedOn w:val="1"/>
    <w:next w:val="1"/>
    <w:link w:val="67"/>
    <w:qFormat/>
    <w:uiPriority w:val="0"/>
    <w:rPr>
      <w:kern w:val="2"/>
      <w:sz w:val="24"/>
    </w:rPr>
  </w:style>
  <w:style w:type="paragraph" w:styleId="20">
    <w:name w:val="Body Text Indent"/>
    <w:basedOn w:val="1"/>
    <w:next w:val="1"/>
    <w:link w:val="52"/>
    <w:qFormat/>
    <w:uiPriority w:val="0"/>
    <w:pPr>
      <w:ind w:left="480" w:hanging="480" w:hangingChars="200"/>
    </w:pPr>
    <w:rPr>
      <w:kern w:val="2"/>
      <w:sz w:val="24"/>
    </w:rPr>
  </w:style>
  <w:style w:type="paragraph" w:styleId="21">
    <w:name w:val="Block Text"/>
    <w:basedOn w:val="1"/>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qFormat/>
    <w:uiPriority w:val="0"/>
    <w:pPr>
      <w:tabs>
        <w:tab w:val="left" w:pos="780"/>
      </w:tabs>
      <w:ind w:left="780" w:hanging="360"/>
    </w:pPr>
    <w:rPr>
      <w:szCs w:val="20"/>
    </w:rPr>
  </w:style>
  <w:style w:type="paragraph" w:styleId="23">
    <w:name w:val="Plain Text"/>
    <w:basedOn w:val="1"/>
    <w:next w:val="1"/>
    <w:link w:val="71"/>
    <w:qFormat/>
    <w:uiPriority w:val="0"/>
    <w:pPr>
      <w:widowControl/>
      <w:overflowPunct w:val="0"/>
      <w:autoSpaceDE w:val="0"/>
      <w:autoSpaceDN w:val="0"/>
      <w:adjustRightInd w:val="0"/>
      <w:jc w:val="left"/>
      <w:textAlignment w:val="baseline"/>
    </w:pPr>
    <w:rPr>
      <w:rFonts w:ascii="宋体" w:hAnsi="Courier New"/>
      <w:szCs w:val="21"/>
    </w:rPr>
  </w:style>
  <w:style w:type="paragraph" w:styleId="24">
    <w:name w:val="Date"/>
    <w:basedOn w:val="1"/>
    <w:next w:val="1"/>
    <w:link w:val="73"/>
    <w:qFormat/>
    <w:uiPriority w:val="0"/>
    <w:pPr>
      <w:ind w:left="100" w:leftChars="2500"/>
    </w:pPr>
    <w:rPr>
      <w:kern w:val="2"/>
      <w:szCs w:val="20"/>
    </w:rPr>
  </w:style>
  <w:style w:type="paragraph" w:styleId="25">
    <w:name w:val="Body Text Indent 2"/>
    <w:basedOn w:val="1"/>
    <w:link w:val="74"/>
    <w:qFormat/>
    <w:uiPriority w:val="0"/>
    <w:pPr>
      <w:spacing w:line="500" w:lineRule="exact"/>
      <w:ind w:firstLine="511" w:firstLineChars="213"/>
    </w:pPr>
    <w:rPr>
      <w:kern w:val="2"/>
      <w:sz w:val="24"/>
    </w:rPr>
  </w:style>
  <w:style w:type="paragraph" w:styleId="26">
    <w:name w:val="Balloon Text"/>
    <w:basedOn w:val="1"/>
    <w:link w:val="75"/>
    <w:qFormat/>
    <w:uiPriority w:val="0"/>
    <w:rPr>
      <w:kern w:val="2"/>
      <w:sz w:val="18"/>
      <w:szCs w:val="18"/>
    </w:rPr>
  </w:style>
  <w:style w:type="paragraph" w:styleId="27">
    <w:name w:val="footer"/>
    <w:basedOn w:val="1"/>
    <w:link w:val="76"/>
    <w:qFormat/>
    <w:uiPriority w:val="99"/>
    <w:pPr>
      <w:tabs>
        <w:tab w:val="center" w:pos="4153"/>
        <w:tab w:val="right" w:pos="8306"/>
      </w:tabs>
      <w:snapToGrid w:val="0"/>
      <w:jc w:val="left"/>
    </w:pPr>
    <w:rPr>
      <w:kern w:val="2"/>
      <w:sz w:val="18"/>
      <w:szCs w:val="18"/>
    </w:rPr>
  </w:style>
  <w:style w:type="paragraph" w:styleId="28">
    <w:name w:val="header"/>
    <w:basedOn w:val="1"/>
    <w:link w:val="77"/>
    <w:qFormat/>
    <w:uiPriority w:val="99"/>
    <w:pPr>
      <w:pBdr>
        <w:bottom w:val="single" w:color="auto" w:sz="6" w:space="1"/>
      </w:pBdr>
      <w:tabs>
        <w:tab w:val="center" w:pos="4153"/>
        <w:tab w:val="right" w:pos="8306"/>
      </w:tabs>
      <w:snapToGrid w:val="0"/>
      <w:jc w:val="center"/>
    </w:pPr>
    <w:rPr>
      <w:kern w:val="2"/>
      <w:sz w:val="18"/>
      <w:szCs w:val="18"/>
    </w:rPr>
  </w:style>
  <w:style w:type="paragraph" w:styleId="29">
    <w:name w:val="toc 1"/>
    <w:basedOn w:val="1"/>
    <w:next w:val="1"/>
    <w:unhideWhenUsed/>
    <w:qFormat/>
    <w:uiPriority w:val="39"/>
    <w:pPr>
      <w:tabs>
        <w:tab w:val="right" w:leader="dot" w:pos="9628"/>
      </w:tabs>
    </w:pPr>
  </w:style>
  <w:style w:type="paragraph" w:styleId="30">
    <w:name w:val="Body Text Indent 3"/>
    <w:basedOn w:val="1"/>
    <w:link w:val="81"/>
    <w:qFormat/>
    <w:uiPriority w:val="0"/>
    <w:pPr>
      <w:spacing w:line="500" w:lineRule="exact"/>
      <w:ind w:left="511" w:hanging="511" w:hangingChars="213"/>
    </w:pPr>
    <w:rPr>
      <w:kern w:val="2"/>
      <w:sz w:val="24"/>
    </w:rPr>
  </w:style>
  <w:style w:type="paragraph" w:styleId="31">
    <w:name w:val="toc 2"/>
    <w:basedOn w:val="1"/>
    <w:next w:val="1"/>
    <w:unhideWhenUsed/>
    <w:qFormat/>
    <w:uiPriority w:val="39"/>
    <w:pPr>
      <w:ind w:left="420" w:leftChars="200"/>
    </w:pPr>
  </w:style>
  <w:style w:type="paragraph" w:styleId="32">
    <w:name w:val="Normal (Web)"/>
    <w:basedOn w:val="1"/>
    <w:qFormat/>
    <w:uiPriority w:val="0"/>
    <w:pPr>
      <w:widowControl/>
      <w:spacing w:before="100" w:beforeAutospacing="1" w:after="100" w:afterAutospacing="1"/>
      <w:jc w:val="left"/>
    </w:pPr>
    <w:rPr>
      <w:rFonts w:ascii="宋体" w:hAnsi="宋体" w:cs="宋体"/>
      <w:sz w:val="24"/>
    </w:rPr>
  </w:style>
  <w:style w:type="paragraph" w:styleId="33">
    <w:name w:val="Title"/>
    <w:basedOn w:val="1"/>
    <w:next w:val="1"/>
    <w:link w:val="84"/>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8"/>
    <w:next w:val="18"/>
    <w:link w:val="85"/>
    <w:qFormat/>
    <w:uiPriority w:val="0"/>
    <w:rPr>
      <w:b/>
      <w:bCs/>
    </w:rPr>
  </w:style>
  <w:style w:type="paragraph" w:styleId="35">
    <w:name w:val="Body Text First Indent 2"/>
    <w:basedOn w:val="20"/>
    <w:next w:val="2"/>
    <w:qFormat/>
    <w:uiPriority w:val="0"/>
    <w:pPr>
      <w:ind w:left="200" w:leftChars="20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Emphasis"/>
    <w:qFormat/>
    <w:uiPriority w:val="0"/>
    <w:rPr>
      <w:rFonts w:ascii="Times New Roman" w:hAnsi="Times New Roman" w:eastAsia="宋体" w:cs="Times New Roman"/>
      <w:b/>
    </w:rPr>
  </w:style>
  <w:style w:type="character" w:styleId="42">
    <w:name w:val="HTML Definition"/>
    <w:qFormat/>
    <w:uiPriority w:val="0"/>
    <w:rPr>
      <w:rFonts w:ascii="Times New Roman" w:hAnsi="Times New Roman" w:eastAsia="宋体" w:cs="Times New Roman"/>
    </w:rPr>
  </w:style>
  <w:style w:type="character" w:styleId="43">
    <w:name w:val="HTML Variable"/>
    <w:qFormat/>
    <w:uiPriority w:val="0"/>
    <w:rPr>
      <w:rFonts w:ascii="Times New Roman" w:hAnsi="Times New Roman" w:eastAsia="宋体" w:cs="Times New Roman"/>
    </w:rPr>
  </w:style>
  <w:style w:type="character" w:styleId="44">
    <w:name w:val="Hyperlink"/>
    <w:qFormat/>
    <w:uiPriority w:val="99"/>
    <w:rPr>
      <w:rFonts w:ascii="Times New Roman" w:hAnsi="Times New Roman" w:eastAsia="宋体" w:cs="Times New Roman"/>
      <w:color w:val="000000"/>
      <w:sz w:val="21"/>
      <w:szCs w:val="21"/>
      <w:u w:val="none"/>
    </w:rPr>
  </w:style>
  <w:style w:type="character" w:styleId="45">
    <w:name w:val="HTML Code"/>
    <w:qFormat/>
    <w:uiPriority w:val="0"/>
    <w:rPr>
      <w:rFonts w:ascii="Courier New" w:hAnsi="Courier New" w:eastAsia="宋体" w:cs="Times New Roman"/>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qFormat/>
    <w:uiPriority w:val="0"/>
    <w:rPr>
      <w:rFonts w:ascii="Times New Roman" w:hAnsi="Times New Roman" w:eastAsia="宋体" w:cs="Times New Roman"/>
    </w:rPr>
  </w:style>
  <w:style w:type="character" w:styleId="48">
    <w:name w:val="HTML Keyboard"/>
    <w:qFormat/>
    <w:uiPriority w:val="0"/>
    <w:rPr>
      <w:rFonts w:ascii="Courier New" w:hAnsi="Courier New" w:eastAsia="宋体" w:cs="Times New Roman"/>
      <w:sz w:val="20"/>
    </w:rPr>
  </w:style>
  <w:style w:type="character" w:styleId="49">
    <w:name w:val="HTML Sample"/>
    <w:qFormat/>
    <w:uiPriority w:val="0"/>
    <w:rPr>
      <w:rFonts w:ascii="Courier New" w:hAnsi="Courier New" w:eastAsia="宋体" w:cs="Times New Roman"/>
    </w:rPr>
  </w:style>
  <w:style w:type="paragraph" w:customStyle="1" w:styleId="50">
    <w:name w:val="正文文本首行缩进1"/>
    <w:basedOn w:val="3"/>
    <w:qFormat/>
    <w:uiPriority w:val="0"/>
    <w:pPr>
      <w:ind w:firstLine="420"/>
    </w:pPr>
  </w:style>
  <w:style w:type="paragraph" w:customStyle="1" w:styleId="51">
    <w:name w:val="正文文本首行缩进 21"/>
    <w:basedOn w:val="20"/>
    <w:link w:val="53"/>
    <w:qFormat/>
    <w:uiPriority w:val="0"/>
    <w:pPr>
      <w:spacing w:after="120"/>
      <w:ind w:left="420" w:leftChars="200" w:firstLine="420" w:firstLineChars="200"/>
    </w:pPr>
    <w:rPr>
      <w:rFonts w:ascii="仿宋_GB2312" w:eastAsia="仿宋_GB2312"/>
      <w:sz w:val="28"/>
      <w:szCs w:val="28"/>
    </w:rPr>
  </w:style>
  <w:style w:type="character" w:customStyle="1" w:styleId="52">
    <w:name w:val="正文文本缩进 字符"/>
    <w:link w:val="20"/>
    <w:qFormat/>
    <w:uiPriority w:val="0"/>
    <w:rPr>
      <w:rFonts w:ascii="Times New Roman" w:hAnsi="Times New Roman" w:eastAsia="宋体" w:cs="Times New Roman"/>
      <w:kern w:val="2"/>
      <w:sz w:val="24"/>
      <w:szCs w:val="24"/>
    </w:rPr>
  </w:style>
  <w:style w:type="character" w:customStyle="1" w:styleId="53">
    <w:name w:val="正文文本首行缩进 2 字符"/>
    <w:link w:val="51"/>
    <w:qFormat/>
    <w:uiPriority w:val="0"/>
    <w:rPr>
      <w:rFonts w:ascii="仿宋_GB2312" w:hAnsi="Times New Roman" w:eastAsia="仿宋_GB2312" w:cs="Times New Roman"/>
      <w:kern w:val="2"/>
      <w:sz w:val="28"/>
      <w:szCs w:val="28"/>
      <w:lang w:val="en-US" w:eastAsia="zh-CN" w:bidi="ar-SA"/>
    </w:rPr>
  </w:style>
  <w:style w:type="character" w:customStyle="1" w:styleId="54">
    <w:name w:val="标题 1 字符"/>
    <w:link w:val="5"/>
    <w:qFormat/>
    <w:uiPriority w:val="0"/>
    <w:rPr>
      <w:rFonts w:ascii="宋体" w:hAnsi="Times New Roman" w:eastAsia="宋体" w:cs="Times New Roman"/>
      <w:b/>
      <w:kern w:val="44"/>
      <w:sz w:val="24"/>
    </w:rPr>
  </w:style>
  <w:style w:type="character" w:customStyle="1" w:styleId="55">
    <w:name w:val="标题 2 字符"/>
    <w:link w:val="6"/>
    <w:qFormat/>
    <w:uiPriority w:val="9"/>
    <w:rPr>
      <w:rFonts w:ascii="Arial" w:hAnsi="Arial" w:eastAsia="黑体" w:cs="Times New Roman"/>
      <w:b/>
      <w:bCs/>
      <w:kern w:val="2"/>
      <w:sz w:val="32"/>
      <w:szCs w:val="32"/>
    </w:rPr>
  </w:style>
  <w:style w:type="character" w:customStyle="1" w:styleId="56">
    <w:name w:val="标题 3 字符"/>
    <w:link w:val="7"/>
    <w:qFormat/>
    <w:uiPriority w:val="0"/>
    <w:rPr>
      <w:rFonts w:ascii="Times New Roman" w:hAnsi="Times New Roman" w:eastAsia="宋体" w:cs="Times New Roman"/>
      <w:b/>
      <w:bCs/>
      <w:kern w:val="2"/>
      <w:sz w:val="32"/>
      <w:szCs w:val="32"/>
      <w:lang w:val="en-US" w:eastAsia="zh-CN" w:bidi="ar-SA"/>
    </w:rPr>
  </w:style>
  <w:style w:type="character" w:customStyle="1" w:styleId="57">
    <w:name w:val="标题 4 字符"/>
    <w:link w:val="8"/>
    <w:qFormat/>
    <w:uiPriority w:val="9"/>
    <w:rPr>
      <w:rFonts w:ascii="Arial" w:hAnsi="Arial" w:eastAsia="Times New Roman" w:cs="Times New Roman"/>
      <w:b/>
      <w:bCs/>
      <w:kern w:val="2"/>
      <w:sz w:val="28"/>
      <w:szCs w:val="28"/>
    </w:rPr>
  </w:style>
  <w:style w:type="character" w:customStyle="1" w:styleId="58">
    <w:name w:val="标题 5 字符"/>
    <w:link w:val="9"/>
    <w:qFormat/>
    <w:uiPriority w:val="0"/>
    <w:rPr>
      <w:rFonts w:ascii="Times New Roman" w:hAnsi="Times New Roman" w:eastAsia="宋体" w:cs="Times New Roman"/>
      <w:b/>
      <w:bCs/>
      <w:kern w:val="2"/>
      <w:sz w:val="28"/>
      <w:szCs w:val="28"/>
      <w:lang w:bidi="ar-SA"/>
    </w:rPr>
  </w:style>
  <w:style w:type="character" w:customStyle="1" w:styleId="59">
    <w:name w:val="标题 6 字符"/>
    <w:link w:val="10"/>
    <w:qFormat/>
    <w:uiPriority w:val="0"/>
    <w:rPr>
      <w:rFonts w:ascii="Arial" w:hAnsi="Arial" w:eastAsia="黑体" w:cs="Times New Roman"/>
      <w:b/>
      <w:bCs/>
      <w:kern w:val="2"/>
      <w:sz w:val="24"/>
      <w:szCs w:val="24"/>
    </w:rPr>
  </w:style>
  <w:style w:type="character" w:customStyle="1" w:styleId="60">
    <w:name w:val="标题 7 字符"/>
    <w:link w:val="11"/>
    <w:qFormat/>
    <w:uiPriority w:val="0"/>
    <w:rPr>
      <w:rFonts w:ascii="Times New Roman" w:hAnsi="Times New Roman" w:eastAsia="仿宋_GB2312" w:cs="Times New Roman"/>
      <w:b/>
      <w:bCs/>
      <w:kern w:val="2"/>
      <w:sz w:val="24"/>
      <w:szCs w:val="24"/>
    </w:rPr>
  </w:style>
  <w:style w:type="character" w:customStyle="1" w:styleId="61">
    <w:name w:val="标题 8 字符"/>
    <w:link w:val="12"/>
    <w:qFormat/>
    <w:uiPriority w:val="0"/>
    <w:rPr>
      <w:rFonts w:ascii="Arial" w:hAnsi="Arial" w:eastAsia="黑体" w:cs="Times New Roman"/>
      <w:kern w:val="2"/>
      <w:sz w:val="24"/>
      <w:szCs w:val="24"/>
    </w:rPr>
  </w:style>
  <w:style w:type="character" w:customStyle="1" w:styleId="62">
    <w:name w:val="标题 9 字符"/>
    <w:link w:val="13"/>
    <w:qFormat/>
    <w:uiPriority w:val="0"/>
    <w:rPr>
      <w:rFonts w:ascii="Arial" w:hAnsi="Arial" w:eastAsia="黑体" w:cs="Times New Roman"/>
      <w:kern w:val="2"/>
      <w:sz w:val="21"/>
      <w:szCs w:val="21"/>
    </w:rPr>
  </w:style>
  <w:style w:type="paragraph" w:customStyle="1" w:styleId="63">
    <w:name w:val="TOC 71"/>
    <w:basedOn w:val="1"/>
    <w:next w:val="1"/>
    <w:qFormat/>
    <w:uiPriority w:val="0"/>
    <w:pPr>
      <w:ind w:left="1260"/>
      <w:jc w:val="left"/>
    </w:pPr>
    <w:rPr>
      <w:sz w:val="18"/>
      <w:szCs w:val="18"/>
    </w:rPr>
  </w:style>
  <w:style w:type="character" w:customStyle="1" w:styleId="64">
    <w:name w:val="正文缩进 字符"/>
    <w:link w:val="14"/>
    <w:qFormat/>
    <w:uiPriority w:val="0"/>
    <w:rPr>
      <w:rFonts w:ascii="Times New Roman" w:hAnsi="Times New Roman" w:eastAsia="宋体" w:cs="Times New Roman"/>
      <w:sz w:val="21"/>
      <w:lang w:val="en-US" w:eastAsia="zh-CN" w:bidi="ar-SA"/>
    </w:rPr>
  </w:style>
  <w:style w:type="character" w:customStyle="1" w:styleId="65">
    <w:name w:val="文档结构图 字符"/>
    <w:link w:val="17"/>
    <w:qFormat/>
    <w:uiPriority w:val="0"/>
    <w:rPr>
      <w:rFonts w:ascii="Times New Roman" w:hAnsi="Times New Roman" w:eastAsia="宋体" w:cs="Times New Roman"/>
      <w:kern w:val="2"/>
      <w:sz w:val="21"/>
      <w:szCs w:val="24"/>
      <w:shd w:val="clear" w:color="auto" w:fill="000080"/>
    </w:rPr>
  </w:style>
  <w:style w:type="character" w:customStyle="1" w:styleId="66">
    <w:name w:val="批注文字 字符2"/>
    <w:link w:val="18"/>
    <w:qFormat/>
    <w:uiPriority w:val="0"/>
    <w:rPr>
      <w:rFonts w:ascii="Times New Roman" w:hAnsi="Times New Roman" w:eastAsia="宋体" w:cs="Times New Roman"/>
      <w:kern w:val="2"/>
      <w:sz w:val="21"/>
      <w:szCs w:val="24"/>
    </w:rPr>
  </w:style>
  <w:style w:type="character" w:customStyle="1" w:styleId="67">
    <w:name w:val="称呼 字符"/>
    <w:link w:val="19"/>
    <w:qFormat/>
    <w:uiPriority w:val="0"/>
    <w:rPr>
      <w:rFonts w:ascii="Times New Roman" w:hAnsi="Times New Roman" w:eastAsia="宋体" w:cs="Times New Roman"/>
      <w:kern w:val="2"/>
      <w:sz w:val="24"/>
      <w:szCs w:val="24"/>
    </w:rPr>
  </w:style>
  <w:style w:type="character" w:customStyle="1" w:styleId="68">
    <w:name w:val="正文文本 字符1"/>
    <w:link w:val="3"/>
    <w:qFormat/>
    <w:uiPriority w:val="0"/>
    <w:rPr>
      <w:rFonts w:ascii="Times New Roman" w:hAnsi="Times New Roman" w:eastAsia="宋体" w:cs="Times New Roman"/>
      <w:kern w:val="2"/>
      <w:sz w:val="21"/>
      <w:szCs w:val="24"/>
    </w:rPr>
  </w:style>
  <w:style w:type="paragraph" w:customStyle="1" w:styleId="69">
    <w:name w:val="TOC 51"/>
    <w:basedOn w:val="1"/>
    <w:next w:val="1"/>
    <w:qFormat/>
    <w:uiPriority w:val="0"/>
    <w:pPr>
      <w:ind w:left="840"/>
      <w:jc w:val="left"/>
    </w:pPr>
    <w:rPr>
      <w:sz w:val="18"/>
      <w:szCs w:val="18"/>
    </w:rPr>
  </w:style>
  <w:style w:type="paragraph" w:customStyle="1" w:styleId="70">
    <w:name w:val="TOC 31"/>
    <w:basedOn w:val="1"/>
    <w:next w:val="1"/>
    <w:qFormat/>
    <w:uiPriority w:val="0"/>
    <w:pPr>
      <w:ind w:left="420"/>
      <w:jc w:val="left"/>
    </w:pPr>
    <w:rPr>
      <w:i/>
      <w:iCs/>
      <w:sz w:val="20"/>
      <w:szCs w:val="20"/>
    </w:rPr>
  </w:style>
  <w:style w:type="character" w:customStyle="1" w:styleId="71">
    <w:name w:val="纯文本 字符1"/>
    <w:link w:val="23"/>
    <w:qFormat/>
    <w:uiPriority w:val="0"/>
    <w:rPr>
      <w:rFonts w:ascii="宋体" w:hAnsi="Courier New" w:eastAsia="宋体" w:cs="Times New Roman"/>
      <w:sz w:val="21"/>
      <w:szCs w:val="21"/>
      <w:lang w:val="en-US" w:eastAsia="zh-CN" w:bidi="ar-SA"/>
    </w:rPr>
  </w:style>
  <w:style w:type="paragraph" w:customStyle="1" w:styleId="72">
    <w:name w:val="TOC 81"/>
    <w:basedOn w:val="1"/>
    <w:next w:val="1"/>
    <w:qFormat/>
    <w:uiPriority w:val="0"/>
    <w:pPr>
      <w:ind w:left="1470"/>
      <w:jc w:val="left"/>
    </w:pPr>
    <w:rPr>
      <w:sz w:val="18"/>
      <w:szCs w:val="18"/>
    </w:rPr>
  </w:style>
  <w:style w:type="character" w:customStyle="1" w:styleId="73">
    <w:name w:val="日期 字符1"/>
    <w:link w:val="24"/>
    <w:qFormat/>
    <w:uiPriority w:val="0"/>
    <w:rPr>
      <w:rFonts w:ascii="Times New Roman" w:hAnsi="Times New Roman" w:eastAsia="宋体" w:cs="Times New Roman"/>
      <w:kern w:val="2"/>
      <w:sz w:val="21"/>
    </w:rPr>
  </w:style>
  <w:style w:type="character" w:customStyle="1" w:styleId="74">
    <w:name w:val="正文文本缩进 2 字符"/>
    <w:link w:val="25"/>
    <w:qFormat/>
    <w:uiPriority w:val="0"/>
    <w:rPr>
      <w:rFonts w:ascii="Times New Roman" w:hAnsi="Times New Roman" w:eastAsia="宋体" w:cs="Times New Roman"/>
      <w:kern w:val="2"/>
      <w:sz w:val="24"/>
      <w:szCs w:val="24"/>
      <w:lang w:val="en-US" w:eastAsia="zh-CN" w:bidi="ar-SA"/>
    </w:rPr>
  </w:style>
  <w:style w:type="character" w:customStyle="1" w:styleId="75">
    <w:name w:val="批注框文本 字符"/>
    <w:link w:val="26"/>
    <w:qFormat/>
    <w:uiPriority w:val="0"/>
    <w:rPr>
      <w:rFonts w:ascii="Times New Roman" w:hAnsi="Times New Roman" w:eastAsia="宋体" w:cs="Times New Roman"/>
      <w:kern w:val="2"/>
      <w:sz w:val="18"/>
      <w:szCs w:val="18"/>
    </w:rPr>
  </w:style>
  <w:style w:type="character" w:customStyle="1" w:styleId="76">
    <w:name w:val="页脚 字符"/>
    <w:link w:val="27"/>
    <w:qFormat/>
    <w:uiPriority w:val="99"/>
    <w:rPr>
      <w:rFonts w:ascii="Times New Roman" w:hAnsi="Times New Roman" w:eastAsia="宋体" w:cs="Times New Roman"/>
      <w:kern w:val="2"/>
      <w:sz w:val="18"/>
      <w:szCs w:val="18"/>
    </w:rPr>
  </w:style>
  <w:style w:type="character" w:customStyle="1" w:styleId="77">
    <w:name w:val="页眉 字符"/>
    <w:link w:val="28"/>
    <w:qFormat/>
    <w:uiPriority w:val="99"/>
    <w:rPr>
      <w:rFonts w:ascii="Times New Roman" w:hAnsi="Times New Roman" w:eastAsia="宋体" w:cs="Times New Roman"/>
      <w:kern w:val="2"/>
      <w:sz w:val="18"/>
      <w:szCs w:val="18"/>
    </w:rPr>
  </w:style>
  <w:style w:type="paragraph" w:customStyle="1" w:styleId="78">
    <w:name w:val="TOC 11"/>
    <w:basedOn w:val="1"/>
    <w:next w:val="1"/>
    <w:qFormat/>
    <w:uiPriority w:val="39"/>
    <w:pPr>
      <w:spacing w:before="120" w:after="120"/>
      <w:jc w:val="left"/>
    </w:pPr>
    <w:rPr>
      <w:b/>
      <w:bCs/>
      <w:caps/>
      <w:sz w:val="20"/>
      <w:szCs w:val="20"/>
    </w:rPr>
  </w:style>
  <w:style w:type="paragraph" w:customStyle="1" w:styleId="79">
    <w:name w:val="TOC 41"/>
    <w:basedOn w:val="1"/>
    <w:next w:val="1"/>
    <w:qFormat/>
    <w:uiPriority w:val="0"/>
    <w:pPr>
      <w:ind w:left="630"/>
      <w:jc w:val="left"/>
    </w:pPr>
    <w:rPr>
      <w:sz w:val="18"/>
      <w:szCs w:val="18"/>
    </w:rPr>
  </w:style>
  <w:style w:type="paragraph" w:customStyle="1" w:styleId="80">
    <w:name w:val="TOC 61"/>
    <w:basedOn w:val="1"/>
    <w:next w:val="1"/>
    <w:qFormat/>
    <w:uiPriority w:val="0"/>
    <w:pPr>
      <w:ind w:left="1050"/>
      <w:jc w:val="left"/>
    </w:pPr>
    <w:rPr>
      <w:sz w:val="18"/>
      <w:szCs w:val="18"/>
    </w:rPr>
  </w:style>
  <w:style w:type="character" w:customStyle="1" w:styleId="81">
    <w:name w:val="正文文本缩进 3 字符"/>
    <w:link w:val="30"/>
    <w:qFormat/>
    <w:uiPriority w:val="0"/>
    <w:rPr>
      <w:rFonts w:ascii="Times New Roman" w:hAnsi="Times New Roman" w:eastAsia="宋体" w:cs="Times New Roman"/>
      <w:kern w:val="2"/>
      <w:sz w:val="24"/>
      <w:szCs w:val="24"/>
    </w:rPr>
  </w:style>
  <w:style w:type="paragraph" w:customStyle="1" w:styleId="82">
    <w:name w:val="TOC 21"/>
    <w:basedOn w:val="1"/>
    <w:next w:val="1"/>
    <w:qFormat/>
    <w:uiPriority w:val="39"/>
    <w:pPr>
      <w:ind w:left="210"/>
      <w:jc w:val="left"/>
    </w:pPr>
    <w:rPr>
      <w:smallCaps/>
      <w:sz w:val="20"/>
      <w:szCs w:val="20"/>
    </w:rPr>
  </w:style>
  <w:style w:type="paragraph" w:customStyle="1" w:styleId="83">
    <w:name w:val="TOC 91"/>
    <w:basedOn w:val="1"/>
    <w:next w:val="1"/>
    <w:qFormat/>
    <w:uiPriority w:val="0"/>
    <w:pPr>
      <w:ind w:left="1680"/>
      <w:jc w:val="left"/>
    </w:pPr>
    <w:rPr>
      <w:sz w:val="18"/>
      <w:szCs w:val="18"/>
    </w:rPr>
  </w:style>
  <w:style w:type="character" w:customStyle="1" w:styleId="84">
    <w:name w:val="标题 字符"/>
    <w:link w:val="33"/>
    <w:qFormat/>
    <w:uiPriority w:val="0"/>
    <w:rPr>
      <w:rFonts w:ascii="Arial" w:hAnsi="Arial" w:eastAsia="宋体" w:cs="Times New Roman"/>
      <w:b/>
      <w:spacing w:val="14"/>
      <w:kern w:val="24"/>
      <w:sz w:val="32"/>
    </w:rPr>
  </w:style>
  <w:style w:type="character" w:customStyle="1" w:styleId="85">
    <w:name w:val="批注主题 字符"/>
    <w:link w:val="34"/>
    <w:qFormat/>
    <w:uiPriority w:val="0"/>
    <w:rPr>
      <w:rFonts w:ascii="Times New Roman" w:hAnsi="Times New Roman" w:eastAsia="宋体" w:cs="Times New Roman"/>
      <w:b/>
      <w:bCs/>
      <w:kern w:val="2"/>
      <w:sz w:val="21"/>
      <w:szCs w:val="24"/>
    </w:rPr>
  </w:style>
  <w:style w:type="character" w:customStyle="1" w:styleId="86">
    <w:name w:val="访问过的超链接1"/>
    <w:qFormat/>
    <w:uiPriority w:val="0"/>
    <w:rPr>
      <w:rFonts w:ascii="Times New Roman" w:hAnsi="Times New Roman" w:eastAsia="宋体" w:cs="Times New Roman"/>
      <w:color w:val="000000"/>
      <w:sz w:val="21"/>
      <w:szCs w:val="21"/>
      <w:u w:val="none"/>
    </w:rPr>
  </w:style>
  <w:style w:type="character" w:customStyle="1" w:styleId="87">
    <w:name w:val="Default Char"/>
    <w:link w:val="88"/>
    <w:qFormat/>
    <w:uiPriority w:val="0"/>
    <w:rPr>
      <w:rFonts w:ascii="宋体" w:hAnsi="Tahoma" w:eastAsia="宋体" w:cs="宋体"/>
      <w:b/>
      <w:bCs/>
      <w:color w:val="000000"/>
      <w:sz w:val="24"/>
      <w:szCs w:val="24"/>
      <w:lang w:val="en-US" w:eastAsia="zh-CN" w:bidi="ar-SA"/>
    </w:rPr>
  </w:style>
  <w:style w:type="paragraph" w:customStyle="1" w:styleId="88">
    <w:name w:val="Default"/>
    <w:next w:val="1"/>
    <w:link w:val="87"/>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89">
    <w:name w:val="表格文字 Char Char"/>
    <w:link w:val="90"/>
    <w:qFormat/>
    <w:uiPriority w:val="0"/>
    <w:rPr>
      <w:rFonts w:ascii="Times New Roman" w:hAnsi="Times New Roman" w:eastAsia="宋体" w:cs="Times New Roman"/>
      <w:kern w:val="21"/>
      <w:sz w:val="21"/>
      <w:szCs w:val="21"/>
    </w:rPr>
  </w:style>
  <w:style w:type="paragraph" w:customStyle="1" w:styleId="90">
    <w:name w:val="表格文字"/>
    <w:basedOn w:val="1"/>
    <w:next w:val="3"/>
    <w:link w:val="89"/>
    <w:qFormat/>
    <w:uiPriority w:val="0"/>
    <w:pPr>
      <w:jc w:val="left"/>
    </w:pPr>
    <w:rPr>
      <w:kern w:val="21"/>
      <w:szCs w:val="21"/>
    </w:rPr>
  </w:style>
  <w:style w:type="character" w:customStyle="1" w:styleId="91">
    <w:name w:val="列表段落 字符"/>
    <w:link w:val="92"/>
    <w:qFormat/>
    <w:uiPriority w:val="0"/>
    <w:rPr>
      <w:rFonts w:ascii="Calibri" w:hAnsi="Calibri" w:eastAsia="宋体" w:cs="Times New Roman"/>
      <w:kern w:val="2"/>
      <w:sz w:val="21"/>
      <w:szCs w:val="22"/>
    </w:rPr>
  </w:style>
  <w:style w:type="paragraph" w:customStyle="1" w:styleId="92">
    <w:name w:val="列表段落1"/>
    <w:basedOn w:val="1"/>
    <w:link w:val="91"/>
    <w:qFormat/>
    <w:uiPriority w:val="0"/>
    <w:pPr>
      <w:ind w:firstLine="420" w:firstLineChars="200"/>
    </w:pPr>
    <w:rPr>
      <w:rFonts w:ascii="Calibri" w:hAnsi="Calibri"/>
      <w:kern w:val="2"/>
      <w:szCs w:val="22"/>
    </w:rPr>
  </w:style>
  <w:style w:type="paragraph" w:customStyle="1" w:styleId="93">
    <w:name w:val="编号，小四"/>
    <w:basedOn w:val="1"/>
    <w:qFormat/>
    <w:uiPriority w:val="0"/>
    <w:pPr>
      <w:ind w:left="480"/>
    </w:pPr>
  </w:style>
  <w:style w:type="paragraph" w:customStyle="1" w:styleId="94">
    <w:name w:val="我编辑文档正文"/>
    <w:basedOn w:val="1"/>
    <w:link w:val="95"/>
    <w:qFormat/>
    <w:uiPriority w:val="0"/>
    <w:pPr>
      <w:spacing w:line="360" w:lineRule="auto"/>
      <w:ind w:right="69" w:rightChars="33" w:firstLine="360" w:firstLineChars="150"/>
      <w:jc w:val="left"/>
    </w:pPr>
    <w:rPr>
      <w:sz w:val="24"/>
    </w:rPr>
  </w:style>
  <w:style w:type="character" w:customStyle="1" w:styleId="95">
    <w:name w:val="我编辑文档正文 Char"/>
    <w:link w:val="94"/>
    <w:qFormat/>
    <w:uiPriority w:val="0"/>
    <w:rPr>
      <w:rFonts w:ascii="Times New Roman" w:hAnsi="Times New Roman" w:eastAsia="宋体" w:cs="Times New Roman"/>
      <w:sz w:val="24"/>
      <w:szCs w:val="24"/>
    </w:rPr>
  </w:style>
  <w:style w:type="character" w:customStyle="1" w:styleId="96">
    <w:name w:val="明显参考1"/>
    <w:qFormat/>
    <w:uiPriority w:val="0"/>
    <w:rPr>
      <w:rFonts w:ascii="Times New Roman" w:hAnsi="Times New Roman" w:eastAsia="宋体" w:cs="Times New Roman"/>
      <w:b/>
      <w:bCs/>
      <w:smallCaps/>
      <w:color w:val="C0504D"/>
      <w:spacing w:val="5"/>
      <w:u w:val="single"/>
    </w:rPr>
  </w:style>
  <w:style w:type="character" w:customStyle="1" w:styleId="97">
    <w:name w:val="font41"/>
    <w:qFormat/>
    <w:uiPriority w:val="0"/>
    <w:rPr>
      <w:rFonts w:hint="eastAsia" w:ascii="宋体" w:hAnsi="宋体" w:eastAsia="宋体" w:cs="宋体"/>
      <w:b/>
      <w:color w:val="000000"/>
      <w:sz w:val="28"/>
      <w:szCs w:val="28"/>
      <w:u w:val="none"/>
    </w:rPr>
  </w:style>
  <w:style w:type="paragraph" w:customStyle="1" w:styleId="98">
    <w:name w:val="P正文 Char"/>
    <w:basedOn w:val="1"/>
    <w:link w:val="99"/>
    <w:qFormat/>
    <w:uiPriority w:val="0"/>
    <w:pPr>
      <w:spacing w:beforeLines="50" w:afterLines="50"/>
      <w:ind w:left="540" w:leftChars="257"/>
    </w:pPr>
    <w:rPr>
      <w:kern w:val="2"/>
      <w:sz w:val="24"/>
    </w:rPr>
  </w:style>
  <w:style w:type="character" w:customStyle="1" w:styleId="99">
    <w:name w:val="P正文 Char Char"/>
    <w:link w:val="98"/>
    <w:qFormat/>
    <w:uiPriority w:val="0"/>
    <w:rPr>
      <w:rFonts w:ascii="Times New Roman" w:hAnsi="Times New Roman" w:eastAsia="宋体" w:cs="Times New Roman"/>
      <w:kern w:val="2"/>
      <w:sz w:val="24"/>
      <w:szCs w:val="24"/>
    </w:rPr>
  </w:style>
  <w:style w:type="character" w:customStyle="1" w:styleId="100">
    <w:name w:val="未处理的提及1"/>
    <w:qFormat/>
    <w:uiPriority w:val="0"/>
    <w:rPr>
      <w:rFonts w:ascii="Times New Roman" w:hAnsi="Times New Roman" w:eastAsia="宋体" w:cs="Times New Roman"/>
      <w:color w:val="605E5C"/>
      <w:shd w:val="clear" w:color="auto" w:fill="E1DFDD"/>
    </w:rPr>
  </w:style>
  <w:style w:type="character" w:customStyle="1" w:styleId="101">
    <w:name w:val="正文文本 Char"/>
    <w:qFormat/>
    <w:uiPriority w:val="0"/>
    <w:rPr>
      <w:rFonts w:ascii="Times New Roman" w:hAnsi="Times New Roman" w:eastAsia="宋体" w:cs="Times New Roman"/>
      <w:kern w:val="2"/>
      <w:sz w:val="21"/>
      <w:szCs w:val="24"/>
    </w:rPr>
  </w:style>
  <w:style w:type="character" w:customStyle="1" w:styleId="102">
    <w:name w:val="批注文字 字符1"/>
    <w:qFormat/>
    <w:uiPriority w:val="0"/>
    <w:rPr>
      <w:rFonts w:ascii="Times New Roman" w:hAnsi="Times New Roman" w:eastAsia="宋体" w:cs="Times New Roman"/>
      <w:kern w:val="2"/>
      <w:sz w:val="21"/>
      <w:szCs w:val="24"/>
    </w:rPr>
  </w:style>
  <w:style w:type="paragraph" w:customStyle="1" w:styleId="103">
    <w:name w:val="标准正文格式"/>
    <w:basedOn w:val="1"/>
    <w:link w:val="104"/>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4">
    <w:name w:val="标准正文格式 Char"/>
    <w:link w:val="103"/>
    <w:qFormat/>
    <w:uiPriority w:val="0"/>
    <w:rPr>
      <w:rFonts w:ascii="宋体" w:hAnsi="Times New Roman" w:eastAsia="仿宋_GB2312" w:cs="宋体"/>
      <w:color w:val="000000"/>
      <w:sz w:val="24"/>
    </w:rPr>
  </w:style>
  <w:style w:type="character" w:customStyle="1" w:styleId="105">
    <w:name w:val="px141"/>
    <w:qFormat/>
    <w:uiPriority w:val="0"/>
    <w:rPr>
      <w:rFonts w:ascii="Times New Roman" w:hAnsi="Times New Roman" w:eastAsia="宋体" w:cs="Times New Roman"/>
      <w:sz w:val="21"/>
      <w:szCs w:val="21"/>
    </w:rPr>
  </w:style>
  <w:style w:type="character" w:customStyle="1" w:styleId="106">
    <w:name w:val="font21"/>
    <w:qFormat/>
    <w:uiPriority w:val="0"/>
    <w:rPr>
      <w:rFonts w:hint="eastAsia" w:ascii="宋体" w:hAnsi="宋体" w:eastAsia="宋体" w:cs="宋体"/>
      <w:color w:val="000000"/>
      <w:sz w:val="18"/>
      <w:szCs w:val="18"/>
      <w:u w:val="none"/>
    </w:rPr>
  </w:style>
  <w:style w:type="character" w:customStyle="1" w:styleId="107">
    <w:name w:val="b2"/>
    <w:qFormat/>
    <w:uiPriority w:val="0"/>
    <w:rPr>
      <w:rFonts w:ascii="Times New Roman" w:hAnsi="Times New Roman" w:eastAsia="宋体" w:cs="Times New Roman"/>
    </w:rPr>
  </w:style>
  <w:style w:type="character" w:customStyle="1" w:styleId="108">
    <w:name w:val="font31"/>
    <w:basedOn w:val="38"/>
    <w:qFormat/>
    <w:uiPriority w:val="0"/>
    <w:rPr>
      <w:rFonts w:hint="eastAsia" w:ascii="宋体" w:hAnsi="宋体" w:eastAsia="宋体" w:cs="宋体"/>
      <w:color w:val="000000"/>
      <w:sz w:val="20"/>
      <w:szCs w:val="20"/>
      <w:u w:val="none"/>
    </w:rPr>
  </w:style>
  <w:style w:type="character" w:customStyle="1" w:styleId="109">
    <w:name w:val="font81"/>
    <w:qFormat/>
    <w:uiPriority w:val="0"/>
    <w:rPr>
      <w:rFonts w:hint="eastAsia" w:ascii="宋体" w:hAnsi="宋体" w:eastAsia="宋体" w:cs="宋体"/>
      <w:b/>
      <w:color w:val="000000"/>
      <w:sz w:val="22"/>
      <w:szCs w:val="22"/>
      <w:u w:val="none"/>
    </w:rPr>
  </w:style>
  <w:style w:type="character" w:customStyle="1" w:styleId="110">
    <w:name w:val="日期 Char1"/>
    <w:qFormat/>
    <w:uiPriority w:val="0"/>
    <w:rPr>
      <w:rFonts w:ascii="Times New Roman" w:hAnsi="Times New Roman" w:eastAsia="宋体" w:cs="Times New Roman"/>
      <w:kern w:val="2"/>
      <w:sz w:val="21"/>
      <w:szCs w:val="24"/>
    </w:rPr>
  </w:style>
  <w:style w:type="character" w:customStyle="1" w:styleId="111">
    <w:name w:val="标题2"/>
    <w:qFormat/>
    <w:uiPriority w:val="0"/>
    <w:rPr>
      <w:rFonts w:ascii="微软雅黑" w:hAnsi="微软雅黑" w:eastAsia="微软雅黑" w:cs="Times New Roman"/>
      <w:b/>
      <w:bCs/>
      <w:color w:val="0D0D0D"/>
      <w:sz w:val="24"/>
    </w:rPr>
  </w:style>
  <w:style w:type="character" w:customStyle="1" w:styleId="112">
    <w:name w:val="正文（首行缩进两字） Char1"/>
    <w:qFormat/>
    <w:uiPriority w:val="0"/>
    <w:rPr>
      <w:rFonts w:ascii="Times New Roman" w:hAnsi="Times New Roman" w:eastAsia="仿宋_GB2312" w:cs="Times New Roman"/>
      <w:kern w:val="2"/>
      <w:sz w:val="28"/>
      <w:szCs w:val="24"/>
    </w:rPr>
  </w:style>
  <w:style w:type="character" w:customStyle="1" w:styleId="113">
    <w:name w:val="正文文字 Char"/>
    <w:qFormat/>
    <w:uiPriority w:val="0"/>
    <w:rPr>
      <w:rFonts w:ascii="Times New Roman" w:hAnsi="Times New Roman" w:eastAsia="宋体" w:cs="Times New Roman"/>
      <w:kern w:val="2"/>
      <w:sz w:val="21"/>
      <w:szCs w:val="24"/>
      <w:lang w:val="en-US" w:eastAsia="zh-CN" w:bidi="ar-SA"/>
    </w:rPr>
  </w:style>
  <w:style w:type="character" w:customStyle="1" w:styleId="114">
    <w:name w:val="称呼 Char1"/>
    <w:qFormat/>
    <w:uiPriority w:val="0"/>
    <w:rPr>
      <w:rFonts w:ascii="Times New Roman" w:hAnsi="Times New Roman" w:eastAsia="宋体" w:cs="Times New Roman"/>
      <w:kern w:val="2"/>
      <w:sz w:val="21"/>
      <w:szCs w:val="24"/>
    </w:rPr>
  </w:style>
  <w:style w:type="character" w:customStyle="1" w:styleId="115">
    <w:name w:val="font101"/>
    <w:qFormat/>
    <w:uiPriority w:val="0"/>
    <w:rPr>
      <w:rFonts w:hint="eastAsia" w:ascii="宋体" w:hAnsi="宋体" w:eastAsia="宋体" w:cs="宋体"/>
      <w:b/>
      <w:color w:val="000000"/>
      <w:sz w:val="22"/>
      <w:szCs w:val="22"/>
      <w:u w:val="none"/>
    </w:rPr>
  </w:style>
  <w:style w:type="character" w:customStyle="1" w:styleId="116">
    <w:name w:val="页眉 Char1"/>
    <w:qFormat/>
    <w:uiPriority w:val="0"/>
    <w:rPr>
      <w:rFonts w:ascii="Times New Roman" w:hAnsi="Times New Roman" w:eastAsia="宋体" w:cs="Times New Roman"/>
      <w:color w:val="000000"/>
      <w:kern w:val="1"/>
      <w:sz w:val="18"/>
      <w:szCs w:val="18"/>
      <w:lang w:val="zh-CN"/>
    </w:rPr>
  </w:style>
  <w:style w:type="paragraph" w:customStyle="1" w:styleId="117">
    <w:name w:val="标书正文样式"/>
    <w:basedOn w:val="1"/>
    <w:link w:val="118"/>
    <w:qFormat/>
    <w:uiPriority w:val="0"/>
    <w:pPr>
      <w:ind w:firstLine="560" w:firstLineChars="200"/>
      <w:jc w:val="left"/>
    </w:pPr>
    <w:rPr>
      <w:rFonts w:ascii="仿宋_GB2312" w:hAnsi="Arial" w:eastAsia="仿宋_GB2312"/>
      <w:kern w:val="2"/>
      <w:sz w:val="28"/>
      <w:szCs w:val="28"/>
    </w:rPr>
  </w:style>
  <w:style w:type="character" w:customStyle="1" w:styleId="118">
    <w:name w:val="标书正文样式 Char"/>
    <w:link w:val="117"/>
    <w:qFormat/>
    <w:uiPriority w:val="0"/>
    <w:rPr>
      <w:rFonts w:ascii="仿宋_GB2312" w:hAnsi="Arial" w:eastAsia="仿宋_GB2312" w:cs="Times New Roman"/>
      <w:kern w:val="2"/>
      <w:sz w:val="28"/>
      <w:szCs w:val="28"/>
      <w:lang w:bidi="ar-SA"/>
    </w:rPr>
  </w:style>
  <w:style w:type="character" w:customStyle="1" w:styleId="119">
    <w:name w:val="font11"/>
    <w:qFormat/>
    <w:uiPriority w:val="0"/>
    <w:rPr>
      <w:rFonts w:hint="eastAsia" w:ascii="宋体" w:hAnsi="宋体" w:eastAsia="宋体" w:cs="宋体"/>
      <w:color w:val="000000"/>
      <w:sz w:val="22"/>
      <w:szCs w:val="22"/>
      <w:u w:val="none"/>
    </w:rPr>
  </w:style>
  <w:style w:type="character" w:customStyle="1" w:styleId="120">
    <w:name w:val="question-title2"/>
    <w:qFormat/>
    <w:uiPriority w:val="0"/>
    <w:rPr>
      <w:rFonts w:ascii="Times New Roman" w:hAnsi="Times New Roman" w:eastAsia="宋体" w:cs="Times New Roman"/>
    </w:rPr>
  </w:style>
  <w:style w:type="character" w:customStyle="1" w:styleId="121">
    <w:name w:val="纯文本 字符"/>
    <w:qFormat/>
    <w:uiPriority w:val="0"/>
    <w:rPr>
      <w:rFonts w:ascii="宋体" w:hAnsi="Courier New" w:eastAsia="宋体" w:cs="Times New Roman"/>
      <w:sz w:val="21"/>
      <w:szCs w:val="21"/>
      <w:lang w:val="en-US" w:eastAsia="zh-CN" w:bidi="ar-SA"/>
    </w:rPr>
  </w:style>
  <w:style w:type="character" w:customStyle="1" w:styleId="122">
    <w:name w:val="Char Char Char"/>
    <w:qFormat/>
    <w:uiPriority w:val="0"/>
    <w:rPr>
      <w:rFonts w:ascii="宋体" w:hAnsi="Courier New" w:eastAsia="宋体" w:cs="Times New Roman"/>
      <w:sz w:val="21"/>
      <w:szCs w:val="21"/>
      <w:lang w:val="en-US" w:eastAsia="zh-CN" w:bidi="ar-SA"/>
    </w:rPr>
  </w:style>
  <w:style w:type="paragraph" w:customStyle="1" w:styleId="123">
    <w:name w:val="无间隔1"/>
    <w:link w:val="124"/>
    <w:qFormat/>
    <w:uiPriority w:val="0"/>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4">
    <w:name w:val="无间隔 Char"/>
    <w:link w:val="123"/>
    <w:qFormat/>
    <w:uiPriority w:val="0"/>
    <w:rPr>
      <w:rFonts w:ascii="Times New Roman" w:hAnsi="Times New Roman" w:eastAsia="宋体" w:cs="Times New Roman"/>
      <w:sz w:val="24"/>
      <w:szCs w:val="24"/>
      <w:lang w:val="en-US" w:eastAsia="zh-CN" w:bidi="ar-SA"/>
    </w:rPr>
  </w:style>
  <w:style w:type="character" w:customStyle="1" w:styleId="125">
    <w:name w:val="Texte Char Char"/>
    <w:qFormat/>
    <w:uiPriority w:val="0"/>
    <w:rPr>
      <w:rFonts w:ascii="宋体" w:hAnsi="Courier New" w:eastAsia="宋体" w:cs="Times New Roman"/>
      <w:sz w:val="21"/>
      <w:szCs w:val="21"/>
      <w:lang w:val="en-US" w:eastAsia="zh-CN" w:bidi="ar-SA"/>
    </w:rPr>
  </w:style>
  <w:style w:type="character" w:customStyle="1" w:styleId="126">
    <w:name w:val="chs1"/>
    <w:qFormat/>
    <w:uiPriority w:val="0"/>
    <w:rPr>
      <w:rFonts w:hint="default" w:eastAsia="宋体" w:cs="Times New Roman"/>
      <w:sz w:val="18"/>
      <w:szCs w:val="18"/>
    </w:rPr>
  </w:style>
  <w:style w:type="paragraph" w:customStyle="1" w:styleId="127">
    <w:name w:val="样式 样式3 + 非加粗"/>
    <w:basedOn w:val="1"/>
    <w:link w:val="128"/>
    <w:qFormat/>
    <w:uiPriority w:val="0"/>
    <w:pPr>
      <w:adjustRightInd w:val="0"/>
      <w:snapToGrid w:val="0"/>
      <w:spacing w:line="300" w:lineRule="auto"/>
    </w:pPr>
    <w:rPr>
      <w:rFonts w:ascii="宋体" w:hAnsi="宋体"/>
      <w:b/>
      <w:bCs/>
      <w:color w:val="000000"/>
      <w:kern w:val="2"/>
      <w:sz w:val="24"/>
    </w:rPr>
  </w:style>
  <w:style w:type="character" w:customStyle="1" w:styleId="128">
    <w:name w:val="样式 样式3 + 非加粗 Char"/>
    <w:link w:val="127"/>
    <w:qFormat/>
    <w:uiPriority w:val="0"/>
    <w:rPr>
      <w:rFonts w:ascii="宋体" w:hAnsi="宋体" w:eastAsia="宋体" w:cs="Times New Roman"/>
      <w:b/>
      <w:bCs/>
      <w:color w:val="000000"/>
      <w:kern w:val="2"/>
      <w:sz w:val="24"/>
      <w:szCs w:val="24"/>
      <w:lang w:val="en-US" w:eastAsia="zh-CN" w:bidi="ar-SA"/>
    </w:rPr>
  </w:style>
  <w:style w:type="character" w:customStyle="1" w:styleId="129">
    <w:name w:val="aa1"/>
    <w:qFormat/>
    <w:uiPriority w:val="0"/>
    <w:rPr>
      <w:rFonts w:hint="default" w:eastAsia="宋体" w:cs="Times New Roman"/>
      <w:color w:val="000000"/>
      <w:sz w:val="20"/>
      <w:szCs w:val="20"/>
      <w:u w:val="none"/>
    </w:rPr>
  </w:style>
  <w:style w:type="paragraph" w:customStyle="1" w:styleId="130">
    <w:name w:val="招标正文"/>
    <w:basedOn w:val="1"/>
    <w:link w:val="131"/>
    <w:qFormat/>
    <w:uiPriority w:val="0"/>
    <w:pPr>
      <w:widowControl/>
      <w:spacing w:line="360" w:lineRule="auto"/>
      <w:ind w:firstLine="480" w:firstLineChars="200"/>
    </w:pPr>
    <w:rPr>
      <w:snapToGrid w:val="0"/>
      <w:sz w:val="24"/>
      <w:lang w:val="en-GB"/>
    </w:rPr>
  </w:style>
  <w:style w:type="character" w:customStyle="1" w:styleId="131">
    <w:name w:val="招标正文 Char Char"/>
    <w:link w:val="130"/>
    <w:qFormat/>
    <w:uiPriority w:val="0"/>
    <w:rPr>
      <w:rFonts w:ascii="Times New Roman" w:hAnsi="Times New Roman" w:eastAsia="宋体" w:cs="Times New Roman"/>
      <w:snapToGrid w:val="0"/>
      <w:sz w:val="24"/>
      <w:szCs w:val="24"/>
      <w:lang w:val="en-GB" w:bidi="ar-SA"/>
    </w:rPr>
  </w:style>
  <w:style w:type="character" w:customStyle="1" w:styleId="132">
    <w:name w:val="textfont"/>
    <w:qFormat/>
    <w:uiPriority w:val="0"/>
    <w:rPr>
      <w:rFonts w:ascii="Times New Roman" w:hAnsi="Times New Roman" w:eastAsia="宋体" w:cs="Times New Roman"/>
    </w:rPr>
  </w:style>
  <w:style w:type="character" w:customStyle="1" w:styleId="133">
    <w:name w:val="称呼 字符1"/>
    <w:qFormat/>
    <w:uiPriority w:val="0"/>
    <w:rPr>
      <w:rFonts w:ascii="Times New Roman" w:hAnsi="Times New Roman" w:eastAsia="宋体" w:cs="Times New Roman"/>
      <w:kern w:val="2"/>
      <w:sz w:val="21"/>
      <w:szCs w:val="24"/>
    </w:rPr>
  </w:style>
  <w:style w:type="character" w:customStyle="1" w:styleId="134">
    <w:name w:val="标题 Char1"/>
    <w:qFormat/>
    <w:uiPriority w:val="0"/>
    <w:rPr>
      <w:rFonts w:ascii="Calibri Light" w:hAnsi="Calibri Light" w:eastAsia="宋体" w:cs="Times New Roman"/>
      <w:b/>
      <w:bCs/>
      <w:kern w:val="2"/>
      <w:sz w:val="32"/>
      <w:szCs w:val="32"/>
    </w:rPr>
  </w:style>
  <w:style w:type="character" w:customStyle="1" w:styleId="135">
    <w:name w:val="unnamed51"/>
    <w:qFormat/>
    <w:uiPriority w:val="0"/>
    <w:rPr>
      <w:rFonts w:ascii="Times New Roman" w:hAnsi="Times New Roman" w:eastAsia="宋体" w:cs="Times New Roman"/>
      <w:sz w:val="22"/>
      <w:szCs w:val="22"/>
    </w:rPr>
  </w:style>
  <w:style w:type="character" w:customStyle="1" w:styleId="136">
    <w:name w:val="title1"/>
    <w:qFormat/>
    <w:uiPriority w:val="0"/>
    <w:rPr>
      <w:rFonts w:hint="eastAsia" w:ascii="宋体" w:hAnsi="宋体" w:eastAsia="宋体" w:cs="Times New Roman"/>
      <w:b/>
      <w:bCs/>
      <w:sz w:val="22"/>
      <w:szCs w:val="22"/>
    </w:rPr>
  </w:style>
  <w:style w:type="character" w:customStyle="1" w:styleId="137">
    <w:name w:val="15"/>
    <w:qFormat/>
    <w:uiPriority w:val="0"/>
    <w:rPr>
      <w:rFonts w:hint="default" w:ascii="Times New Roman" w:hAnsi="Times New Roman" w:eastAsia="宋体" w:cs="Times New Roman"/>
      <w:b/>
      <w:bCs/>
      <w:spacing w:val="-2"/>
      <w:sz w:val="24"/>
      <w:szCs w:val="24"/>
    </w:rPr>
  </w:style>
  <w:style w:type="character" w:customStyle="1" w:styleId="138">
    <w:name w:val="font51"/>
    <w:qFormat/>
    <w:uiPriority w:val="0"/>
    <w:rPr>
      <w:rFonts w:hint="eastAsia" w:ascii="宋体" w:hAnsi="宋体" w:eastAsia="宋体" w:cs="宋体"/>
      <w:color w:val="000000"/>
      <w:sz w:val="22"/>
      <w:szCs w:val="22"/>
      <w:u w:val="none"/>
    </w:rPr>
  </w:style>
  <w:style w:type="character" w:customStyle="1" w:styleId="139">
    <w:name w:val="font01"/>
    <w:qFormat/>
    <w:uiPriority w:val="0"/>
    <w:rPr>
      <w:rFonts w:hint="eastAsia" w:ascii="宋体" w:hAnsi="宋体" w:eastAsia="宋体" w:cs="宋体"/>
      <w:b/>
      <w:color w:val="000000"/>
      <w:sz w:val="28"/>
      <w:szCs w:val="28"/>
      <w:u w:val="none"/>
    </w:rPr>
  </w:style>
  <w:style w:type="character" w:customStyle="1" w:styleId="140">
    <w:name w:val="bt11"/>
    <w:qFormat/>
    <w:uiPriority w:val="0"/>
    <w:rPr>
      <w:rFonts w:ascii="Times New Roman" w:hAnsi="Times New Roman" w:eastAsia="仿宋_GB2312" w:cs="Times New Roman"/>
      <w:b/>
      <w:color w:val="000000"/>
      <w:sz w:val="30"/>
      <w:szCs w:val="20"/>
      <w:u w:val="none"/>
    </w:rPr>
  </w:style>
  <w:style w:type="character" w:customStyle="1" w:styleId="141">
    <w:name w:val="f16b1"/>
    <w:qFormat/>
    <w:uiPriority w:val="0"/>
    <w:rPr>
      <w:rFonts w:ascii="Times New Roman" w:hAnsi="Times New Roman" w:eastAsia="宋体" w:cs="Times New Roman"/>
      <w:b/>
      <w:bCs/>
      <w:color w:val="333333"/>
      <w:sz w:val="22"/>
      <w:szCs w:val="22"/>
    </w:rPr>
  </w:style>
  <w:style w:type="character" w:customStyle="1" w:styleId="142">
    <w:name w:val="纯文本 Char1"/>
    <w:qFormat/>
    <w:uiPriority w:val="0"/>
    <w:rPr>
      <w:rFonts w:ascii="宋体" w:hAnsi="Courier New" w:eastAsia="宋体" w:cs="Times New Roman"/>
      <w:sz w:val="21"/>
      <w:szCs w:val="21"/>
      <w:lang w:val="en-US" w:eastAsia="zh-CN" w:bidi="ar-SA"/>
    </w:rPr>
  </w:style>
  <w:style w:type="character" w:customStyle="1" w:styleId="143">
    <w:name w:val="普通文字 Char"/>
    <w:qFormat/>
    <w:uiPriority w:val="0"/>
    <w:rPr>
      <w:rFonts w:ascii="宋体" w:hAnsi="Courier New" w:eastAsia="宋体" w:cs="Times New Roman"/>
      <w:kern w:val="2"/>
      <w:sz w:val="21"/>
      <w:lang w:bidi="ar-SA"/>
    </w:rPr>
  </w:style>
  <w:style w:type="character" w:customStyle="1" w:styleId="144">
    <w:name w:val="style13"/>
    <w:qFormat/>
    <w:uiPriority w:val="0"/>
    <w:rPr>
      <w:rFonts w:ascii="Times New Roman" w:hAnsi="Times New Roman" w:eastAsia="宋体" w:cs="Times New Roman"/>
    </w:rPr>
  </w:style>
  <w:style w:type="character" w:customStyle="1" w:styleId="145">
    <w:name w:val="font61"/>
    <w:qFormat/>
    <w:uiPriority w:val="0"/>
    <w:rPr>
      <w:rFonts w:hint="eastAsia" w:ascii="宋体" w:hAnsi="宋体" w:eastAsia="宋体" w:cs="宋体"/>
      <w:color w:val="000000"/>
      <w:sz w:val="22"/>
      <w:szCs w:val="22"/>
      <w:u w:val="none"/>
    </w:rPr>
  </w:style>
  <w:style w:type="paragraph" w:customStyle="1" w:styleId="14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47">
    <w:name w:val="Char2"/>
    <w:basedOn w:val="17"/>
    <w:next w:val="1"/>
    <w:qFormat/>
    <w:uiPriority w:val="0"/>
    <w:rPr>
      <w:rFonts w:ascii="宋体" w:hAnsi="宋体"/>
    </w:rPr>
  </w:style>
  <w:style w:type="paragraph" w:customStyle="1" w:styleId="148">
    <w:name w:val="正文2"/>
    <w:basedOn w:val="1"/>
    <w:qFormat/>
    <w:uiPriority w:val="0"/>
    <w:pPr>
      <w:spacing w:before="156" w:line="360" w:lineRule="auto"/>
      <w:ind w:firstLine="510" w:firstLineChars="200"/>
    </w:pPr>
    <w:rPr>
      <w:sz w:val="24"/>
      <w:szCs w:val="20"/>
    </w:rPr>
  </w:style>
  <w:style w:type="paragraph" w:customStyle="1" w:styleId="149">
    <w:name w:val="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150">
    <w:name w:val="1111"/>
    <w:basedOn w:val="1"/>
    <w:qFormat/>
    <w:uiPriority w:val="0"/>
    <w:rPr>
      <w:rFonts w:ascii="Calibri" w:hAnsi="Calibri"/>
      <w:sz w:val="18"/>
    </w:rPr>
  </w:style>
  <w:style w:type="paragraph" w:customStyle="1" w:styleId="151">
    <w:name w:val="Char Char Char1"/>
    <w:basedOn w:val="1"/>
    <w:qFormat/>
    <w:uiPriority w:val="0"/>
    <w:rPr>
      <w:rFonts w:ascii="Tahoma" w:hAnsi="Tahoma"/>
      <w:sz w:val="24"/>
      <w:szCs w:val="20"/>
    </w:rPr>
  </w:style>
  <w:style w:type="paragraph" w:customStyle="1" w:styleId="152">
    <w:name w:val="中等深浅网格 1 - 强调文字颜色 21"/>
    <w:basedOn w:val="1"/>
    <w:qFormat/>
    <w:uiPriority w:val="0"/>
    <w:pPr>
      <w:ind w:firstLine="420" w:firstLineChars="200"/>
    </w:pPr>
    <w:rPr>
      <w:rFonts w:ascii="等线" w:hAnsi="等线" w:eastAsia="等线" w:cs="宋体"/>
      <w:szCs w:val="21"/>
    </w:rPr>
  </w:style>
  <w:style w:type="paragraph" w:customStyle="1" w:styleId="153">
    <w:name w:val="_Style 13"/>
    <w:basedOn w:val="1"/>
    <w:next w:val="92"/>
    <w:qFormat/>
    <w:uiPriority w:val="0"/>
    <w:pPr>
      <w:ind w:firstLine="420"/>
    </w:pPr>
    <w:rPr>
      <w:rFonts w:ascii="Calibri" w:hAnsi="Calibri"/>
      <w:color w:val="000000"/>
      <w:kern w:val="1"/>
    </w:rPr>
  </w:style>
  <w:style w:type="paragraph" w:customStyle="1" w:styleId="154">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5">
    <w:name w:val="xl55"/>
    <w:basedOn w:val="1"/>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6">
    <w:name w:val="table_1stline"/>
    <w:basedOn w:val="1"/>
    <w:qFormat/>
    <w:uiPriority w:val="0"/>
    <w:pPr>
      <w:widowControl/>
      <w:spacing w:before="120"/>
      <w:jc w:val="left"/>
    </w:pPr>
    <w:rPr>
      <w:bCs/>
      <w:sz w:val="20"/>
      <w:szCs w:val="20"/>
      <w:lang w:val="de-DE" w:eastAsia="de-DE"/>
    </w:rPr>
  </w:style>
  <w:style w:type="paragraph" w:customStyle="1" w:styleId="157">
    <w:name w:val="附录项目"/>
    <w:basedOn w:val="9"/>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58">
    <w:name w:val="Proposals body"/>
    <w:basedOn w:val="1"/>
    <w:next w:val="1"/>
    <w:qFormat/>
    <w:uiPriority w:val="0"/>
    <w:pPr>
      <w:widowControl/>
      <w:spacing w:line="360" w:lineRule="auto"/>
      <w:jc w:val="left"/>
    </w:pPr>
    <w:rPr>
      <w:rFonts w:ascii="宋体"/>
      <w:snapToGrid w:val="0"/>
      <w:color w:val="000000"/>
      <w:sz w:val="24"/>
      <w:szCs w:val="20"/>
    </w:rPr>
  </w:style>
  <w:style w:type="paragraph" w:customStyle="1" w:styleId="159">
    <w:name w:val="题注4"/>
    <w:basedOn w:val="1"/>
    <w:next w:val="15"/>
    <w:qFormat/>
    <w:uiPriority w:val="0"/>
    <w:pPr>
      <w:ind w:left="-132" w:leftChars="-64" w:right="-105" w:hanging="2"/>
      <w:jc w:val="center"/>
    </w:pPr>
    <w:rPr>
      <w:rFonts w:ascii="宋体"/>
      <w:b/>
      <w:color w:val="FF0000"/>
      <w:sz w:val="24"/>
      <w:szCs w:val="20"/>
      <w:lang w:val="en-GB"/>
    </w:rPr>
  </w:style>
  <w:style w:type="paragraph" w:customStyle="1" w:styleId="160">
    <w:name w:val="正文，段落，小四，22磅行距"/>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1">
    <w:name w:val="[Normal]"/>
    <w:qFormat/>
    <w:uiPriority w:val="0"/>
    <w:rPr>
      <w:rFonts w:ascii="宋体" w:hAnsi="宋体" w:eastAsia="宋体" w:cs="Times New Roman"/>
      <w:sz w:val="24"/>
      <w:szCs w:val="22"/>
      <w:lang w:val="zh-CN" w:eastAsia="zh-CN" w:bidi="ar-SA"/>
    </w:rPr>
  </w:style>
  <w:style w:type="paragraph" w:customStyle="1" w:styleId="162">
    <w:name w:val="reader-word-layer reader-word-s2-5"/>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63">
    <w:name w:val="正文内容"/>
    <w:basedOn w:val="1"/>
    <w:qFormat/>
    <w:uiPriority w:val="0"/>
    <w:pPr>
      <w:jc w:val="left"/>
    </w:pPr>
    <w:rPr>
      <w:rFonts w:ascii="微软雅黑" w:hAnsi="微软雅黑" w:eastAsia="微软雅黑" w:cs="宋体"/>
      <w:color w:val="0D0D0D"/>
      <w:sz w:val="18"/>
      <w:szCs w:val="18"/>
    </w:rPr>
  </w:style>
  <w:style w:type="paragraph" w:customStyle="1" w:styleId="164">
    <w:name w:val="彩色列表1"/>
    <w:basedOn w:val="1"/>
    <w:qFormat/>
    <w:uiPriority w:val="0"/>
    <w:pPr>
      <w:ind w:firstLine="420" w:firstLineChars="200"/>
    </w:pPr>
    <w:rPr>
      <w:rFonts w:ascii="Calibri" w:hAnsi="Calibri"/>
    </w:rPr>
  </w:style>
  <w:style w:type="paragraph" w:customStyle="1" w:styleId="165">
    <w:name w:val="p0"/>
    <w:basedOn w:val="1"/>
    <w:qFormat/>
    <w:uiPriority w:val="0"/>
    <w:pPr>
      <w:widowControl/>
      <w:spacing w:before="100" w:beforeAutospacing="1" w:after="100" w:afterAutospacing="1"/>
      <w:jc w:val="left"/>
    </w:pPr>
    <w:rPr>
      <w:rFonts w:ascii="宋体" w:hAnsi="宋体" w:cs="宋体"/>
      <w:sz w:val="24"/>
    </w:rPr>
  </w:style>
  <w:style w:type="paragraph" w:customStyle="1" w:styleId="166">
    <w:name w:val="Char Char Char Char Char Char Char Char Char Char Char Char Char"/>
    <w:basedOn w:val="1"/>
    <w:qFormat/>
    <w:uiPriority w:val="0"/>
    <w:rPr>
      <w:rFonts w:ascii="Tahoma" w:hAnsi="Tahoma"/>
      <w:sz w:val="24"/>
      <w:szCs w:val="20"/>
    </w:rPr>
  </w:style>
  <w:style w:type="paragraph" w:customStyle="1" w:styleId="167">
    <w:name w:val="样式1"/>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68">
    <w:name w:val="样式 正文缩进 + 首行缩进:  2 字符"/>
    <w:basedOn w:val="14"/>
    <w:qFormat/>
    <w:uiPriority w:val="0"/>
    <w:pPr>
      <w:adjustRightInd/>
      <w:spacing w:line="360" w:lineRule="auto"/>
      <w:ind w:firstLine="200" w:firstLineChars="200"/>
      <w:textAlignment w:val="auto"/>
    </w:pPr>
    <w:rPr>
      <w:rFonts w:cs="宋体"/>
      <w:kern w:val="2"/>
      <w:sz w:val="24"/>
    </w:rPr>
  </w:style>
  <w:style w:type="paragraph" w:customStyle="1" w:styleId="169">
    <w:name w:val="列出段落1"/>
    <w:basedOn w:val="1"/>
    <w:qFormat/>
    <w:uiPriority w:val="0"/>
    <w:pPr>
      <w:ind w:firstLine="420" w:firstLineChars="200"/>
    </w:pPr>
    <w:rPr>
      <w:rFonts w:ascii="Calibri" w:hAnsi="Calibri"/>
      <w:szCs w:val="20"/>
    </w:rPr>
  </w:style>
  <w:style w:type="paragraph" w:customStyle="1" w:styleId="170">
    <w:name w:val="Char"/>
    <w:basedOn w:val="1"/>
    <w:qFormat/>
    <w:uiPriority w:val="0"/>
    <w:rPr>
      <w:rFonts w:eastAsia="仿宋_GB2312"/>
      <w:sz w:val="28"/>
    </w:rPr>
  </w:style>
  <w:style w:type="paragraph" w:customStyle="1" w:styleId="171">
    <w:name w:val="Char Char Char Char Char Char Char"/>
    <w:basedOn w:val="1"/>
    <w:qFormat/>
    <w:uiPriority w:val="0"/>
    <w:rPr>
      <w:rFonts w:ascii="仿宋_GB2312" w:eastAsia="仿宋_GB2312"/>
      <w:b/>
      <w:sz w:val="32"/>
      <w:szCs w:val="32"/>
    </w:rPr>
  </w:style>
  <w:style w:type="paragraph" w:customStyle="1" w:styleId="1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3">
    <w:name w:val="正文－恩普"/>
    <w:basedOn w:val="14"/>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4">
    <w:name w:val="默认"/>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5">
    <w:name w:val="Char4"/>
    <w:basedOn w:val="1"/>
    <w:qFormat/>
    <w:uiPriority w:val="0"/>
    <w:rPr>
      <w:szCs w:val="20"/>
    </w:rPr>
  </w:style>
  <w:style w:type="paragraph" w:customStyle="1" w:styleId="17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77">
    <w:name w:val="默认段落字体 Para Char"/>
    <w:basedOn w:val="1"/>
    <w:qFormat/>
    <w:uiPriority w:val="0"/>
    <w:rPr>
      <w:rFonts w:ascii="Calibri" w:hAnsi="Calibri"/>
      <w:szCs w:val="20"/>
    </w:rPr>
  </w:style>
  <w:style w:type="paragraph" w:customStyle="1" w:styleId="178">
    <w:name w:val="行间12_5号"/>
    <w:basedOn w:val="1"/>
    <w:qFormat/>
    <w:uiPriority w:val="0"/>
    <w:pPr>
      <w:adjustRightInd w:val="0"/>
      <w:spacing w:line="240" w:lineRule="exact"/>
      <w:jc w:val="center"/>
      <w:textAlignment w:val="baseline"/>
    </w:pPr>
    <w:rPr>
      <w:szCs w:val="20"/>
    </w:rPr>
  </w:style>
  <w:style w:type="paragraph" w:customStyle="1" w:styleId="179">
    <w:name w:val="Char1"/>
    <w:basedOn w:val="1"/>
    <w:qFormat/>
    <w:uiPriority w:val="0"/>
    <w:rPr>
      <w:rFonts w:ascii="仿宋_GB2312" w:eastAsia="仿宋_GB2312"/>
      <w:b/>
      <w:sz w:val="32"/>
      <w:szCs w:val="32"/>
    </w:rPr>
  </w:style>
  <w:style w:type="paragraph" w:customStyle="1" w:styleId="180">
    <w:name w:val="Char3"/>
    <w:basedOn w:val="17"/>
    <w:qFormat/>
    <w:uiPriority w:val="0"/>
  </w:style>
  <w:style w:type="paragraph" w:customStyle="1" w:styleId="181">
    <w:name w:val="reader-word-layer reader-word-s3-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8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 Char Char Char Char"/>
    <w:basedOn w:val="1"/>
    <w:qFormat/>
    <w:uiPriority w:val="0"/>
    <w:rPr>
      <w:rFonts w:ascii="Tahoma" w:hAnsi="Tahoma"/>
      <w:sz w:val="24"/>
      <w:szCs w:val="20"/>
    </w:rPr>
  </w:style>
  <w:style w:type="paragraph" w:customStyle="1" w:styleId="184">
    <w:name w:val="表内文字"/>
    <w:basedOn w:val="1"/>
    <w:qFormat/>
    <w:uiPriority w:val="0"/>
    <w:pPr>
      <w:spacing w:line="240" w:lineRule="atLeast"/>
      <w:jc w:val="center"/>
    </w:pPr>
    <w:rPr>
      <w:rFonts w:ascii="Arial" w:hAnsi="Arial" w:cs="Arial"/>
      <w:b/>
      <w:bCs/>
    </w:rPr>
  </w:style>
  <w:style w:type="paragraph" w:customStyle="1" w:styleId="185">
    <w:name w:val="Char Char"/>
    <w:basedOn w:val="1"/>
    <w:qFormat/>
    <w:uiPriority w:val="0"/>
    <w:rPr>
      <w:rFonts w:ascii="仿宋_GB2312" w:eastAsia="仿宋_GB2312"/>
      <w:b/>
      <w:sz w:val="32"/>
      <w:szCs w:val="32"/>
    </w:rPr>
  </w:style>
  <w:style w:type="paragraph" w:customStyle="1" w:styleId="186">
    <w:name w:val="缩进"/>
    <w:basedOn w:val="1"/>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87">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 Char Char Char Char Char1"/>
    <w:basedOn w:val="1"/>
    <w:qFormat/>
    <w:uiPriority w:val="0"/>
    <w:pPr>
      <w:ind w:firstLine="200" w:firstLineChars="200"/>
    </w:pPr>
    <w:rPr>
      <w:rFonts w:ascii="Tahoma" w:hAnsi="Tahoma" w:cs="Tahoma"/>
      <w:sz w:val="24"/>
    </w:rPr>
  </w:style>
  <w:style w:type="paragraph" w:customStyle="1" w:styleId="189">
    <w:name w:val="reader-word-layer reader-word-s2-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90">
    <w:name w:val="默认段落字体 Para Char Char Char Char Char Char Char"/>
    <w:basedOn w:val="1"/>
    <w:qFormat/>
    <w:uiPriority w:val="0"/>
    <w:rPr>
      <w:rFonts w:ascii="Tahoma" w:hAnsi="Tahoma"/>
      <w:sz w:val="24"/>
      <w:szCs w:val="20"/>
    </w:rPr>
  </w:style>
  <w:style w:type="paragraph" w:customStyle="1" w:styleId="191">
    <w:name w:val="Char Char2 Char"/>
    <w:basedOn w:val="1"/>
    <w:qFormat/>
    <w:uiPriority w:val="0"/>
    <w:pPr>
      <w:keepNext/>
      <w:keepLines/>
      <w:pageBreakBefore/>
      <w:tabs>
        <w:tab w:val="left" w:pos="845"/>
      </w:tabs>
      <w:ind w:left="845" w:hanging="420"/>
    </w:pPr>
    <w:rPr>
      <w:szCs w:val="20"/>
    </w:rPr>
  </w:style>
  <w:style w:type="paragraph" w:customStyle="1" w:styleId="192">
    <w:name w:val="Pa5"/>
    <w:basedOn w:val="1"/>
    <w:next w:val="1"/>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3">
    <w:name w:val="Char Char Char Char Char Char Char Char Char1 Char"/>
    <w:basedOn w:val="1"/>
    <w:qFormat/>
    <w:uiPriority w:val="0"/>
    <w:pPr>
      <w:widowControl/>
      <w:jc w:val="left"/>
    </w:pPr>
    <w:rPr>
      <w:rFonts w:ascii="仿宋_GB2312" w:hAnsi="Calibri" w:eastAsia="仿宋_GB2312"/>
      <w:b/>
      <w:sz w:val="32"/>
      <w:szCs w:val="32"/>
    </w:rPr>
  </w:style>
  <w:style w:type="paragraph" w:customStyle="1" w:styleId="194">
    <w:name w:val="纯文本 New New"/>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5">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6">
    <w:name w:val="Char Char Char Char Char Char Char1"/>
    <w:basedOn w:val="1"/>
    <w:qFormat/>
    <w:uiPriority w:val="0"/>
    <w:pPr>
      <w:spacing w:line="360" w:lineRule="auto"/>
      <w:ind w:firstLine="200" w:firstLineChars="200"/>
    </w:pPr>
    <w:rPr>
      <w:rFonts w:ascii="宋体" w:hAnsi="宋体" w:cs="宋体"/>
      <w:sz w:val="24"/>
    </w:rPr>
  </w:style>
  <w:style w:type="paragraph" w:customStyle="1" w:styleId="197">
    <w:name w:val="默认段落字体 Para Char Char Char Char"/>
    <w:basedOn w:val="1"/>
    <w:qFormat/>
    <w:uiPriority w:val="0"/>
    <w:rPr>
      <w:sz w:val="32"/>
      <w:szCs w:val="32"/>
    </w:rPr>
  </w:style>
  <w:style w:type="paragraph" w:customStyle="1" w:styleId="198">
    <w:name w:val="保留正文"/>
    <w:basedOn w:val="3"/>
    <w:qFormat/>
    <w:uiPriority w:val="0"/>
    <w:pPr>
      <w:keepNext/>
      <w:spacing w:after="160"/>
    </w:pPr>
    <w:rPr>
      <w:szCs w:val="20"/>
    </w:rPr>
  </w:style>
  <w:style w:type="character" w:customStyle="1" w:styleId="199">
    <w:name w:val="正文文本 字符"/>
    <w:qFormat/>
    <w:uiPriority w:val="99"/>
    <w:rPr>
      <w:rFonts w:ascii="Times New Roman" w:hAnsi="Times New Roman" w:eastAsia="宋体" w:cs="Times New Roman"/>
      <w:kern w:val="2"/>
      <w:sz w:val="21"/>
      <w:szCs w:val="24"/>
    </w:rPr>
  </w:style>
  <w:style w:type="character" w:customStyle="1" w:styleId="200">
    <w:name w:val="日期 字符"/>
    <w:qFormat/>
    <w:uiPriority w:val="0"/>
    <w:rPr>
      <w:rFonts w:ascii="Times New Roman" w:hAnsi="Times New Roman" w:eastAsia="宋体" w:cs="Times New Roman"/>
      <w:color w:val="000000"/>
      <w:kern w:val="1"/>
      <w:sz w:val="30"/>
    </w:rPr>
  </w:style>
  <w:style w:type="character" w:customStyle="1" w:styleId="201">
    <w:name w:val="批注文字 字符"/>
    <w:qFormat/>
    <w:uiPriority w:val="0"/>
    <w:rPr>
      <w:rFonts w:ascii="Times New Roman" w:hAnsi="Times New Roman" w:eastAsia="宋体" w:cs="Times New Roman"/>
      <w:kern w:val="2"/>
      <w:sz w:val="21"/>
      <w:szCs w:val="24"/>
    </w:rPr>
  </w:style>
  <w:style w:type="character" w:customStyle="1" w:styleId="202">
    <w:name w:val="NormalCharacter"/>
    <w:qFormat/>
    <w:uiPriority w:val="0"/>
    <w:rPr>
      <w:rFonts w:ascii="Times New Roman" w:hAnsi="Times New Roman" w:eastAsia="宋体" w:cs="Times New Roman"/>
    </w:rPr>
  </w:style>
  <w:style w:type="paragraph" w:customStyle="1" w:styleId="203">
    <w:name w:val="列出段落3"/>
    <w:basedOn w:val="1"/>
    <w:qFormat/>
    <w:uiPriority w:val="0"/>
    <w:pPr>
      <w:ind w:firstLine="420" w:firstLineChars="200"/>
    </w:pPr>
    <w:rPr>
      <w:rFonts w:ascii="Arial" w:hAnsi="Arial" w:cs="Arial"/>
      <w:kern w:val="2"/>
    </w:rPr>
  </w:style>
  <w:style w:type="paragraph" w:customStyle="1" w:styleId="20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5">
    <w:name w:val="修订1"/>
    <w:qFormat/>
    <w:uiPriority w:val="0"/>
    <w:rPr>
      <w:rFonts w:ascii="Times New Roman" w:hAnsi="Times New Roman" w:eastAsia="宋体" w:cs="Times New Roman"/>
      <w:sz w:val="21"/>
      <w:szCs w:val="24"/>
      <w:lang w:val="en-US" w:eastAsia="zh-CN" w:bidi="ar-SA"/>
    </w:rPr>
  </w:style>
  <w:style w:type="character" w:customStyle="1" w:styleId="206">
    <w:name w:val="标题 4 字符1"/>
    <w:qFormat/>
    <w:uiPriority w:val="0"/>
    <w:rPr>
      <w:rFonts w:ascii="Calibri" w:hAnsi="Calibri" w:eastAsia="Tahoma"/>
      <w:b/>
      <w:sz w:val="24"/>
      <w:lang w:val="zh-CN"/>
    </w:rPr>
  </w:style>
  <w:style w:type="paragraph" w:styleId="207">
    <w:name w:val="List Paragraph"/>
    <w:basedOn w:val="1"/>
    <w:qFormat/>
    <w:uiPriority w:val="0"/>
    <w:pPr>
      <w:ind w:firstLine="420" w:firstLineChars="200"/>
    </w:pPr>
  </w:style>
  <w:style w:type="paragraph" w:customStyle="1" w:styleId="208">
    <w:name w:val="修订2"/>
    <w:hidden/>
    <w:semiHidden/>
    <w:qFormat/>
    <w:uiPriority w:val="99"/>
    <w:rPr>
      <w:rFonts w:ascii="Times New Roman" w:hAnsi="Times New Roman" w:eastAsia="宋体" w:cs="Times New Roman"/>
      <w:sz w:val="21"/>
      <w:szCs w:val="24"/>
      <w:lang w:val="en-US" w:eastAsia="zh-CN" w:bidi="ar-SA"/>
    </w:rPr>
  </w:style>
  <w:style w:type="paragraph" w:customStyle="1" w:styleId="209">
    <w:name w:val="修订3"/>
    <w:hidden/>
    <w:semiHidden/>
    <w:qFormat/>
    <w:uiPriority w:val="99"/>
    <w:rPr>
      <w:rFonts w:ascii="Times New Roman" w:hAnsi="Times New Roman" w:eastAsia="宋体" w:cs="Times New Roman"/>
      <w:sz w:val="21"/>
      <w:szCs w:val="24"/>
      <w:lang w:val="en-US" w:eastAsia="zh-CN" w:bidi="ar-SA"/>
    </w:rPr>
  </w:style>
  <w:style w:type="character" w:customStyle="1" w:styleId="210">
    <w:name w:val="Unresolved Mention"/>
    <w:basedOn w:val="38"/>
    <w:semiHidden/>
    <w:unhideWhenUsed/>
    <w:qFormat/>
    <w:uiPriority w:val="99"/>
    <w:rPr>
      <w:color w:val="605E5C"/>
      <w:shd w:val="clear" w:color="auto" w:fill="E1DFDD"/>
    </w:rPr>
  </w:style>
  <w:style w:type="character" w:customStyle="1" w:styleId="211">
    <w:name w:val="font71"/>
    <w:basedOn w:val="38"/>
    <w:qFormat/>
    <w:uiPriority w:val="0"/>
    <w:rPr>
      <w:rFonts w:hint="default" w:ascii="华文仿宋" w:hAnsi="华文仿宋" w:eastAsia="华文仿宋" w:cs="华文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2746-7273-40AC-9D17-9387D57E795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38115</Words>
  <Characters>41822</Characters>
  <Lines>273</Lines>
  <Paragraphs>77</Paragraphs>
  <TotalTime>0</TotalTime>
  <ScaleCrop>false</ScaleCrop>
  <LinksUpToDate>false</LinksUpToDate>
  <CharactersWithSpaces>44213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2023-04-19T00:59:00Z</dcterms:created>
  <dc:creator>hp</dc:creator>
  <cp:lastModifiedBy>liuhuicong</cp:lastModifiedBy>
  <cp:lastPrinted>2023-06-07T00:04:00Z</cp:lastPrinted>
  <dcterms:modified xsi:type="dcterms:W3CDTF">2023-06-19T01:05:28Z</dcterms:modified>
  <dc:title>温州市政府（分散）采购</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805E8ECCEC054F5A984A047DE9802CA1_13</vt:lpwstr>
  </property>
  <property fmtid="{D5CDD505-2E9C-101B-9397-08002B2CF9AE}" pid="4" name="commondata">
    <vt:lpwstr>eyJoZGlkIjoiOWM2Y2JhMGEwNDg2YWY5ZDY5NjJlZDgyM2VkMjhhNTMifQ==</vt:lpwstr>
  </property>
</Properties>
</file>