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pPr>
        <w:jc w:val="center"/>
        <w:rPr>
          <w:rFonts w:ascii="宋体" w:hAnsi="宋体" w:cs="宋体"/>
          <w:b/>
          <w:bCs/>
          <w:color w:val="auto"/>
          <w:spacing w:val="26"/>
          <w:sz w:val="52"/>
        </w:rPr>
      </w:pPr>
    </w:p>
    <w:p>
      <w:pPr>
        <w:jc w:val="center"/>
        <w:rPr>
          <w:rFonts w:ascii="宋体" w:hAnsi="宋体" w:cs="宋体"/>
          <w:b/>
          <w:bCs/>
          <w:color w:val="auto"/>
          <w:spacing w:val="26"/>
          <w:sz w:val="52"/>
        </w:rPr>
      </w:pPr>
    </w:p>
    <w:p>
      <w:pPr>
        <w:ind w:firstLine="2357" w:firstLineChars="235"/>
        <w:rPr>
          <w:rFonts w:ascii="宋体" w:hAnsi="宋体" w:cs="宋体"/>
          <w:b/>
          <w:bCs/>
          <w:color w:val="auto"/>
          <w:spacing w:val="140"/>
          <w:sz w:val="72"/>
        </w:rPr>
      </w:pPr>
    </w:p>
    <w:p>
      <w:pPr>
        <w:spacing w:line="360" w:lineRule="exact"/>
        <w:jc w:val="center"/>
        <w:rPr>
          <w:rFonts w:ascii="宋体" w:hAnsi="宋体" w:cs="宋体"/>
          <w:b/>
          <w:bCs/>
          <w:color w:val="auto"/>
          <w:spacing w:val="140"/>
          <w:sz w:val="72"/>
        </w:rPr>
      </w:pPr>
    </w:p>
    <w:p>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pPr>
        <w:pStyle w:val="17"/>
        <w:jc w:val="center"/>
        <w:rPr>
          <w:color w:val="auto"/>
        </w:rPr>
      </w:pPr>
      <w:r>
        <w:rPr>
          <w:rFonts w:hint="eastAsia" w:ascii="宋体" w:hAnsi="宋体" w:cs="宋体"/>
          <w:b/>
          <w:bCs/>
          <w:color w:val="auto"/>
          <w:spacing w:val="140"/>
          <w:sz w:val="84"/>
          <w:szCs w:val="84"/>
        </w:rPr>
        <w:t>（电子投标）</w:t>
      </w: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rPr>
          <w:rFonts w:ascii="宋体" w:hAnsi="宋体" w:cs="宋体"/>
          <w:b/>
          <w:bCs/>
          <w:color w:val="auto"/>
          <w:sz w:val="24"/>
        </w:rPr>
      </w:pPr>
    </w:p>
    <w:p>
      <w:pPr>
        <w:rPr>
          <w:rFonts w:ascii="宋体" w:hAnsi="宋体" w:cs="宋体"/>
          <w:b/>
          <w:bCs/>
          <w:color w:val="auto"/>
          <w:sz w:val="24"/>
        </w:rPr>
      </w:pPr>
    </w:p>
    <w:p>
      <w:pPr>
        <w:spacing w:line="600" w:lineRule="exact"/>
        <w:ind w:left="1260" w:leftChars="600"/>
        <w:rPr>
          <w:rFonts w:ascii="宋体" w:hAnsi="宋体"/>
          <w:color w:val="auto"/>
          <w:spacing w:val="30"/>
          <w:sz w:val="30"/>
        </w:rPr>
      </w:pPr>
      <w:r>
        <w:rPr>
          <w:rFonts w:hint="eastAsia" w:ascii="宋体" w:hAnsi="宋体"/>
          <w:color w:val="auto"/>
          <w:spacing w:val="30"/>
          <w:sz w:val="30"/>
        </w:rPr>
        <w:t>项 目 编 号：</w:t>
      </w:r>
      <w:r>
        <w:rPr>
          <w:rFonts w:hint="eastAsia" w:ascii="宋体" w:hAnsi="宋体"/>
          <w:color w:val="auto"/>
          <w:sz w:val="30"/>
        </w:rPr>
        <w:t>WZZF2023(ZC)-06-148（GK）</w:t>
      </w:r>
    </w:p>
    <w:p>
      <w:pPr>
        <w:spacing w:line="600" w:lineRule="exact"/>
        <w:ind w:left="1260" w:leftChars="600"/>
        <w:rPr>
          <w:rFonts w:hint="eastAsia" w:ascii="宋体" w:hAnsi="宋体" w:eastAsia="宋体"/>
          <w:color w:val="auto"/>
          <w:sz w:val="30"/>
          <w:lang w:eastAsia="zh-CN"/>
        </w:rPr>
      </w:pPr>
      <w:r>
        <w:rPr>
          <w:rFonts w:hint="eastAsia" w:ascii="宋体" w:hAnsi="宋体"/>
          <w:color w:val="auto"/>
          <w:spacing w:val="30"/>
          <w:sz w:val="30"/>
        </w:rPr>
        <w:t>项 目 名 称：</w:t>
      </w:r>
      <w:r>
        <w:rPr>
          <w:rFonts w:hint="eastAsia" w:ascii="宋体" w:hAnsi="宋体"/>
          <w:color w:val="auto"/>
          <w:sz w:val="30"/>
          <w:lang w:eastAsia="zh-CN"/>
        </w:rPr>
        <w:t>工业产品生产实训室</w:t>
      </w:r>
    </w:p>
    <w:p>
      <w:pPr>
        <w:spacing w:line="600" w:lineRule="exact"/>
        <w:ind w:left="1260" w:leftChars="6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pPr>
        <w:spacing w:line="600" w:lineRule="exact"/>
        <w:ind w:firstLine="1140" w:firstLineChars="300"/>
        <w:rPr>
          <w:rFonts w:ascii="宋体" w:hAnsi="宋体" w:cs="宋体"/>
          <w:color w:val="auto"/>
          <w:spacing w:val="40"/>
          <w:sz w:val="30"/>
          <w:szCs w:val="30"/>
        </w:rPr>
      </w:pPr>
    </w:p>
    <w:p>
      <w:pPr>
        <w:spacing w:line="600" w:lineRule="exact"/>
        <w:ind w:firstLine="1140" w:firstLineChars="300"/>
        <w:rPr>
          <w:rFonts w:ascii="宋体" w:hAnsi="宋体" w:cs="宋体"/>
          <w:color w:val="auto"/>
          <w:spacing w:val="40"/>
          <w:sz w:val="30"/>
          <w:szCs w:val="30"/>
        </w:rPr>
      </w:pPr>
    </w:p>
    <w:p>
      <w:pPr>
        <w:rPr>
          <w:color w:val="auto"/>
        </w:rPr>
      </w:pPr>
    </w:p>
    <w:p>
      <w:pPr>
        <w:pStyle w:val="17"/>
        <w:rPr>
          <w:color w:val="auto"/>
        </w:rPr>
      </w:pPr>
    </w:p>
    <w:p>
      <w:pPr>
        <w:pStyle w:val="88"/>
        <w:rPr>
          <w:color w:val="auto"/>
        </w:rPr>
      </w:pPr>
    </w:p>
    <w:p>
      <w:pPr>
        <w:rPr>
          <w:color w:val="auto"/>
        </w:rPr>
      </w:pPr>
    </w:p>
    <w:p>
      <w:pPr>
        <w:pStyle w:val="51"/>
        <w:ind w:firstLine="560"/>
        <w:rPr>
          <w:rFonts w:ascii="Times New Roman" w:eastAsia="宋体"/>
          <w:color w:val="auto"/>
        </w:rPr>
      </w:pPr>
    </w:p>
    <w:p>
      <w:pPr>
        <w:pStyle w:val="88"/>
        <w:rPr>
          <w:color w:val="auto"/>
        </w:rPr>
      </w:pPr>
    </w:p>
    <w:p>
      <w:pPr>
        <w:spacing w:line="600" w:lineRule="exact"/>
        <w:jc w:val="center"/>
        <w:rPr>
          <w:rFonts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二〇二三年五月</w:t>
      </w:r>
    </w:p>
    <w:p>
      <w:pPr>
        <w:pStyle w:val="3"/>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pPr>
        <w:pStyle w:val="3"/>
        <w:spacing w:line="600" w:lineRule="exact"/>
        <w:jc w:val="center"/>
        <w:rPr>
          <w:rFonts w:ascii="黑体" w:hAnsi="黑体" w:eastAsia="黑体"/>
          <w:bCs/>
          <w:color w:val="auto"/>
          <w:sz w:val="36"/>
          <w:szCs w:val="36"/>
        </w:rPr>
      </w:pPr>
      <w:bookmarkStart w:id="1" w:name="_Toc19466"/>
      <w:r>
        <w:rPr>
          <w:rFonts w:hint="eastAsia" w:ascii="黑体" w:hAnsi="黑体" w:eastAsia="黑体"/>
          <w:bCs/>
          <w:color w:val="auto"/>
          <w:sz w:val="36"/>
          <w:szCs w:val="36"/>
        </w:rPr>
        <w:t>目    录</w:t>
      </w:r>
      <w:bookmarkEnd w:id="0"/>
      <w:bookmarkEnd w:id="1"/>
    </w:p>
    <w:p>
      <w:pPr>
        <w:jc w:val="right"/>
        <w:rPr>
          <w:rFonts w:ascii="宋体" w:hAnsi="宋体" w:cs="宋体"/>
          <w:color w:val="auto"/>
        </w:rPr>
      </w:pPr>
    </w:p>
    <w:p>
      <w:pPr>
        <w:pStyle w:val="29"/>
        <w:tabs>
          <w:tab w:val="right" w:leader="dot" w:pos="9638"/>
          <w:tab w:val="clear" w:pos="9628"/>
        </w:tabs>
        <w:spacing w:before="120" w:after="120"/>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color w:val="auto"/>
        </w:rPr>
        <w:fldChar w:fldCharType="begin"/>
      </w:r>
      <w:r>
        <w:rPr>
          <w:color w:val="auto"/>
        </w:rPr>
        <w:instrText xml:space="preserve"> HYPERLINK \l "_Toc19466" </w:instrText>
      </w:r>
      <w:r>
        <w:rPr>
          <w:color w:val="auto"/>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_Toc19466 \h </w:instrText>
      </w:r>
      <w:r>
        <w:rPr>
          <w:color w:val="auto"/>
        </w:rPr>
        <w:fldChar w:fldCharType="separate"/>
      </w:r>
      <w:r>
        <w:rPr>
          <w:color w:val="auto"/>
        </w:rPr>
        <w:t>1</w:t>
      </w:r>
      <w:r>
        <w:rPr>
          <w:color w:val="auto"/>
        </w:rPr>
        <w:fldChar w:fldCharType="end"/>
      </w:r>
      <w:r>
        <w:rPr>
          <w:color w:val="auto"/>
        </w:rPr>
        <w:fldChar w:fldCharType="end"/>
      </w:r>
    </w:p>
    <w:p>
      <w:pPr>
        <w:pStyle w:val="29"/>
        <w:tabs>
          <w:tab w:val="right" w:leader="dot" w:pos="9638"/>
          <w:tab w:val="clear" w:pos="9628"/>
        </w:tabs>
        <w:spacing w:before="120" w:after="120"/>
        <w:rPr>
          <w:color w:val="auto"/>
        </w:rPr>
      </w:pPr>
      <w:r>
        <w:rPr>
          <w:color w:val="auto"/>
        </w:rPr>
        <w:fldChar w:fldCharType="begin"/>
      </w:r>
      <w:r>
        <w:rPr>
          <w:color w:val="auto"/>
        </w:rPr>
        <w:instrText xml:space="preserve"> HYPERLINK \l "_Toc229" </w:instrText>
      </w:r>
      <w:r>
        <w:rPr>
          <w:color w:val="auto"/>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_Toc229 \h </w:instrText>
      </w:r>
      <w:r>
        <w:rPr>
          <w:color w:val="auto"/>
        </w:rPr>
        <w:fldChar w:fldCharType="separate"/>
      </w:r>
      <w:r>
        <w:rPr>
          <w:color w:val="auto"/>
        </w:rPr>
        <w:t>2</w:t>
      </w:r>
      <w:r>
        <w:rPr>
          <w:color w:val="auto"/>
        </w:rPr>
        <w:fldChar w:fldCharType="end"/>
      </w:r>
      <w:r>
        <w:rPr>
          <w:color w:val="auto"/>
        </w:rPr>
        <w:fldChar w:fldCharType="end"/>
      </w:r>
    </w:p>
    <w:p>
      <w:pPr>
        <w:pStyle w:val="29"/>
        <w:tabs>
          <w:tab w:val="right" w:leader="dot" w:pos="9638"/>
          <w:tab w:val="clear" w:pos="9628"/>
        </w:tabs>
        <w:spacing w:before="120" w:after="120"/>
        <w:rPr>
          <w:color w:val="auto"/>
        </w:rPr>
      </w:pPr>
      <w:r>
        <w:rPr>
          <w:color w:val="auto"/>
        </w:rPr>
        <w:fldChar w:fldCharType="begin"/>
      </w:r>
      <w:r>
        <w:rPr>
          <w:color w:val="auto"/>
        </w:rPr>
        <w:instrText xml:space="preserve"> HYPERLINK \l "_Toc27965" </w:instrText>
      </w:r>
      <w:r>
        <w:rPr>
          <w:color w:val="auto"/>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_Toc27965 \h </w:instrText>
      </w:r>
      <w:r>
        <w:rPr>
          <w:color w:val="auto"/>
        </w:rPr>
        <w:fldChar w:fldCharType="separate"/>
      </w:r>
      <w:r>
        <w:rPr>
          <w:color w:val="auto"/>
        </w:rPr>
        <w:t>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"_Toc12781" </w:instrText>
      </w:r>
      <w:r>
        <w:rPr>
          <w:color w:val="auto"/>
        </w:rPr>
        <w:fldChar w:fldCharType="separate"/>
      </w:r>
      <w:r>
        <w:rPr>
          <w:rFonts w:hint="eastAsia" w:ascii="宋体" w:hAnsi="宋体" w:cs="宋体"/>
          <w:color w:val="auto"/>
          <w:szCs w:val="28"/>
        </w:rPr>
        <w:t>投标人须知前附表</w:t>
      </w:r>
      <w:r>
        <w:rPr>
          <w:color w:val="auto"/>
        </w:rPr>
        <w:tab/>
      </w:r>
      <w:r>
        <w:rPr>
          <w:color w:val="auto"/>
        </w:rPr>
        <w:fldChar w:fldCharType="begin"/>
      </w:r>
      <w:r>
        <w:rPr>
          <w:color w:val="auto"/>
        </w:rPr>
        <w:instrText xml:space="preserve"> PAGEREF _Toc12781 \h </w:instrText>
      </w:r>
      <w:r>
        <w:rPr>
          <w:color w:val="auto"/>
        </w:rPr>
        <w:fldChar w:fldCharType="separate"/>
      </w:r>
      <w:r>
        <w:rPr>
          <w:color w:val="auto"/>
        </w:rPr>
        <w:t>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"_Toc1893" </w:instrText>
      </w:r>
      <w:r>
        <w:rPr>
          <w:color w:val="auto"/>
        </w:rPr>
        <w:fldChar w:fldCharType="separate"/>
      </w:r>
      <w:r>
        <w:rPr>
          <w:rFonts w:hint="eastAsia" w:ascii="宋体" w:hAnsi="宋体" w:cs="宋体"/>
          <w:color w:val="auto"/>
          <w:szCs w:val="28"/>
        </w:rPr>
        <w:t>一、 说   明</w:t>
      </w:r>
      <w:r>
        <w:rPr>
          <w:color w:val="auto"/>
        </w:rPr>
        <w:tab/>
      </w:r>
      <w:r>
        <w:rPr>
          <w:color w:val="auto"/>
        </w:rPr>
        <w:fldChar w:fldCharType="begin"/>
      </w:r>
      <w:r>
        <w:rPr>
          <w:color w:val="auto"/>
        </w:rPr>
        <w:instrText xml:space="preserve"> PAGEREF _Toc1893 \h </w:instrText>
      </w:r>
      <w:r>
        <w:rPr>
          <w:color w:val="auto"/>
        </w:rPr>
        <w:fldChar w:fldCharType="separate"/>
      </w:r>
      <w:r>
        <w:rPr>
          <w:color w:val="auto"/>
        </w:rPr>
        <w:t>9</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"_Toc6743" </w:instrText>
      </w:r>
      <w:r>
        <w:rPr>
          <w:color w:val="auto"/>
        </w:rPr>
        <w:fldChar w:fldCharType="separate"/>
      </w:r>
      <w:r>
        <w:rPr>
          <w:rFonts w:hint="eastAsia" w:ascii="宋体" w:hAnsi="宋体" w:cs="宋体"/>
          <w:color w:val="auto"/>
          <w:szCs w:val="28"/>
        </w:rPr>
        <w:t>二、 招标文件</w:t>
      </w:r>
      <w:r>
        <w:rPr>
          <w:color w:val="auto"/>
        </w:rPr>
        <w:tab/>
      </w:r>
      <w:r>
        <w:rPr>
          <w:color w:val="auto"/>
        </w:rPr>
        <w:fldChar w:fldCharType="begin"/>
      </w:r>
      <w:r>
        <w:rPr>
          <w:color w:val="auto"/>
        </w:rPr>
        <w:instrText xml:space="preserve"> PAGEREF _Toc6743 \h </w:instrText>
      </w:r>
      <w:r>
        <w:rPr>
          <w:color w:val="auto"/>
        </w:rPr>
        <w:fldChar w:fldCharType="separate"/>
      </w:r>
      <w:r>
        <w:rPr>
          <w:color w:val="auto"/>
        </w:rPr>
        <w:t>13</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"_Toc28062" </w:instrText>
      </w:r>
      <w:r>
        <w:rPr>
          <w:color w:val="auto"/>
        </w:rPr>
        <w:fldChar w:fldCharType="separate"/>
      </w:r>
      <w:r>
        <w:rPr>
          <w:rFonts w:hint="eastAsia" w:ascii="宋体" w:hAnsi="宋体" w:cs="宋体"/>
          <w:color w:val="auto"/>
          <w:szCs w:val="28"/>
        </w:rPr>
        <w:t>三、 投标文件的编制</w:t>
      </w:r>
      <w:r>
        <w:rPr>
          <w:color w:val="auto"/>
        </w:rPr>
        <w:tab/>
      </w:r>
      <w:r>
        <w:rPr>
          <w:color w:val="auto"/>
        </w:rPr>
        <w:fldChar w:fldCharType="begin"/>
      </w:r>
      <w:r>
        <w:rPr>
          <w:color w:val="auto"/>
        </w:rPr>
        <w:instrText xml:space="preserve"> PAGEREF _Toc28062 \h </w:instrText>
      </w:r>
      <w:r>
        <w:rPr>
          <w:color w:val="auto"/>
        </w:rPr>
        <w:fldChar w:fldCharType="separate"/>
      </w:r>
      <w:r>
        <w:rPr>
          <w:color w:val="auto"/>
        </w:rPr>
        <w:t>13</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"_Toc15587" </w:instrText>
      </w:r>
      <w:r>
        <w:rPr>
          <w:color w:val="auto"/>
        </w:rPr>
        <w:fldChar w:fldCharType="separate"/>
      </w:r>
      <w:r>
        <w:rPr>
          <w:rFonts w:hint="eastAsia" w:ascii="宋体" w:hAnsi="宋体" w:cs="宋体"/>
          <w:color w:val="auto"/>
          <w:szCs w:val="28"/>
        </w:rPr>
        <w:t>四、 投标文件的递交</w:t>
      </w:r>
      <w:r>
        <w:rPr>
          <w:color w:val="auto"/>
        </w:rPr>
        <w:tab/>
      </w:r>
      <w:r>
        <w:rPr>
          <w:color w:val="auto"/>
        </w:rPr>
        <w:fldChar w:fldCharType="begin"/>
      </w:r>
      <w:r>
        <w:rPr>
          <w:color w:val="auto"/>
        </w:rPr>
        <w:instrText xml:space="preserve"> PAGEREF _Toc15587 \h </w:instrText>
      </w:r>
      <w:r>
        <w:rPr>
          <w:color w:val="auto"/>
        </w:rPr>
        <w:fldChar w:fldCharType="separate"/>
      </w:r>
      <w:r>
        <w:rPr>
          <w:color w:val="auto"/>
        </w:rPr>
        <w:t>16</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"_Toc27511" </w:instrText>
      </w:r>
      <w:r>
        <w:rPr>
          <w:color w:val="auto"/>
        </w:rPr>
        <w:fldChar w:fldCharType="separate"/>
      </w:r>
      <w:r>
        <w:rPr>
          <w:rFonts w:hint="eastAsia" w:ascii="宋体" w:hAnsi="宋体" w:cs="宋体"/>
          <w:color w:val="auto"/>
          <w:szCs w:val="28"/>
        </w:rPr>
        <w:t>五、 开标和评标</w:t>
      </w:r>
      <w:r>
        <w:rPr>
          <w:color w:val="auto"/>
        </w:rPr>
        <w:tab/>
      </w:r>
      <w:r>
        <w:rPr>
          <w:color w:val="auto"/>
        </w:rPr>
        <w:fldChar w:fldCharType="begin"/>
      </w:r>
      <w:r>
        <w:rPr>
          <w:color w:val="auto"/>
        </w:rPr>
        <w:instrText xml:space="preserve"> PAGEREF _Toc27511 \h </w:instrText>
      </w:r>
      <w:r>
        <w:rPr>
          <w:color w:val="auto"/>
        </w:rPr>
        <w:fldChar w:fldCharType="separate"/>
      </w:r>
      <w:r>
        <w:rPr>
          <w:color w:val="auto"/>
        </w:rPr>
        <w:t>16</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"_Toc25477" </w:instrText>
      </w:r>
      <w:r>
        <w:rPr>
          <w:color w:val="auto"/>
        </w:rPr>
        <w:fldChar w:fldCharType="separate"/>
      </w:r>
      <w:r>
        <w:rPr>
          <w:rFonts w:hint="eastAsia" w:ascii="宋体" w:hAnsi="宋体" w:cs="宋体"/>
          <w:color w:val="auto"/>
          <w:szCs w:val="28"/>
        </w:rPr>
        <w:t>六、 中标和合同</w:t>
      </w:r>
      <w:r>
        <w:rPr>
          <w:color w:val="auto"/>
        </w:rPr>
        <w:tab/>
      </w:r>
      <w:r>
        <w:rPr>
          <w:color w:val="auto"/>
        </w:rPr>
        <w:fldChar w:fldCharType="begin"/>
      </w:r>
      <w:r>
        <w:rPr>
          <w:color w:val="auto"/>
        </w:rPr>
        <w:instrText xml:space="preserve"> PAGEREF _Toc25477 \h </w:instrText>
      </w:r>
      <w:r>
        <w:rPr>
          <w:color w:val="auto"/>
        </w:rPr>
        <w:fldChar w:fldCharType="separate"/>
      </w:r>
      <w:r>
        <w:rPr>
          <w:color w:val="auto"/>
        </w:rPr>
        <w:t>18</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"_Toc9513" </w:instrText>
      </w:r>
      <w:r>
        <w:rPr>
          <w:color w:val="auto"/>
        </w:rPr>
        <w:fldChar w:fldCharType="separate"/>
      </w:r>
      <w:r>
        <w:rPr>
          <w:rFonts w:hint="eastAsia" w:ascii="宋体" w:hAnsi="宋体" w:cs="宋体"/>
          <w:color w:val="auto"/>
          <w:szCs w:val="28"/>
        </w:rPr>
        <w:t>七、 可中止电子交易活动的情形</w:t>
      </w:r>
      <w:r>
        <w:rPr>
          <w:color w:val="auto"/>
        </w:rPr>
        <w:tab/>
      </w:r>
      <w:r>
        <w:rPr>
          <w:color w:val="auto"/>
        </w:rPr>
        <w:fldChar w:fldCharType="begin"/>
      </w:r>
      <w:r>
        <w:rPr>
          <w:color w:val="auto"/>
        </w:rPr>
        <w:instrText xml:space="preserve"> PAGEREF _Toc9513 \h </w:instrText>
      </w:r>
      <w:r>
        <w:rPr>
          <w:color w:val="auto"/>
        </w:rPr>
        <w:fldChar w:fldCharType="separate"/>
      </w:r>
      <w:r>
        <w:rPr>
          <w:color w:val="auto"/>
        </w:rPr>
        <w:t>19</w:t>
      </w:r>
      <w:r>
        <w:rPr>
          <w:color w:val="auto"/>
        </w:rPr>
        <w:fldChar w:fldCharType="end"/>
      </w:r>
      <w:r>
        <w:rPr>
          <w:color w:val="auto"/>
        </w:rPr>
        <w:fldChar w:fldCharType="end"/>
      </w:r>
    </w:p>
    <w:p>
      <w:pPr>
        <w:pStyle w:val="29"/>
        <w:tabs>
          <w:tab w:val="right" w:leader="dot" w:pos="9638"/>
          <w:tab w:val="clear" w:pos="9628"/>
        </w:tabs>
        <w:spacing w:before="120" w:after="120"/>
        <w:rPr>
          <w:color w:val="auto"/>
        </w:rPr>
      </w:pPr>
      <w:r>
        <w:rPr>
          <w:color w:val="auto"/>
        </w:rPr>
        <w:fldChar w:fldCharType="begin"/>
      </w:r>
      <w:r>
        <w:rPr>
          <w:color w:val="auto"/>
        </w:rPr>
        <w:instrText xml:space="preserve"> HYPERLINK \l "_Toc838" </w:instrText>
      </w:r>
      <w:r>
        <w:rPr>
          <w:color w:val="auto"/>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_Toc838 \h </w:instrText>
      </w:r>
      <w:r>
        <w:rPr>
          <w:color w:val="auto"/>
        </w:rPr>
        <w:fldChar w:fldCharType="separate"/>
      </w:r>
      <w:r>
        <w:rPr>
          <w:color w:val="auto"/>
        </w:rPr>
        <w:t>21</w:t>
      </w:r>
      <w:r>
        <w:rPr>
          <w:color w:val="auto"/>
        </w:rPr>
        <w:fldChar w:fldCharType="end"/>
      </w:r>
      <w:r>
        <w:rPr>
          <w:color w:val="auto"/>
        </w:rPr>
        <w:fldChar w:fldCharType="end"/>
      </w:r>
    </w:p>
    <w:p>
      <w:pPr>
        <w:pStyle w:val="29"/>
        <w:tabs>
          <w:tab w:val="right" w:leader="dot" w:pos="9638"/>
          <w:tab w:val="clear" w:pos="9628"/>
        </w:tabs>
        <w:spacing w:before="120" w:after="120"/>
        <w:rPr>
          <w:color w:val="auto"/>
        </w:rPr>
      </w:pPr>
      <w:r>
        <w:rPr>
          <w:color w:val="auto"/>
        </w:rPr>
        <w:fldChar w:fldCharType="begin"/>
      </w:r>
      <w:r>
        <w:rPr>
          <w:color w:val="auto"/>
        </w:rPr>
        <w:instrText xml:space="preserve"> HYPERLINK \l "_Toc24197" </w:instrText>
      </w:r>
      <w:r>
        <w:rPr>
          <w:color w:val="auto"/>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_Toc24197 \h </w:instrText>
      </w:r>
      <w:r>
        <w:rPr>
          <w:color w:val="auto"/>
        </w:rPr>
        <w:fldChar w:fldCharType="separate"/>
      </w:r>
      <w:r>
        <w:rPr>
          <w:color w:val="auto"/>
        </w:rPr>
        <w:t>25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"_Toc4079" </w:instrText>
      </w:r>
      <w:r>
        <w:rPr>
          <w:color w:val="auto"/>
        </w:rPr>
        <w:fldChar w:fldCharType="separate"/>
      </w:r>
      <w:r>
        <w:rPr>
          <w:rFonts w:hint="eastAsia" w:ascii="宋体" w:hAnsi="宋体" w:cs="宋体"/>
          <w:color w:val="auto"/>
        </w:rPr>
        <w:t>附件一 投标函</w:t>
      </w:r>
      <w:r>
        <w:rPr>
          <w:color w:val="auto"/>
        </w:rPr>
        <w:tab/>
      </w:r>
      <w:r>
        <w:rPr>
          <w:color w:val="auto"/>
        </w:rPr>
        <w:fldChar w:fldCharType="begin"/>
      </w:r>
      <w:r>
        <w:rPr>
          <w:color w:val="auto"/>
        </w:rPr>
        <w:instrText xml:space="preserve"> PAGEREF _Toc4079 \h </w:instrText>
      </w:r>
      <w:r>
        <w:rPr>
          <w:color w:val="auto"/>
        </w:rPr>
        <w:fldChar w:fldCharType="separate"/>
      </w:r>
      <w:r>
        <w:rPr>
          <w:color w:val="auto"/>
        </w:rPr>
        <w:t>25</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"_Toc1644" </w:instrText>
      </w:r>
      <w:r>
        <w:rPr>
          <w:color w:val="auto"/>
        </w:rPr>
        <w:fldChar w:fldCharType="separate"/>
      </w:r>
      <w:r>
        <w:rPr>
          <w:rFonts w:hint="eastAsia" w:ascii="宋体" w:hAnsi="宋体" w:cs="宋体"/>
          <w:color w:val="auto"/>
        </w:rPr>
        <w:t>附件二 投标报价一览表</w:t>
      </w:r>
      <w:r>
        <w:rPr>
          <w:color w:val="auto"/>
        </w:rPr>
        <w:tab/>
      </w:r>
      <w:r>
        <w:rPr>
          <w:color w:val="auto"/>
        </w:rPr>
        <w:fldChar w:fldCharType="begin"/>
      </w:r>
      <w:r>
        <w:rPr>
          <w:color w:val="auto"/>
        </w:rPr>
        <w:instrText xml:space="preserve"> PAGEREF _Toc1644 \h </w:instrText>
      </w:r>
      <w:r>
        <w:rPr>
          <w:color w:val="auto"/>
        </w:rPr>
        <w:fldChar w:fldCharType="separate"/>
      </w:r>
      <w:r>
        <w:rPr>
          <w:color w:val="auto"/>
        </w:rPr>
        <w:t>26</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"_Toc17976" </w:instrText>
      </w:r>
      <w:r>
        <w:rPr>
          <w:color w:val="auto"/>
        </w:rPr>
        <w:fldChar w:fldCharType="separate"/>
      </w:r>
      <w:r>
        <w:rPr>
          <w:rFonts w:hint="eastAsia" w:ascii="宋体" w:hAnsi="宋体"/>
          <w:color w:val="auto"/>
        </w:rPr>
        <w:t>附件三 投标分项报价表</w:t>
      </w:r>
      <w:r>
        <w:rPr>
          <w:color w:val="auto"/>
        </w:rPr>
        <w:tab/>
      </w:r>
      <w:r>
        <w:rPr>
          <w:color w:val="auto"/>
        </w:rPr>
        <w:fldChar w:fldCharType="begin"/>
      </w:r>
      <w:r>
        <w:rPr>
          <w:color w:val="auto"/>
        </w:rPr>
        <w:instrText xml:space="preserve"> PAGEREF _Toc17976 \h </w:instrText>
      </w:r>
      <w:r>
        <w:rPr>
          <w:color w:val="auto"/>
        </w:rPr>
        <w:fldChar w:fldCharType="separate"/>
      </w:r>
      <w:r>
        <w:rPr>
          <w:color w:val="auto"/>
        </w:rPr>
        <w:t>27</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"_Toc4800" </w:instrText>
      </w:r>
      <w:r>
        <w:rPr>
          <w:color w:val="auto"/>
        </w:rPr>
        <w:fldChar w:fldCharType="separate"/>
      </w:r>
      <w:r>
        <w:rPr>
          <w:rFonts w:hint="eastAsia" w:ascii="宋体" w:hAnsi="宋体"/>
          <w:color w:val="auto"/>
        </w:rPr>
        <w:t>附件四 资格证明文件</w:t>
      </w:r>
      <w:r>
        <w:rPr>
          <w:color w:val="auto"/>
        </w:rPr>
        <w:tab/>
      </w:r>
      <w:r>
        <w:rPr>
          <w:color w:val="auto"/>
        </w:rPr>
        <w:fldChar w:fldCharType="begin"/>
      </w:r>
      <w:r>
        <w:rPr>
          <w:color w:val="auto"/>
        </w:rPr>
        <w:instrText xml:space="preserve"> PAGEREF _Toc4800 \h </w:instrText>
      </w:r>
      <w:r>
        <w:rPr>
          <w:color w:val="auto"/>
        </w:rPr>
        <w:fldChar w:fldCharType="separate"/>
      </w:r>
      <w:r>
        <w:rPr>
          <w:color w:val="auto"/>
        </w:rPr>
        <w:t>28</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"_Toc26710" </w:instrText>
      </w:r>
      <w:r>
        <w:rPr>
          <w:color w:val="auto"/>
        </w:rPr>
        <w:fldChar w:fldCharType="separate"/>
      </w:r>
      <w:r>
        <w:rPr>
          <w:rFonts w:hint="eastAsia" w:ascii="宋体" w:hAnsi="宋体" w:cs="宋体"/>
          <w:color w:val="auto"/>
        </w:rPr>
        <w:t>附件五 商务条款、技术规格偏离表</w:t>
      </w:r>
      <w:r>
        <w:rPr>
          <w:color w:val="auto"/>
        </w:rPr>
        <w:tab/>
      </w:r>
      <w:r>
        <w:rPr>
          <w:color w:val="auto"/>
        </w:rPr>
        <w:fldChar w:fldCharType="begin"/>
      </w:r>
      <w:r>
        <w:rPr>
          <w:color w:val="auto"/>
        </w:rPr>
        <w:instrText xml:space="preserve"> PAGEREF _Toc26710 \h </w:instrText>
      </w:r>
      <w:r>
        <w:rPr>
          <w:color w:val="auto"/>
        </w:rPr>
        <w:fldChar w:fldCharType="separate"/>
      </w:r>
      <w:r>
        <w:rPr>
          <w:color w:val="auto"/>
        </w:rPr>
        <w:t>31</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"_Toc22836" </w:instrText>
      </w:r>
      <w:r>
        <w:rPr>
          <w:color w:val="auto"/>
        </w:rPr>
        <w:fldChar w:fldCharType="separate"/>
      </w:r>
      <w:r>
        <w:rPr>
          <w:rFonts w:hint="eastAsia" w:ascii="宋体" w:hAnsi="宋体" w:cs="宋体"/>
          <w:color w:val="auto"/>
        </w:rPr>
        <w:t xml:space="preserve">附件六 </w:t>
      </w:r>
      <w:r>
        <w:rPr>
          <w:rFonts w:hint="eastAsia" w:ascii="宋体" w:hAnsi="宋体"/>
          <w:color w:val="auto"/>
        </w:rPr>
        <w:t>货物成套供货清单</w:t>
      </w:r>
      <w:r>
        <w:rPr>
          <w:color w:val="auto"/>
        </w:rPr>
        <w:tab/>
      </w:r>
      <w:r>
        <w:rPr>
          <w:color w:val="auto"/>
        </w:rPr>
        <w:fldChar w:fldCharType="begin"/>
      </w:r>
      <w:r>
        <w:rPr>
          <w:color w:val="auto"/>
        </w:rPr>
        <w:instrText xml:space="preserve"> PAGEREF _Toc22836 \h </w:instrText>
      </w:r>
      <w:r>
        <w:rPr>
          <w:color w:val="auto"/>
        </w:rPr>
        <w:fldChar w:fldCharType="separate"/>
      </w:r>
      <w:r>
        <w:rPr>
          <w:color w:val="auto"/>
        </w:rPr>
        <w:t>32</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"_Toc2082" </w:instrText>
      </w:r>
      <w:r>
        <w:rPr>
          <w:color w:val="auto"/>
        </w:rPr>
        <w:fldChar w:fldCharType="separate"/>
      </w:r>
      <w:r>
        <w:rPr>
          <w:rFonts w:hint="eastAsia" w:ascii="宋体" w:hAnsi="宋体" w:cs="宋体"/>
          <w:color w:val="auto"/>
        </w:rPr>
        <w:t>附件七 同类项目业绩一览表</w:t>
      </w:r>
      <w:r>
        <w:rPr>
          <w:color w:val="auto"/>
        </w:rPr>
        <w:tab/>
      </w:r>
      <w:r>
        <w:rPr>
          <w:color w:val="auto"/>
        </w:rPr>
        <w:fldChar w:fldCharType="begin"/>
      </w:r>
      <w:r>
        <w:rPr>
          <w:color w:val="auto"/>
        </w:rPr>
        <w:instrText xml:space="preserve"> PAGEREF _Toc2082 \h </w:instrText>
      </w:r>
      <w:r>
        <w:rPr>
          <w:color w:val="auto"/>
        </w:rPr>
        <w:fldChar w:fldCharType="separate"/>
      </w:r>
      <w:r>
        <w:rPr>
          <w:color w:val="auto"/>
        </w:rPr>
        <w:t>33</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"_Toc13171" </w:instrText>
      </w:r>
      <w:r>
        <w:rPr>
          <w:color w:val="auto"/>
        </w:rPr>
        <w:fldChar w:fldCharType="separate"/>
      </w:r>
      <w:r>
        <w:rPr>
          <w:rFonts w:ascii="宋体" w:hAnsi="宋体"/>
          <w:color w:val="auto"/>
        </w:rPr>
        <w:t>附件</w:t>
      </w:r>
      <w:r>
        <w:rPr>
          <w:rFonts w:hint="eastAsia" w:ascii="宋体" w:hAnsi="宋体"/>
          <w:color w:val="auto"/>
        </w:rPr>
        <w:t>八 政府采购政策功能相关说明</w:t>
      </w:r>
      <w:r>
        <w:rPr>
          <w:color w:val="auto"/>
        </w:rPr>
        <w:tab/>
      </w:r>
      <w:r>
        <w:rPr>
          <w:color w:val="auto"/>
        </w:rPr>
        <w:fldChar w:fldCharType="begin"/>
      </w:r>
      <w:r>
        <w:rPr>
          <w:color w:val="auto"/>
        </w:rPr>
        <w:instrText xml:space="preserve"> PAGEREF _Toc13171 \h </w:instrText>
      </w:r>
      <w:r>
        <w:rPr>
          <w:color w:val="auto"/>
        </w:rPr>
        <w:fldChar w:fldCharType="separate"/>
      </w:r>
      <w:r>
        <w:rPr>
          <w:color w:val="auto"/>
        </w:rPr>
        <w:t>34</w:t>
      </w:r>
      <w:r>
        <w:rPr>
          <w:color w:val="auto"/>
        </w:rPr>
        <w:fldChar w:fldCharType="end"/>
      </w:r>
      <w:r>
        <w:rPr>
          <w:color w:val="auto"/>
        </w:rPr>
        <w:fldChar w:fldCharType="end"/>
      </w:r>
    </w:p>
    <w:p>
      <w:pPr>
        <w:pStyle w:val="29"/>
        <w:tabs>
          <w:tab w:val="right" w:leader="dot" w:pos="9638"/>
          <w:tab w:val="clear" w:pos="9628"/>
        </w:tabs>
        <w:spacing w:before="120" w:after="120"/>
        <w:rPr>
          <w:color w:val="auto"/>
        </w:rPr>
      </w:pPr>
      <w:r>
        <w:rPr>
          <w:color w:val="auto"/>
        </w:rPr>
        <w:fldChar w:fldCharType="begin"/>
      </w:r>
      <w:r>
        <w:rPr>
          <w:color w:val="auto"/>
        </w:rPr>
        <w:instrText xml:space="preserve"> HYPERLINK \l "_Toc4898" </w:instrText>
      </w:r>
      <w:r>
        <w:rPr>
          <w:color w:val="auto"/>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_Toc4898 \h </w:instrText>
      </w:r>
      <w:r>
        <w:rPr>
          <w:color w:val="auto"/>
        </w:rPr>
        <w:fldChar w:fldCharType="separate"/>
      </w:r>
      <w:r>
        <w:rPr>
          <w:color w:val="auto"/>
        </w:rPr>
        <w:t>40</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"_Toc29023" </w:instrText>
      </w:r>
      <w:r>
        <w:rPr>
          <w:color w:val="auto"/>
        </w:rPr>
        <w:fldChar w:fldCharType="separate"/>
      </w:r>
      <w:r>
        <w:rPr>
          <w:rFonts w:hint="eastAsia" w:ascii="宋体" w:hAnsi="宋体"/>
          <w:color w:val="auto"/>
          <w:szCs w:val="28"/>
        </w:rPr>
        <w:t>一、相关说明</w:t>
      </w:r>
      <w:r>
        <w:rPr>
          <w:color w:val="auto"/>
        </w:rPr>
        <w:tab/>
      </w:r>
      <w:r>
        <w:rPr>
          <w:color w:val="auto"/>
        </w:rPr>
        <w:fldChar w:fldCharType="begin"/>
      </w:r>
      <w:r>
        <w:rPr>
          <w:color w:val="auto"/>
        </w:rPr>
        <w:instrText xml:space="preserve"> PAGEREF _Toc29023 \h </w:instrText>
      </w:r>
      <w:r>
        <w:rPr>
          <w:color w:val="auto"/>
        </w:rPr>
        <w:fldChar w:fldCharType="separate"/>
      </w:r>
      <w:r>
        <w:rPr>
          <w:color w:val="auto"/>
        </w:rPr>
        <w:t>40</w:t>
      </w:r>
      <w:r>
        <w:rPr>
          <w:color w:val="auto"/>
        </w:rPr>
        <w:fldChar w:fldCharType="end"/>
      </w:r>
      <w:r>
        <w:rPr>
          <w:color w:val="auto"/>
        </w:rPr>
        <w:fldChar w:fldCharType="end"/>
      </w:r>
    </w:p>
    <w:p>
      <w:pPr>
        <w:pStyle w:val="31"/>
        <w:tabs>
          <w:tab w:val="right" w:leader="dot" w:pos="9638"/>
        </w:tabs>
        <w:rPr>
          <w:color w:val="auto"/>
        </w:rPr>
      </w:pPr>
      <w:r>
        <w:rPr>
          <w:color w:val="auto"/>
        </w:rPr>
        <w:fldChar w:fldCharType="begin"/>
      </w:r>
      <w:r>
        <w:rPr>
          <w:color w:val="auto"/>
        </w:rPr>
        <w:instrText xml:space="preserve"> HYPERLINK \l "_Toc14400" </w:instrText>
      </w:r>
      <w:r>
        <w:rPr>
          <w:color w:val="auto"/>
        </w:rPr>
        <w:fldChar w:fldCharType="separate"/>
      </w:r>
      <w:r>
        <w:rPr>
          <w:rFonts w:hint="eastAsia" w:ascii="宋体" w:hAnsi="宋体"/>
          <w:color w:val="auto"/>
          <w:szCs w:val="28"/>
        </w:rPr>
        <w:t>二、 采购内容及要求</w:t>
      </w:r>
      <w:r>
        <w:rPr>
          <w:color w:val="auto"/>
        </w:rPr>
        <w:tab/>
      </w:r>
      <w:r>
        <w:rPr>
          <w:color w:val="auto"/>
        </w:rPr>
        <w:fldChar w:fldCharType="begin"/>
      </w:r>
      <w:r>
        <w:rPr>
          <w:color w:val="auto"/>
        </w:rPr>
        <w:instrText xml:space="preserve"> PAGEREF _Toc14400 \h </w:instrText>
      </w:r>
      <w:r>
        <w:rPr>
          <w:color w:val="auto"/>
        </w:rPr>
        <w:fldChar w:fldCharType="separate"/>
      </w:r>
      <w:r>
        <w:rPr>
          <w:color w:val="auto"/>
        </w:rPr>
        <w:t>40</w:t>
      </w:r>
      <w:r>
        <w:rPr>
          <w:color w:val="auto"/>
        </w:rPr>
        <w:fldChar w:fldCharType="end"/>
      </w:r>
      <w:r>
        <w:rPr>
          <w:color w:val="auto"/>
        </w:rPr>
        <w:fldChar w:fldCharType="end"/>
      </w:r>
    </w:p>
    <w:p>
      <w:pPr>
        <w:pStyle w:val="29"/>
        <w:tabs>
          <w:tab w:val="right" w:leader="dot" w:pos="9638"/>
          <w:tab w:val="clear" w:pos="9628"/>
        </w:tabs>
        <w:spacing w:before="120" w:after="120"/>
        <w:rPr>
          <w:color w:val="auto"/>
        </w:rPr>
      </w:pPr>
      <w:r>
        <w:rPr>
          <w:color w:val="auto"/>
        </w:rPr>
        <w:fldChar w:fldCharType="begin"/>
      </w:r>
      <w:r>
        <w:rPr>
          <w:color w:val="auto"/>
        </w:rPr>
        <w:instrText xml:space="preserve"> HYPERLINK \l "_Toc29313" </w:instrText>
      </w:r>
      <w:r>
        <w:rPr>
          <w:color w:val="auto"/>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_Toc29313 \h </w:instrText>
      </w:r>
      <w:r>
        <w:rPr>
          <w:color w:val="auto"/>
        </w:rPr>
        <w:fldChar w:fldCharType="separate"/>
      </w:r>
      <w:r>
        <w:rPr>
          <w:color w:val="auto"/>
        </w:rPr>
        <w:t>56</w:t>
      </w:r>
      <w:r>
        <w:rPr>
          <w:color w:val="auto"/>
        </w:rPr>
        <w:fldChar w:fldCharType="end"/>
      </w:r>
      <w:r>
        <w:rPr>
          <w:color w:val="auto"/>
        </w:rPr>
        <w:fldChar w:fldCharType="end"/>
      </w:r>
    </w:p>
    <w:p>
      <w:pPr>
        <w:ind w:right="110"/>
        <w:rPr>
          <w:rFonts w:ascii="宋体" w:hAnsi="宋体" w:cs="宋体"/>
          <w:bCs/>
          <w:caps/>
          <w:color w:val="auto"/>
          <w:szCs w:val="21"/>
        </w:rPr>
      </w:pPr>
      <w:r>
        <w:rPr>
          <w:rFonts w:hint="eastAsia" w:ascii="宋体" w:hAnsi="宋体" w:cs="宋体"/>
          <w:bCs/>
          <w:caps/>
          <w:color w:val="auto"/>
          <w:szCs w:val="21"/>
        </w:rPr>
        <w:fldChar w:fldCharType="end"/>
      </w:r>
    </w:p>
    <w:p>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pStyle w:val="35"/>
        <w:ind w:left="420" w:firstLine="480"/>
        <w:rPr>
          <w:color w:val="auto"/>
        </w:rPr>
      </w:pPr>
    </w:p>
    <w:p>
      <w:pPr>
        <w:pStyle w:val="18"/>
        <w:ind w:firstLine="210"/>
        <w:rPr>
          <w:color w:val="auto"/>
        </w:rPr>
      </w:pPr>
    </w:p>
    <w:p>
      <w:pPr>
        <w:pStyle w:val="35"/>
        <w:ind w:left="420" w:firstLine="480"/>
        <w:rPr>
          <w:color w:val="auto"/>
        </w:rPr>
      </w:pPr>
    </w:p>
    <w:p>
      <w:pPr>
        <w:rPr>
          <w:rFonts w:ascii="黑体" w:hAnsi="黑体" w:eastAsia="黑体"/>
          <w:bCs/>
          <w:color w:val="auto"/>
          <w:sz w:val="36"/>
          <w:szCs w:val="36"/>
        </w:rPr>
      </w:pPr>
      <w:bookmarkStart w:id="2" w:name="_Toc229"/>
    </w:p>
    <w:p>
      <w:pPr>
        <w:pStyle w:val="3"/>
        <w:spacing w:line="600" w:lineRule="exact"/>
        <w:jc w:val="center"/>
        <w:rPr>
          <w:rFonts w:ascii="黑体" w:hAnsi="黑体" w:eastAsia="黑体"/>
          <w:bCs/>
          <w:color w:val="auto"/>
          <w:sz w:val="36"/>
          <w:szCs w:val="36"/>
        </w:rPr>
      </w:pPr>
      <w:r>
        <w:rPr>
          <w:rFonts w:hint="eastAsia" w:ascii="黑体" w:hAnsi="黑体" w:eastAsia="黑体"/>
          <w:bCs/>
          <w:color w:val="auto"/>
          <w:sz w:val="36"/>
          <w:szCs w:val="36"/>
        </w:rPr>
        <w:t>第一部分   招标公告</w:t>
      </w:r>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lang w:eastAsia="zh-CN"/>
        </w:rPr>
        <w:t>工业产品生产实训室</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4"/>
          <w:rFonts w:hint="eastAsia" w:ascii="宋体" w:hAnsi="宋体"/>
          <w:color w:val="auto"/>
          <w:sz w:val="22"/>
          <w:szCs w:val="22"/>
        </w:rPr>
        <w:t>https://www.zcygov.cn）获取（下载）招标文件，并于</w:t>
      </w:r>
      <w:r>
        <w:rPr>
          <w:rStyle w:val="44"/>
          <w:rFonts w:ascii="宋体" w:hAnsi="宋体"/>
          <w:color w:val="auto"/>
          <w:sz w:val="22"/>
          <w:szCs w:val="22"/>
        </w:rPr>
        <w:t>2023</w:t>
      </w:r>
      <w:r>
        <w:rPr>
          <w:rStyle w:val="44"/>
          <w:rFonts w:hint="eastAsia" w:ascii="宋体" w:hAnsi="宋体"/>
          <w:bCs/>
          <w:color w:val="auto"/>
          <w:sz w:val="22"/>
          <w:szCs w:val="22"/>
        </w:rPr>
        <w:t>年</w:t>
      </w:r>
      <w:r>
        <w:rPr>
          <w:rStyle w:val="44"/>
          <w:rFonts w:hint="eastAsia" w:ascii="宋体" w:hAnsi="宋体"/>
          <w:bCs/>
          <w:color w:val="auto"/>
          <w:sz w:val="22"/>
          <w:szCs w:val="22"/>
        </w:rPr>
        <w:fldChar w:fldCharType="end"/>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07</w:t>
      </w:r>
      <w:r>
        <w:rPr>
          <w:rFonts w:hint="eastAsia" w:ascii="宋体" w:hAnsi="宋体"/>
          <w:bCs/>
          <w:color w:val="auto"/>
          <w:sz w:val="22"/>
          <w:szCs w:val="22"/>
          <w:u w:val="single"/>
        </w:rPr>
        <w:t xml:space="preserve"> </w:t>
      </w:r>
      <w:r>
        <w:rPr>
          <w:rFonts w:hint="eastAsia" w:ascii="宋体" w:hAnsi="宋体"/>
          <w:bCs/>
          <w:color w:val="auto"/>
          <w:sz w:val="22"/>
          <w:szCs w:val="22"/>
        </w:rPr>
        <w:t>月</w:t>
      </w:r>
      <w:r>
        <w:rPr>
          <w:rFonts w:hint="eastAsia" w:ascii="宋体" w:hAnsi="宋体"/>
          <w:bCs/>
          <w:color w:val="auto"/>
          <w:sz w:val="22"/>
          <w:szCs w:val="22"/>
          <w:u w:val="single"/>
        </w:rPr>
        <w:t xml:space="preserve"> </w:t>
      </w:r>
      <w:r>
        <w:rPr>
          <w:rFonts w:hint="eastAsia" w:ascii="宋体" w:hAnsi="宋体"/>
          <w:bCs/>
          <w:color w:val="auto"/>
          <w:sz w:val="22"/>
          <w:szCs w:val="22"/>
          <w:u w:val="single"/>
          <w:lang w:val="en-US" w:eastAsia="zh-CN"/>
        </w:rPr>
        <w:t>26</w:t>
      </w:r>
      <w:r>
        <w:rPr>
          <w:rFonts w:hint="eastAsia" w:ascii="宋体" w:hAnsi="宋体"/>
          <w:bCs/>
          <w:color w:val="auto"/>
          <w:sz w:val="22"/>
          <w:szCs w:val="22"/>
          <w:u w:val="single"/>
        </w:rPr>
        <w:t xml:space="preserve"> </w:t>
      </w:r>
      <w:r>
        <w:rPr>
          <w:rFonts w:hint="eastAsia" w:ascii="宋体" w:hAnsi="宋体"/>
          <w:bCs/>
          <w:color w:val="auto"/>
          <w:sz w:val="22"/>
          <w:szCs w:val="22"/>
        </w:rPr>
        <w:t>日</w:t>
      </w:r>
      <w:r>
        <w:rPr>
          <w:rFonts w:hint="eastAsia" w:ascii="宋体" w:hAnsi="宋体"/>
          <w:bCs/>
          <w:color w:val="auto"/>
          <w:sz w:val="22"/>
          <w:szCs w:val="22"/>
          <w:u w:val="single"/>
          <w:lang w:val="en-US" w:eastAsia="zh-CN"/>
        </w:rPr>
        <w:t>09</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pPr>
        <w:widowControl/>
        <w:spacing w:line="440" w:lineRule="exact"/>
        <w:rPr>
          <w:rFonts w:ascii="宋体" w:hAnsi="宋体" w:cs="宋体"/>
          <w:b/>
          <w:color w:val="auto"/>
          <w:sz w:val="22"/>
          <w:szCs w:val="22"/>
        </w:rPr>
      </w:pPr>
      <w:bookmarkStart w:id="3" w:name="_Toc35393621"/>
      <w:bookmarkStart w:id="4" w:name="_Toc28359002"/>
      <w:bookmarkStart w:id="5" w:name="_Toc35393790"/>
      <w:bookmarkStart w:id="6" w:name="_Toc28359079"/>
      <w:bookmarkStart w:id="7" w:name="_Hlk24379207"/>
      <w:r>
        <w:rPr>
          <w:rFonts w:hint="eastAsia" w:ascii="宋体" w:hAnsi="宋体" w:cs="宋体"/>
          <w:b/>
          <w:color w:val="auto"/>
          <w:sz w:val="22"/>
          <w:szCs w:val="22"/>
        </w:rPr>
        <w:t>一、项目基本情况</w:t>
      </w:r>
      <w:bookmarkEnd w:id="3"/>
      <w:bookmarkEnd w:id="4"/>
      <w:bookmarkEnd w:id="5"/>
      <w:bookmarkEnd w:id="6"/>
    </w:p>
    <w:p>
      <w:pPr>
        <w:spacing w:line="440" w:lineRule="exact"/>
        <w:ind w:firstLine="440" w:firstLineChars="200"/>
        <w:rPr>
          <w:rFonts w:ascii="宋体" w:hAnsi="宋体"/>
          <w:color w:val="auto"/>
          <w:sz w:val="22"/>
          <w:szCs w:val="22"/>
        </w:rPr>
      </w:pPr>
      <w:r>
        <w:rPr>
          <w:rFonts w:hint="eastAsia" w:ascii="宋体" w:hAnsi="宋体"/>
          <w:color w:val="auto"/>
          <w:sz w:val="22"/>
          <w:szCs w:val="22"/>
        </w:rPr>
        <w:t>项目编号：WZZF2023(ZC)-06-148（GK）</w:t>
      </w:r>
    </w:p>
    <w:p>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工业产品生产实训室</w:t>
      </w:r>
    </w:p>
    <w:bookmarkEnd w:id="7"/>
    <w:p>
      <w:pPr>
        <w:spacing w:line="440" w:lineRule="exact"/>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rPr>
        <w:t>预算金额（元）：</w:t>
      </w:r>
      <w:r>
        <w:rPr>
          <w:rFonts w:hint="eastAsia" w:ascii="宋体" w:hAnsi="宋体"/>
          <w:color w:val="auto"/>
          <w:sz w:val="22"/>
          <w:szCs w:val="22"/>
          <w:lang w:val="en-US" w:eastAsia="zh-CN"/>
        </w:rPr>
        <w:t>1493200</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最高限价（元）：</w:t>
      </w:r>
      <w:r>
        <w:rPr>
          <w:rFonts w:hint="eastAsia" w:ascii="宋体" w:hAnsi="宋体"/>
          <w:color w:val="auto"/>
          <w:sz w:val="22"/>
          <w:szCs w:val="22"/>
          <w:lang w:val="en-US" w:eastAsia="zh-CN"/>
        </w:rPr>
        <w:t>1493200</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w:t>
      </w:r>
      <w:r>
        <w:rPr>
          <w:rFonts w:hint="eastAsia" w:ascii="宋体" w:hAnsi="宋体"/>
          <w:color w:val="auto"/>
          <w:sz w:val="22"/>
          <w:szCs w:val="22"/>
          <w:lang w:eastAsia="zh-CN"/>
        </w:rPr>
        <w:t>工业产品生产实训室</w:t>
      </w:r>
      <w:r>
        <w:rPr>
          <w:rFonts w:hint="eastAsia" w:ascii="宋体" w:hAnsi="宋体"/>
          <w:color w:val="auto"/>
          <w:sz w:val="22"/>
          <w:szCs w:val="22"/>
        </w:rPr>
        <w:br w:type="textWrapping"/>
      </w:r>
      <w:r>
        <w:rPr>
          <w:rFonts w:hint="eastAsia" w:ascii="宋体" w:hAnsi="宋体"/>
          <w:color w:val="auto"/>
          <w:sz w:val="22"/>
          <w:szCs w:val="22"/>
        </w:rPr>
        <w:t>   数量: 1项</w:t>
      </w:r>
      <w:r>
        <w:rPr>
          <w:rFonts w:hint="eastAsia" w:ascii="宋体" w:hAnsi="宋体"/>
          <w:color w:val="auto"/>
          <w:sz w:val="22"/>
          <w:szCs w:val="22"/>
        </w:rPr>
        <w:br w:type="textWrapping"/>
      </w:r>
      <w:r>
        <w:rPr>
          <w:rFonts w:hint="eastAsia" w:ascii="宋体" w:hAnsi="宋体"/>
          <w:color w:val="auto"/>
          <w:sz w:val="22"/>
          <w:szCs w:val="22"/>
        </w:rPr>
        <w:t>   预算金额（元）：</w:t>
      </w:r>
      <w:r>
        <w:rPr>
          <w:rFonts w:hint="eastAsia" w:ascii="宋体" w:hAnsi="宋体"/>
          <w:color w:val="auto"/>
          <w:sz w:val="22"/>
          <w:szCs w:val="22"/>
          <w:lang w:val="en-US" w:eastAsia="zh-CN"/>
        </w:rPr>
        <w:t>1493200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w:t>
      </w:r>
      <w:r>
        <w:rPr>
          <w:rFonts w:hint="eastAsia" w:ascii="宋体" w:hAnsi="宋体"/>
          <w:color w:val="auto"/>
          <w:sz w:val="22"/>
          <w:szCs w:val="22"/>
          <w:lang w:eastAsia="zh-CN"/>
        </w:rPr>
        <w:t>工业产品生产实训室</w:t>
      </w:r>
      <w:r>
        <w:rPr>
          <w:rFonts w:hint="eastAsia" w:ascii="宋体" w:hAnsi="宋体"/>
          <w:color w:val="auto"/>
          <w:sz w:val="22"/>
          <w:szCs w:val="22"/>
          <w:lang w:val="en-US" w:eastAsia="zh-CN"/>
        </w:rPr>
        <w:t>采购</w:t>
      </w:r>
      <w:r>
        <w:rPr>
          <w:rFonts w:hint="eastAsia" w:ascii="宋体" w:hAnsi="宋体"/>
          <w:color w:val="auto"/>
          <w:sz w:val="22"/>
          <w:szCs w:val="22"/>
        </w:rPr>
        <w:t>，包括货物的</w:t>
      </w:r>
      <w:r>
        <w:rPr>
          <w:rFonts w:hint="eastAsia" w:ascii="宋体" w:hAnsi="宋体" w:cs="宋体"/>
          <w:color w:val="auto"/>
          <w:sz w:val="22"/>
          <w:szCs w:val="22"/>
        </w:rPr>
        <w:t>供货、安装、调试等内容，</w:t>
      </w:r>
      <w:r>
        <w:rPr>
          <w:rFonts w:hint="eastAsia" w:ascii="宋体" w:hAnsi="宋体"/>
          <w:color w:val="auto"/>
          <w:sz w:val="22"/>
          <w:szCs w:val="22"/>
        </w:rPr>
        <w:t>详见招标文件第六部分。</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rPr>
        <w:t>合同签订后30天内完成全部设备的</w:t>
      </w:r>
      <w:r>
        <w:rPr>
          <w:rFonts w:hint="eastAsia" w:ascii="宋体" w:hAnsi="宋体" w:cs="宋体"/>
          <w:color w:val="auto"/>
          <w:sz w:val="22"/>
          <w:szCs w:val="22"/>
        </w:rPr>
        <w:t>供货、安装、调试</w:t>
      </w:r>
      <w:r>
        <w:rPr>
          <w:rFonts w:hint="eastAsia" w:ascii="宋体" w:hAnsi="宋体" w:cs="宋体"/>
          <w:color w:val="auto"/>
          <w:sz w:val="22"/>
        </w:rPr>
        <w:t>，由采购人进行验收</w:t>
      </w:r>
      <w:r>
        <w:rPr>
          <w:rFonts w:hint="eastAsia" w:ascii="宋体" w:hAnsi="宋体" w:cs="宋体"/>
          <w:color w:val="auto"/>
          <w:sz w:val="22"/>
          <w:szCs w:val="22"/>
        </w:rPr>
        <w:t>。</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pPr>
        <w:widowControl/>
        <w:spacing w:line="440" w:lineRule="exact"/>
        <w:rPr>
          <w:rFonts w:ascii="宋体" w:hAnsi="宋体" w:cs="宋体"/>
          <w:b/>
          <w:color w:val="auto"/>
          <w:sz w:val="22"/>
          <w:szCs w:val="22"/>
        </w:rPr>
      </w:pPr>
      <w:bookmarkStart w:id="8" w:name="_Toc28359080"/>
      <w:bookmarkStart w:id="9" w:name="_Toc28359003"/>
      <w:bookmarkStart w:id="10" w:name="_Toc35393622"/>
      <w:bookmarkStart w:id="11" w:name="_Toc35393791"/>
      <w:r>
        <w:rPr>
          <w:rFonts w:hint="eastAsia" w:ascii="宋体" w:hAnsi="宋体" w:cs="宋体"/>
          <w:b/>
          <w:color w:val="auto"/>
          <w:sz w:val="22"/>
          <w:szCs w:val="22"/>
        </w:rPr>
        <w:t>二、申请人的资格要求：</w:t>
      </w:r>
      <w:bookmarkEnd w:id="8"/>
      <w:bookmarkEnd w:id="9"/>
      <w:bookmarkEnd w:id="10"/>
      <w:bookmarkEnd w:id="11"/>
    </w:p>
    <w:p>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40" w:firstLineChars="200"/>
        <w:rPr>
          <w:rFonts w:ascii="宋体" w:hAnsi="宋体"/>
          <w:color w:val="auto"/>
          <w:sz w:val="22"/>
          <w:szCs w:val="22"/>
          <w:u w:val="single"/>
        </w:rPr>
      </w:pPr>
      <w:bookmarkStart w:id="12" w:name="_Toc28359081"/>
      <w:bookmarkStart w:id="13" w:name="_Toc28359004"/>
      <w:r>
        <w:rPr>
          <w:rFonts w:ascii="宋体" w:hAnsi="宋体"/>
          <w:color w:val="auto"/>
          <w:sz w:val="22"/>
          <w:szCs w:val="22"/>
        </w:rPr>
        <w:t>2</w:t>
      </w:r>
      <w:r>
        <w:rPr>
          <w:rFonts w:hint="eastAsia" w:ascii="宋体" w:hAnsi="宋体"/>
          <w:color w:val="auto"/>
          <w:sz w:val="22"/>
          <w:szCs w:val="22"/>
        </w:rPr>
        <w:t>.落实政府采购政策需满足的资格要求：无；</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pPr>
        <w:widowControl/>
        <w:spacing w:line="440" w:lineRule="exact"/>
        <w:rPr>
          <w:rFonts w:ascii="宋体" w:hAnsi="宋体" w:cs="宋体"/>
          <w:b/>
          <w:color w:val="auto"/>
          <w:sz w:val="22"/>
          <w:szCs w:val="22"/>
        </w:rPr>
      </w:pPr>
      <w:bookmarkStart w:id="14" w:name="_Toc35393623"/>
      <w:bookmarkStart w:id="15" w:name="_Toc35393792"/>
      <w:r>
        <w:rPr>
          <w:rFonts w:hint="eastAsia" w:ascii="宋体" w:hAnsi="宋体" w:cs="宋体"/>
          <w:b/>
          <w:color w:val="auto"/>
          <w:sz w:val="22"/>
          <w:szCs w:val="22"/>
        </w:rPr>
        <w:t>三、获取招标文件</w:t>
      </w:r>
      <w:bookmarkEnd w:id="12"/>
      <w:bookmarkEnd w:id="13"/>
      <w:bookmarkEnd w:id="14"/>
      <w:bookmarkEnd w:id="15"/>
    </w:p>
    <w:p>
      <w:pPr>
        <w:pStyle w:val="32"/>
        <w:spacing w:before="75" w:beforeAutospacing="0" w:after="75" w:afterAutospacing="0" w:line="440" w:lineRule="exact"/>
        <w:ind w:firstLine="440" w:firstLineChars="200"/>
        <w:rPr>
          <w:color w:val="auto"/>
          <w:sz w:val="22"/>
          <w:szCs w:val="22"/>
        </w:rPr>
      </w:pPr>
      <w:r>
        <w:rPr>
          <w:rFonts w:hint="eastAsia"/>
          <w:color w:val="auto"/>
          <w:sz w:val="22"/>
          <w:szCs w:val="22"/>
        </w:rPr>
        <w:t>时间：/ 至2023年</w:t>
      </w:r>
      <w:r>
        <w:rPr>
          <w:rFonts w:hint="eastAsia"/>
          <w:color w:val="auto"/>
          <w:sz w:val="22"/>
          <w:szCs w:val="22"/>
          <w:u w:val="single"/>
        </w:rPr>
        <w:t xml:space="preserve"> </w:t>
      </w:r>
      <w:r>
        <w:rPr>
          <w:rFonts w:hint="eastAsia"/>
          <w:color w:val="auto"/>
          <w:sz w:val="22"/>
          <w:szCs w:val="22"/>
          <w:u w:val="single"/>
          <w:lang w:val="en-US" w:eastAsia="zh-CN"/>
        </w:rPr>
        <w:t>07</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26</w:t>
      </w:r>
      <w:r>
        <w:rPr>
          <w:rFonts w:hint="eastAsia"/>
          <w:color w:val="auto"/>
          <w:sz w:val="22"/>
          <w:szCs w:val="22"/>
          <w:u w:val="single"/>
        </w:rPr>
        <w:t xml:space="preserve"> </w:t>
      </w:r>
      <w:r>
        <w:rPr>
          <w:rFonts w:hint="eastAsia"/>
          <w:color w:val="auto"/>
          <w:sz w:val="22"/>
          <w:szCs w:val="22"/>
        </w:rPr>
        <w:t>日，每天上午00:00至12:00，下午12:00至23:59（北京时间，线上获取法定节假日均可，线下获取文件法定节假日除外）</w:t>
      </w:r>
    </w:p>
    <w:p>
      <w:pPr>
        <w:pStyle w:val="32"/>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pPr>
        <w:pStyle w:val="32"/>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pPr>
        <w:pStyle w:val="32"/>
        <w:spacing w:before="75" w:beforeAutospacing="0" w:after="75" w:afterAutospacing="0" w:line="440" w:lineRule="exact"/>
        <w:rPr>
          <w:color w:val="auto"/>
          <w:sz w:val="22"/>
          <w:szCs w:val="22"/>
        </w:rPr>
      </w:pPr>
      <w:r>
        <w:rPr>
          <w:rFonts w:hint="eastAsia"/>
          <w:color w:val="auto"/>
          <w:sz w:val="22"/>
          <w:szCs w:val="22"/>
        </w:rPr>
        <w:t>  售价（元）：0 </w:t>
      </w:r>
    </w:p>
    <w:p>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pPr>
        <w:pStyle w:val="32"/>
        <w:spacing w:before="75" w:beforeAutospacing="0" w:after="75" w:afterAutospacing="0" w:line="440" w:lineRule="exact"/>
        <w:rPr>
          <w:color w:val="auto"/>
          <w:sz w:val="22"/>
          <w:szCs w:val="22"/>
        </w:rPr>
      </w:pPr>
      <w:r>
        <w:rPr>
          <w:rFonts w:hint="eastAsia"/>
          <w:color w:val="auto"/>
          <w:sz w:val="22"/>
          <w:szCs w:val="22"/>
        </w:rPr>
        <w:t>   提交投标文件截止时间：2023年</w:t>
      </w:r>
      <w:r>
        <w:rPr>
          <w:rFonts w:hint="eastAsia"/>
          <w:color w:val="auto"/>
          <w:sz w:val="22"/>
          <w:szCs w:val="22"/>
          <w:u w:val="single"/>
        </w:rPr>
        <w:t xml:space="preserve"> </w:t>
      </w:r>
      <w:r>
        <w:rPr>
          <w:rFonts w:hint="eastAsia"/>
          <w:color w:val="auto"/>
          <w:sz w:val="22"/>
          <w:szCs w:val="22"/>
          <w:u w:val="single"/>
          <w:lang w:val="en-US" w:eastAsia="zh-CN"/>
        </w:rPr>
        <w:t>07</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26</w:t>
      </w:r>
      <w:r>
        <w:rPr>
          <w:rFonts w:hint="eastAsia"/>
          <w:color w:val="auto"/>
          <w:sz w:val="22"/>
          <w:szCs w:val="22"/>
          <w:u w:val="single"/>
        </w:rPr>
        <w:t xml:space="preserve"> </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pPr>
        <w:pStyle w:val="32"/>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pPr>
        <w:pStyle w:val="32"/>
        <w:spacing w:before="75" w:beforeAutospacing="0" w:after="75" w:afterAutospacing="0" w:line="440" w:lineRule="exact"/>
        <w:rPr>
          <w:color w:val="auto"/>
          <w:sz w:val="22"/>
          <w:szCs w:val="22"/>
        </w:rPr>
      </w:pPr>
      <w:r>
        <w:rPr>
          <w:rFonts w:hint="eastAsia"/>
          <w:color w:val="auto"/>
          <w:sz w:val="22"/>
          <w:szCs w:val="22"/>
        </w:rPr>
        <w:t>   开标时间：2023年</w:t>
      </w:r>
      <w:r>
        <w:rPr>
          <w:rFonts w:hint="eastAsia"/>
          <w:color w:val="auto"/>
          <w:sz w:val="22"/>
          <w:szCs w:val="22"/>
          <w:u w:val="single"/>
        </w:rPr>
        <w:t xml:space="preserve"> </w:t>
      </w:r>
      <w:r>
        <w:rPr>
          <w:rFonts w:hint="eastAsia"/>
          <w:color w:val="auto"/>
          <w:sz w:val="22"/>
          <w:szCs w:val="22"/>
          <w:u w:val="single"/>
          <w:lang w:val="en-US" w:eastAsia="zh-CN"/>
        </w:rPr>
        <w:t xml:space="preserve">07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26</w:t>
      </w:r>
      <w:r>
        <w:rPr>
          <w:rFonts w:hint="eastAsia"/>
          <w:color w:val="auto"/>
          <w:sz w:val="22"/>
          <w:szCs w:val="22"/>
          <w:u w:val="single"/>
        </w:rPr>
        <w:t xml:space="preserve"> </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pPr>
        <w:pStyle w:val="32"/>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开标地点（网址）：温州市瓯海区南塘一组团1幢1504室，政采云平台（https://www.zcygov.cn）在线评标</w:t>
      </w:r>
    </w:p>
    <w:p>
      <w:pPr>
        <w:widowControl/>
        <w:spacing w:line="440" w:lineRule="exact"/>
        <w:rPr>
          <w:rFonts w:ascii="宋体" w:hAnsi="宋体" w:cs="宋体"/>
          <w:b/>
          <w:color w:val="auto"/>
          <w:sz w:val="22"/>
          <w:szCs w:val="22"/>
        </w:rPr>
      </w:pPr>
      <w:bookmarkStart w:id="16" w:name="_Toc28359007"/>
      <w:bookmarkStart w:id="17" w:name="_Toc35393794"/>
      <w:bookmarkStart w:id="18" w:name="_Toc35393625"/>
      <w:bookmarkStart w:id="19" w:name="_Toc28359084"/>
      <w:r>
        <w:rPr>
          <w:rFonts w:hint="eastAsia" w:ascii="宋体" w:hAnsi="宋体" w:cs="宋体"/>
          <w:b/>
          <w:color w:val="auto"/>
          <w:sz w:val="22"/>
          <w:szCs w:val="22"/>
        </w:rPr>
        <w:t>五、公告期限</w:t>
      </w:r>
      <w:bookmarkEnd w:id="16"/>
      <w:bookmarkEnd w:id="17"/>
      <w:bookmarkEnd w:id="18"/>
      <w:bookmarkEnd w:id="19"/>
      <w:bookmarkStart w:id="101" w:name="_GoBack"/>
      <w:bookmarkEnd w:id="101"/>
    </w:p>
    <w:p>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pPr>
        <w:widowControl/>
        <w:spacing w:line="440" w:lineRule="exact"/>
        <w:rPr>
          <w:rFonts w:ascii="宋体" w:hAnsi="宋体" w:cs="宋体"/>
          <w:b/>
          <w:color w:val="auto"/>
          <w:sz w:val="22"/>
          <w:szCs w:val="22"/>
        </w:rPr>
      </w:pPr>
      <w:bookmarkStart w:id="20" w:name="_Toc35393626"/>
      <w:bookmarkStart w:id="21" w:name="_Toc35393795"/>
      <w:r>
        <w:rPr>
          <w:rFonts w:hint="eastAsia" w:ascii="宋体" w:hAnsi="宋体" w:cs="宋体"/>
          <w:b/>
          <w:color w:val="auto"/>
          <w:sz w:val="22"/>
          <w:szCs w:val="22"/>
        </w:rPr>
        <w:t>六、其他补充事宜</w:t>
      </w:r>
      <w:bookmarkEnd w:id="20"/>
      <w:bookmarkEnd w:id="21"/>
    </w:p>
    <w:p>
      <w:pPr>
        <w:spacing w:line="440" w:lineRule="exact"/>
        <w:rPr>
          <w:rFonts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440" w:lineRule="exact"/>
        <w:rPr>
          <w:rFonts w:ascii="宋体" w:hAnsi="宋体" w:cs="宋体"/>
          <w:color w:val="auto"/>
          <w:sz w:val="22"/>
          <w:szCs w:val="22"/>
        </w:rPr>
      </w:pPr>
      <w:r>
        <w:rPr>
          <w:rFonts w:hint="eastAsia" w:ascii="宋体" w:hAnsi="宋体" w:cs="宋体"/>
          <w:color w:val="auto"/>
          <w:sz w:val="22"/>
          <w:szCs w:val="22"/>
        </w:rPr>
        <w:t> 3.其他事项：</w:t>
      </w:r>
    </w:p>
    <w:p>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https://help.zcygov.cn/web/site_2/2018/12/25/2547.html）。</w:t>
      </w:r>
    </w:p>
    <w:p>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项目联系人（询问）：赵老师</w:t>
      </w:r>
    </w:p>
    <w:p>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质疑联系人：余老师</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pPr>
        <w:widowControl/>
        <w:spacing w:line="440" w:lineRule="exact"/>
        <w:ind w:firstLine="660" w:firstLineChars="300"/>
        <w:jc w:val="left"/>
        <w:rPr>
          <w:rFonts w:ascii="宋体" w:hAnsi="宋体" w:cs="宋体"/>
          <w:color w:val="auto"/>
          <w:sz w:val="22"/>
          <w:szCs w:val="22"/>
        </w:rPr>
      </w:pP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项目联系人（询问）：刘慧聪</w:t>
      </w:r>
    </w:p>
    <w:p>
      <w:pPr>
        <w:widowControl/>
        <w:spacing w:line="44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项目联系方式（询问）：15858517848</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质疑联系人：诸葛先生</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pPr>
        <w:widowControl/>
        <w:spacing w:line="440" w:lineRule="exact"/>
        <w:ind w:firstLine="660"/>
        <w:jc w:val="left"/>
        <w:rPr>
          <w:rFonts w:ascii="宋体" w:hAnsi="宋体" w:cs="宋体"/>
          <w:color w:val="auto"/>
          <w:sz w:val="22"/>
          <w:szCs w:val="22"/>
        </w:rPr>
      </w:pP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pPr>
        <w:pStyle w:val="51"/>
        <w:ind w:firstLine="560"/>
        <w:rPr>
          <w:rFonts w:ascii="Times New Roman" w:eastAsia="宋体"/>
          <w:color w:val="auto"/>
        </w:rPr>
      </w:pP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CA问题联系电话（人工）：汇信CA 400-888-4636；天谷CA 400-087-8198。</w:t>
      </w:r>
    </w:p>
    <w:p>
      <w:pPr>
        <w:pStyle w:val="51"/>
        <w:ind w:firstLine="560"/>
        <w:rPr>
          <w:rFonts w:ascii="Times New Roman" w:eastAsia="宋体"/>
          <w:color w:val="auto"/>
        </w:rPr>
      </w:pPr>
    </w:p>
    <w:p>
      <w:pPr>
        <w:spacing w:line="400" w:lineRule="exact"/>
        <w:ind w:right="440"/>
        <w:jc w:val="right"/>
        <w:rPr>
          <w:rFonts w:ascii="宋体" w:hAnsi="宋体" w:cs="宋体"/>
          <w:color w:val="auto"/>
          <w:sz w:val="22"/>
          <w:szCs w:val="22"/>
        </w:rPr>
      </w:pPr>
    </w:p>
    <w:p>
      <w:pPr>
        <w:pStyle w:val="3"/>
        <w:spacing w:line="600" w:lineRule="exact"/>
        <w:jc w:val="center"/>
        <w:rPr>
          <w:rFonts w:ascii="黑体" w:hAnsi="黑体" w:eastAsia="黑体"/>
          <w:bCs/>
          <w:color w:val="auto"/>
          <w:sz w:val="36"/>
          <w:szCs w:val="36"/>
        </w:rPr>
      </w:pPr>
      <w:bookmarkStart w:id="24" w:name="_Toc230773774"/>
      <w:r>
        <w:rPr>
          <w:rFonts w:ascii="黑体" w:hAnsi="黑体" w:eastAsia="黑体"/>
          <w:bCs/>
          <w:color w:val="auto"/>
          <w:sz w:val="36"/>
          <w:szCs w:val="36"/>
        </w:rPr>
        <w:br w:type="page"/>
      </w:r>
      <w:bookmarkStart w:id="25" w:name="_Toc27965"/>
      <w:r>
        <w:rPr>
          <w:rFonts w:hint="eastAsia" w:ascii="黑体" w:hAnsi="黑体" w:eastAsia="黑体"/>
          <w:bCs/>
          <w:color w:val="auto"/>
          <w:sz w:val="36"/>
          <w:szCs w:val="36"/>
        </w:rPr>
        <w:t>第二部分   投标人须知</w:t>
      </w:r>
      <w:bookmarkEnd w:id="24"/>
      <w:bookmarkEnd w:id="25"/>
    </w:p>
    <w:p>
      <w:pPr>
        <w:pStyle w:val="2"/>
        <w:tabs>
          <w:tab w:val="left" w:pos="840"/>
        </w:tabs>
        <w:spacing w:line="680" w:lineRule="exact"/>
        <w:jc w:val="center"/>
        <w:rPr>
          <w:rFonts w:ascii="宋体" w:hAnsi="宋体" w:eastAsia="宋体" w:cs="宋体"/>
          <w:color w:val="auto"/>
          <w:sz w:val="28"/>
          <w:szCs w:val="28"/>
        </w:rPr>
      </w:pPr>
      <w:bookmarkStart w:id="26" w:name="_Toc486600281"/>
      <w:bookmarkStart w:id="27" w:name="_Toc12781"/>
      <w:r>
        <w:rPr>
          <w:rFonts w:hint="eastAsia" w:ascii="宋体" w:hAnsi="宋体" w:eastAsia="宋体" w:cs="宋体"/>
          <w:color w:val="auto"/>
          <w:sz w:val="28"/>
          <w:szCs w:val="28"/>
        </w:rPr>
        <w:t>投标人须知前附表</w:t>
      </w:r>
      <w:bookmarkEnd w:id="26"/>
      <w:bookmarkEnd w:id="27"/>
    </w:p>
    <w:tbl>
      <w:tblPr>
        <w:tblStyle w:val="36"/>
        <w:tblW w:w="10008" w:type="dxa"/>
        <w:tblInd w:w="0" w:type="dxa"/>
        <w:tblLayout w:type="fixed"/>
        <w:tblCellMar>
          <w:top w:w="0" w:type="dxa"/>
          <w:left w:w="108" w:type="dxa"/>
          <w:bottom w:w="0" w:type="dxa"/>
          <w:right w:w="108" w:type="dxa"/>
        </w:tblCellMar>
      </w:tblPr>
      <w:tblGrid>
        <w:gridCol w:w="1001"/>
        <w:gridCol w:w="1712"/>
        <w:gridCol w:w="7295"/>
      </w:tblGrid>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合同签订后30天内完成全部货物供货及安装调试，由采购人进行验收。</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□组织</w:t>
            </w:r>
          </w:p>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exact"/>
              <w:rPr>
                <w:rFonts w:hAnsi="宋体" w:cs="宋体"/>
                <w:b/>
                <w:bCs/>
                <w:color w:val="auto"/>
              </w:rPr>
            </w:pPr>
            <w:r>
              <w:rPr>
                <w:rFonts w:hint="eastAsia" w:hAnsi="宋体" w:cs="宋体"/>
                <w:b/>
                <w:bCs/>
                <w:color w:val="auto"/>
              </w:rPr>
              <w:t>本项目实行网上电子投标。</w:t>
            </w:r>
          </w:p>
          <w:p>
            <w:pPr>
              <w:pStyle w:val="23"/>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pPr>
              <w:pStyle w:val="23"/>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pPr>
              <w:spacing w:line="360" w:lineRule="exact"/>
              <w:ind w:firstLine="211" w:firstLineChars="100"/>
              <w:rPr>
                <w:rStyle w:val="39"/>
                <w:rFonts w:ascii="宋体" w:hAnsi="宋体" w:cs="宋体"/>
                <w:color w:val="auto"/>
                <w:szCs w:val="22"/>
              </w:rPr>
            </w:pPr>
            <w:r>
              <w:rPr>
                <w:rFonts w:hint="eastAsia" w:ascii="宋体" w:hAnsi="宋体" w:cs="宋体"/>
                <w:b/>
                <w:bCs/>
                <w:color w:val="auto"/>
                <w:szCs w:val="22"/>
              </w:rPr>
              <w:t>(2)以介质存储的数据电文形式的备份响应文件：</w:t>
            </w:r>
            <w:r>
              <w:rPr>
                <w:rStyle w:val="39"/>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pPr>
              <w:pStyle w:val="23"/>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pPr>
              <w:spacing w:line="360" w:lineRule="exact"/>
              <w:rPr>
                <w:rFonts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4"/>
                <w:rFonts w:hint="eastAsia" w:ascii="宋体" w:hAnsi="宋体" w:cs="宋体"/>
                <w:color w:val="auto"/>
                <w:sz w:val="22"/>
                <w:szCs w:val="22"/>
              </w:rPr>
              <w:t>www.creditchina.gov.cn</w:t>
            </w:r>
            <w:r>
              <w:rPr>
                <w:rStyle w:val="44"/>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4"/>
                <w:rFonts w:hint="eastAsia" w:ascii="宋体" w:hAnsi="宋体" w:cs="宋体"/>
                <w:color w:val="auto"/>
                <w:sz w:val="22"/>
                <w:szCs w:val="22"/>
              </w:rPr>
              <w:t>www.ccgp.gov.cn</w:t>
            </w:r>
            <w:r>
              <w:rPr>
                <w:rStyle w:val="44"/>
                <w:rFonts w:hint="eastAsia" w:ascii="宋体" w:hAnsi="宋体" w:cs="宋体"/>
                <w:color w:val="auto"/>
                <w:sz w:val="22"/>
                <w:szCs w:val="22"/>
              </w:rPr>
              <w:fldChar w:fldCharType="end"/>
            </w:r>
            <w:r>
              <w:rPr>
                <w:rFonts w:hint="eastAsia" w:ascii="宋体" w:hAnsi="宋体" w:cs="宋体"/>
                <w:color w:val="auto"/>
                <w:sz w:val="22"/>
                <w:szCs w:val="22"/>
              </w:rPr>
              <w:t>）；</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FE"/>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本项目为预留份额项目，专门面向中小企业采购。</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本项目为非预留份额项目、非专门面向中小企业的项目</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w:t>
            </w:r>
            <w:r>
              <w:rPr>
                <w:rFonts w:ascii="宋体" w:hAnsi="宋体" w:cs="仿宋"/>
                <w:color w:val="auto"/>
                <w:sz w:val="22"/>
                <w:szCs w:val="22"/>
              </w:rPr>
              <w:sym w:font="Wingdings" w:char="00FE"/>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FE"/>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采购代理服务费系根据国家计委印发的《招标代理服务收费管理暂行办法》计价格【2002】1980号文（货物类）的规定按标准计算后下浮20%收取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pPr>
        <w:pStyle w:val="2"/>
        <w:spacing w:line="680" w:lineRule="exact"/>
        <w:jc w:val="center"/>
        <w:rPr>
          <w:rFonts w:ascii="宋体" w:hAnsi="宋体" w:eastAsia="宋体" w:cs="宋体"/>
          <w:color w:val="auto"/>
          <w:sz w:val="28"/>
          <w:szCs w:val="28"/>
        </w:rPr>
      </w:pPr>
      <w:bookmarkStart w:id="28" w:name="_Toc1893"/>
      <w:r>
        <w:rPr>
          <w:rFonts w:hint="eastAsia" w:ascii="宋体" w:hAnsi="宋体" w:eastAsia="宋体" w:cs="宋体"/>
          <w:color w:val="auto"/>
          <w:sz w:val="28"/>
          <w:szCs w:val="28"/>
        </w:rPr>
        <w:t>一、 说   明</w:t>
      </w:r>
      <w:bookmarkEnd w:id="28"/>
    </w:p>
    <w:p>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pPr>
        <w:tabs>
          <w:tab w:val="left" w:pos="360"/>
        </w:tabs>
        <w:spacing w:line="440" w:lineRule="exact"/>
        <w:ind w:left="550" w:hanging="550" w:hangingChars="250"/>
        <w:rPr>
          <w:rFonts w:ascii="宋体" w:hAnsi="宋体" w:cs="宋体"/>
          <w:color w:val="auto"/>
          <w:sz w:val="22"/>
          <w:szCs w:val="22"/>
        </w:rPr>
      </w:pPr>
      <w:bookmarkStart w:id="30" w:name="_Toc19066"/>
      <w:bookmarkStart w:id="31" w:name="_Toc3235"/>
      <w:bookmarkStart w:id="32" w:name="_Toc3154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仿宋"/>
          <w:color w:val="auto"/>
          <w:sz w:val="22"/>
          <w:szCs w:val="22"/>
          <w:lang w:val="en-US" w:eastAsia="zh-CN"/>
        </w:rPr>
        <w:t>10</w:t>
      </w:r>
      <w:r>
        <w:rPr>
          <w:rFonts w:hint="eastAsia" w:ascii="宋体" w:hAnsi="宋体" w:cs="仿宋"/>
          <w:color w:val="auto"/>
          <w:sz w:val="22"/>
          <w:szCs w:val="22"/>
        </w:rPr>
        <w:t>-</w:t>
      </w:r>
      <w:r>
        <w:rPr>
          <w:rFonts w:hint="eastAsia" w:ascii="宋体" w:hAnsi="宋体" w:cs="仿宋"/>
          <w:color w:val="auto"/>
          <w:sz w:val="22"/>
          <w:szCs w:val="22"/>
          <w:lang w:val="en-US" w:eastAsia="zh-CN"/>
        </w:rPr>
        <w:t>2</w:t>
      </w:r>
      <w:r>
        <w:rPr>
          <w:rFonts w:hint="eastAsia" w:ascii="宋体" w:hAnsi="宋体" w:cs="仿宋"/>
          <w:color w:val="auto"/>
          <w:sz w:val="22"/>
          <w:szCs w:val="22"/>
        </w:rPr>
        <w:t>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1"/>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pPr>
        <w:pStyle w:val="11"/>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pPr>
        <w:pStyle w:val="2"/>
        <w:spacing w:line="680" w:lineRule="exact"/>
        <w:jc w:val="center"/>
        <w:rPr>
          <w:rFonts w:ascii="宋体" w:hAnsi="宋体" w:eastAsia="宋体" w:cs="宋体"/>
          <w:color w:val="auto"/>
          <w:sz w:val="28"/>
          <w:szCs w:val="28"/>
        </w:rPr>
      </w:pPr>
      <w:bookmarkStart w:id="33" w:name="_Toc6743"/>
      <w:r>
        <w:rPr>
          <w:rFonts w:hint="eastAsia" w:ascii="宋体" w:hAnsi="宋体" w:eastAsia="宋体" w:cs="宋体"/>
          <w:color w:val="auto"/>
          <w:sz w:val="28"/>
          <w:szCs w:val="28"/>
        </w:rPr>
        <w:t>二、 招标文件</w:t>
      </w:r>
      <w:bookmarkEnd w:id="29"/>
      <w:bookmarkEnd w:id="33"/>
    </w:p>
    <w:p>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pPr>
        <w:pStyle w:val="2"/>
        <w:spacing w:line="680" w:lineRule="exact"/>
        <w:ind w:firstLine="420"/>
        <w:jc w:val="center"/>
        <w:rPr>
          <w:rFonts w:ascii="宋体" w:hAnsi="宋体" w:eastAsia="宋体" w:cs="宋体"/>
          <w:color w:val="auto"/>
          <w:sz w:val="28"/>
          <w:szCs w:val="28"/>
        </w:rPr>
      </w:pPr>
      <w:bookmarkStart w:id="34" w:name="_Toc28062"/>
      <w:bookmarkStart w:id="35" w:name="_Toc230773777"/>
      <w:r>
        <w:rPr>
          <w:rFonts w:hint="eastAsia" w:ascii="宋体" w:hAnsi="宋体" w:eastAsia="宋体" w:cs="宋体"/>
          <w:color w:val="auto"/>
          <w:sz w:val="28"/>
          <w:szCs w:val="28"/>
        </w:rPr>
        <w:t>三、 投标文件的编制</w:t>
      </w:r>
      <w:bookmarkEnd w:id="34"/>
      <w:bookmarkEnd w:id="35"/>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6"/>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hAnsi="宋体"/>
                <w:color w:val="auto"/>
                <w:sz w:val="22"/>
                <w:szCs w:val="22"/>
              </w:rPr>
              <w:t>同类项目业绩一览表</w:t>
            </w:r>
          </w:p>
        </w:tc>
        <w:tc>
          <w:tcPr>
            <w:tcW w:w="1516" w:type="dxa"/>
            <w:vAlign w:val="center"/>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6</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投标人所投产品节能环保水平相关证明材料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7</w:t>
            </w:r>
          </w:p>
        </w:tc>
        <w:tc>
          <w:tcPr>
            <w:tcW w:w="7350" w:type="dxa"/>
            <w:vAlign w:val="center"/>
          </w:tcPr>
          <w:p>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3</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中小企业声明函（入为小微企业投标，请根据附件内容提供）</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4</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残疾人福利性单位声明函（如为残疾人单位的请根据附件内容提供）</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5</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监狱企业提供的相关证明材料（如为监狱企业的请根据附件内容提供）</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bl>
    <w:p>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pPr>
        <w:pStyle w:val="17"/>
        <w:spacing w:after="0"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6.2  </w:t>
      </w:r>
      <w:r>
        <w:rPr>
          <w:rFonts w:hint="eastAsia" w:ascii="宋体" w:hAnsi="宋体" w:cs="宋体"/>
          <w:b/>
          <w:bCs/>
          <w:color w:val="auto"/>
          <w:szCs w:val="22"/>
          <w:u w:val="single"/>
        </w:rPr>
        <w:t>根据《温州市政府采购履约验收办法（温财采〔2020〕6号）》的规定，本项目履约验收费用5000元，包含在投标报价内，由中标人支付，如因供应商原因造成验收不通过的，所产生的验收费用重新计算，如采用简易验收流程的，则不需要该笔费用</w:t>
      </w:r>
      <w:r>
        <w:rPr>
          <w:rFonts w:hint="eastAsia" w:ascii="宋体" w:hAnsi="宋体"/>
          <w:b/>
          <w:bCs/>
          <w:color w:val="auto"/>
          <w:sz w:val="22"/>
          <w:szCs w:val="22"/>
        </w:rPr>
        <w:t>。</w:t>
      </w:r>
    </w:p>
    <w:p>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3</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ascii="宋体" w:hAnsi="宋体" w:cs="宋体"/>
          <w:b/>
          <w:color w:val="auto"/>
          <w:sz w:val="22"/>
          <w:szCs w:val="22"/>
        </w:rPr>
        <w:t>4</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5</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6</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7</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pPr>
        <w:pStyle w:val="2"/>
        <w:spacing w:line="680" w:lineRule="exact"/>
        <w:jc w:val="center"/>
        <w:rPr>
          <w:rFonts w:ascii="宋体" w:hAnsi="宋体" w:eastAsia="宋体" w:cs="宋体"/>
          <w:color w:val="auto"/>
          <w:sz w:val="28"/>
          <w:szCs w:val="28"/>
        </w:rPr>
      </w:pPr>
      <w:bookmarkStart w:id="37" w:name="_Toc15587"/>
      <w:r>
        <w:rPr>
          <w:rFonts w:hint="eastAsia" w:ascii="宋体" w:hAnsi="宋体" w:eastAsia="宋体" w:cs="宋体"/>
          <w:color w:val="auto"/>
          <w:sz w:val="28"/>
          <w:szCs w:val="28"/>
        </w:rPr>
        <w:t>四、 投标文件的递交</w:t>
      </w:r>
      <w:bookmarkEnd w:id="36"/>
      <w:bookmarkEnd w:id="37"/>
    </w:p>
    <w:p>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pPr>
        <w:pStyle w:val="2"/>
        <w:spacing w:line="680" w:lineRule="exact"/>
        <w:jc w:val="center"/>
        <w:rPr>
          <w:rFonts w:ascii="宋体" w:hAnsi="宋体" w:eastAsia="宋体" w:cs="宋体"/>
          <w:color w:val="auto"/>
          <w:sz w:val="28"/>
          <w:szCs w:val="28"/>
        </w:rPr>
      </w:pPr>
      <w:bookmarkStart w:id="39" w:name="_Toc27511"/>
      <w:r>
        <w:rPr>
          <w:rFonts w:hint="eastAsia" w:ascii="宋体" w:hAnsi="宋体" w:eastAsia="宋体" w:cs="宋体"/>
          <w:color w:val="auto"/>
          <w:sz w:val="28"/>
          <w:szCs w:val="28"/>
        </w:rPr>
        <w:t>五、 开标和评标</w:t>
      </w:r>
      <w:bookmarkEnd w:id="38"/>
      <w:bookmarkEnd w:id="39"/>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pPr>
        <w:pStyle w:val="2"/>
        <w:spacing w:line="680" w:lineRule="exact"/>
        <w:jc w:val="center"/>
        <w:rPr>
          <w:rFonts w:ascii="宋体" w:hAnsi="宋体" w:eastAsia="宋体" w:cs="宋体"/>
          <w:color w:val="auto"/>
          <w:sz w:val="28"/>
          <w:szCs w:val="28"/>
        </w:rPr>
      </w:pPr>
      <w:bookmarkStart w:id="40" w:name="_Toc230773780"/>
      <w:bookmarkStart w:id="41" w:name="_Toc25477"/>
      <w:r>
        <w:rPr>
          <w:rFonts w:hint="eastAsia" w:ascii="宋体" w:hAnsi="宋体" w:eastAsia="宋体" w:cs="宋体"/>
          <w:color w:val="auto"/>
          <w:sz w:val="28"/>
          <w:szCs w:val="28"/>
        </w:rPr>
        <w:t>六、 中标和合同</w:t>
      </w:r>
      <w:bookmarkEnd w:id="40"/>
      <w:bookmarkEnd w:id="41"/>
    </w:p>
    <w:p>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履约保证金自合同签订之日起至项目验收合格之日起有效。项目验收结束后，采购人应及时将履约保证金无息退还给中标人。</w:t>
      </w:r>
    </w:p>
    <w:p>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2"/>
        <w:spacing w:line="680" w:lineRule="exact"/>
        <w:jc w:val="center"/>
        <w:rPr>
          <w:rFonts w:ascii="宋体" w:hAnsi="宋体" w:eastAsia="宋体" w:cs="宋体"/>
          <w:b w:val="0"/>
          <w:color w:val="auto"/>
        </w:rPr>
      </w:pPr>
      <w:bookmarkStart w:id="42" w:name="_Toc77407760"/>
      <w:bookmarkStart w:id="43" w:name="_Toc89248785"/>
      <w:bookmarkStart w:id="44" w:name="_Toc77410345"/>
      <w:bookmarkStart w:id="45" w:name="_Toc9513"/>
      <w:bookmarkStart w:id="46" w:name="_Toc208045865"/>
      <w:bookmarkStart w:id="47" w:name="_Toc230773781"/>
      <w:bookmarkStart w:id="48" w:name="_Toc185326503"/>
      <w:r>
        <w:rPr>
          <w:rFonts w:hint="eastAsia" w:ascii="宋体" w:hAnsi="宋体" w:eastAsia="宋体" w:cs="宋体"/>
          <w:color w:val="auto"/>
          <w:sz w:val="28"/>
          <w:szCs w:val="28"/>
        </w:rPr>
        <w:t>七、 可中止电子交易活动的情形</w:t>
      </w:r>
      <w:bookmarkEnd w:id="42"/>
      <w:bookmarkEnd w:id="43"/>
      <w:bookmarkEnd w:id="44"/>
      <w:bookmarkEnd w:id="45"/>
    </w:p>
    <w:p>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pPr>
        <w:pStyle w:val="3"/>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pPr>
        <w:pStyle w:val="3"/>
        <w:tabs>
          <w:tab w:val="clear" w:pos="840"/>
        </w:tabs>
        <w:adjustRightInd/>
        <w:snapToGrid/>
        <w:spacing w:before="340" w:after="330" w:line="600" w:lineRule="exact"/>
        <w:jc w:val="center"/>
        <w:rPr>
          <w:rFonts w:ascii="黑体" w:hAnsi="黑体" w:eastAsia="黑体"/>
          <w:bCs/>
          <w:color w:val="auto"/>
          <w:sz w:val="36"/>
          <w:szCs w:val="36"/>
        </w:rPr>
      </w:pPr>
      <w:bookmarkStart w:id="49" w:name="_Toc8176"/>
      <w:bookmarkStart w:id="50" w:name="_Toc838"/>
      <w:bookmarkStart w:id="51" w:name="_Toc230773782"/>
      <w:r>
        <w:rPr>
          <w:rFonts w:hint="eastAsia" w:ascii="黑体" w:hAnsi="黑体" w:eastAsia="黑体"/>
          <w:bCs/>
          <w:color w:val="auto"/>
          <w:sz w:val="36"/>
          <w:szCs w:val="36"/>
        </w:rPr>
        <w:t>第三部分</w:t>
      </w:r>
      <w:bookmarkEnd w:id="49"/>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0"/>
    </w:p>
    <w:bookmarkEnd w:id="51"/>
    <w:p>
      <w:pPr>
        <w:spacing w:line="460" w:lineRule="exact"/>
        <w:ind w:firstLine="541" w:firstLineChars="245"/>
        <w:rPr>
          <w:rFonts w:ascii="宋体" w:hAnsi="宋体" w:cs="宋体"/>
          <w:b/>
          <w:color w:val="auto"/>
          <w:sz w:val="22"/>
          <w:szCs w:val="22"/>
        </w:rPr>
      </w:pPr>
      <w:bookmarkStart w:id="52" w:name="_Toc2505009"/>
      <w:bookmarkStart w:id="53" w:name="_Toc230773783"/>
      <w:r>
        <w:rPr>
          <w:rFonts w:hint="eastAsia" w:ascii="宋体" w:hAnsi="宋体" w:cs="宋体"/>
          <w:b/>
          <w:color w:val="auto"/>
          <w:sz w:val="22"/>
          <w:szCs w:val="22"/>
        </w:rPr>
        <w:t>注：如甲、乙双方同意，合同格式也可以按照其他形式, 具体条款以甲方为主协商确定。但合同条款的基本内容应与以下要求的内容相一致。</w:t>
      </w:r>
    </w:p>
    <w:p>
      <w:pPr>
        <w:spacing w:line="460" w:lineRule="exact"/>
        <w:ind w:firstLine="539" w:firstLineChars="245"/>
        <w:rPr>
          <w:rFonts w:ascii="宋体" w:hAnsi="宋体" w:cs="宋体"/>
          <w:color w:val="auto"/>
          <w:sz w:val="22"/>
          <w:szCs w:val="22"/>
        </w:rPr>
      </w:pPr>
    </w:p>
    <w:p>
      <w:pPr>
        <w:spacing w:line="460" w:lineRule="exact"/>
        <w:ind w:firstLine="539" w:firstLineChars="245"/>
        <w:rPr>
          <w:rFonts w:ascii="宋体" w:hAnsi="宋体" w:cs="宋体"/>
          <w:color w:val="auto"/>
          <w:sz w:val="22"/>
          <w:szCs w:val="22"/>
        </w:rPr>
      </w:pPr>
      <w:r>
        <w:rPr>
          <w:rFonts w:hint="eastAsia" w:ascii="宋体" w:hAnsi="宋体" w:cs="宋体"/>
          <w:color w:val="auto"/>
          <w:sz w:val="22"/>
          <w:szCs w:val="22"/>
        </w:rPr>
        <w:t>甲方：</w:t>
      </w:r>
      <w:r>
        <w:rPr>
          <w:rFonts w:hint="eastAsia" w:ascii="宋体" w:hAnsi="宋体" w:cs="宋体"/>
          <w:color w:val="auto"/>
          <w:sz w:val="22"/>
          <w:szCs w:val="22"/>
          <w:u w:val="single"/>
        </w:rPr>
        <w:t xml:space="preserve">                                        </w:t>
      </w:r>
      <w:r>
        <w:rPr>
          <w:rFonts w:hint="eastAsia" w:ascii="宋体" w:hAnsi="宋体" w:cs="宋体"/>
          <w:color w:val="auto"/>
          <w:sz w:val="22"/>
          <w:szCs w:val="22"/>
        </w:rPr>
        <w:t>（采购人）</w:t>
      </w:r>
    </w:p>
    <w:p>
      <w:pPr>
        <w:spacing w:line="460" w:lineRule="exact"/>
        <w:ind w:firstLine="539" w:firstLineChars="245"/>
        <w:rPr>
          <w:rFonts w:ascii="宋体" w:hAnsi="宋体" w:cs="宋体"/>
          <w:color w:val="auto"/>
          <w:sz w:val="22"/>
          <w:szCs w:val="22"/>
        </w:rPr>
      </w:pPr>
      <w:r>
        <w:rPr>
          <w:rFonts w:hint="eastAsia" w:ascii="宋体" w:hAnsi="宋体" w:cs="宋体"/>
          <w:color w:val="auto"/>
          <w:sz w:val="22"/>
          <w:szCs w:val="22"/>
        </w:rPr>
        <w:t xml:space="preserve">乙方: </w:t>
      </w:r>
      <w:r>
        <w:rPr>
          <w:rFonts w:hint="eastAsia" w:ascii="宋体" w:hAnsi="宋体" w:cs="宋体"/>
          <w:color w:val="auto"/>
          <w:sz w:val="22"/>
          <w:szCs w:val="22"/>
          <w:u w:val="single"/>
        </w:rPr>
        <w:t xml:space="preserve">                                        </w:t>
      </w:r>
      <w:r>
        <w:rPr>
          <w:rFonts w:hint="eastAsia" w:ascii="宋体" w:hAnsi="宋体" w:cs="宋体"/>
          <w:color w:val="auto"/>
          <w:sz w:val="22"/>
          <w:szCs w:val="22"/>
        </w:rPr>
        <w:t>（中标人）</w:t>
      </w:r>
    </w:p>
    <w:p>
      <w:pPr>
        <w:spacing w:line="460" w:lineRule="exact"/>
        <w:ind w:firstLine="539" w:firstLineChars="245"/>
        <w:rPr>
          <w:rFonts w:ascii="宋体" w:hAnsi="宋体" w:cs="宋体"/>
          <w:color w:val="auto"/>
          <w:sz w:val="22"/>
          <w:szCs w:val="22"/>
        </w:rPr>
      </w:pPr>
      <w:r>
        <w:rPr>
          <w:rFonts w:hint="eastAsia" w:ascii="宋体" w:hAnsi="宋体" w:cs="宋体"/>
          <w:bCs/>
          <w:color w:val="auto"/>
          <w:sz w:val="22"/>
          <w:szCs w:val="22"/>
        </w:rPr>
        <w:t>浙江安防职业技术学院的</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（项目名称、编号）在国内以公开招标方式进行采购，经评标委员会评定</w:t>
      </w:r>
      <w:r>
        <w:rPr>
          <w:rFonts w:hint="eastAsia" w:ascii="宋体" w:hAnsi="宋体" w:cs="宋体"/>
          <w:bCs/>
          <w:color w:val="auto"/>
          <w:sz w:val="22"/>
          <w:szCs w:val="22"/>
          <w:u w:val="single"/>
        </w:rPr>
        <w:t xml:space="preserve">                 </w:t>
      </w:r>
      <w:r>
        <w:rPr>
          <w:rFonts w:hint="eastAsia" w:ascii="宋体" w:hAnsi="宋体" w:cs="宋体"/>
          <w:bCs/>
          <w:color w:val="auto"/>
          <w:sz w:val="22"/>
          <w:szCs w:val="22"/>
        </w:rPr>
        <w:t>为中标人。双方本着诚信及互利互惠的原则，同意按照下面条款和条件，签署本合同。</w:t>
      </w:r>
    </w:p>
    <w:p>
      <w:pPr>
        <w:pStyle w:val="23"/>
        <w:snapToGrid w:val="0"/>
        <w:spacing w:before="120" w:after="120" w:line="460" w:lineRule="exact"/>
        <w:ind w:firstLine="470" w:firstLineChars="213"/>
        <w:rPr>
          <w:rFonts w:hAnsi="宋体" w:cs="宋体"/>
          <w:b/>
          <w:color w:val="auto"/>
          <w:sz w:val="22"/>
          <w:szCs w:val="22"/>
        </w:rPr>
      </w:pPr>
      <w:r>
        <w:rPr>
          <w:rFonts w:hint="eastAsia" w:hAnsi="宋体" w:cs="宋体"/>
          <w:b/>
          <w:color w:val="auto"/>
          <w:sz w:val="22"/>
          <w:szCs w:val="22"/>
        </w:rPr>
        <w:t>一、</w:t>
      </w:r>
      <w:r>
        <w:rPr>
          <w:rFonts w:hint="eastAsia" w:hAnsi="宋体" w:cs="宋体"/>
          <w:b/>
          <w:snapToGrid w:val="0"/>
          <w:color w:val="auto"/>
          <w:sz w:val="22"/>
          <w:szCs w:val="22"/>
        </w:rPr>
        <w:t>货物内容</w:t>
      </w:r>
      <w:r>
        <w:rPr>
          <w:rFonts w:hint="eastAsia" w:hAnsi="宋体" w:cs="宋体"/>
          <w:b/>
          <w:color w:val="auto"/>
          <w:sz w:val="22"/>
          <w:szCs w:val="22"/>
        </w:rPr>
        <w:t>及合同价格</w:t>
      </w:r>
    </w:p>
    <w:p>
      <w:pPr>
        <w:pStyle w:val="23"/>
        <w:snapToGrid w:val="0"/>
        <w:spacing w:before="120" w:after="120" w:line="460" w:lineRule="exact"/>
        <w:ind w:right="220" w:firstLine="468" w:firstLineChars="213"/>
        <w:jc w:val="right"/>
        <w:rPr>
          <w:rFonts w:hAnsi="宋体" w:cs="宋体"/>
          <w:color w:val="auto"/>
          <w:sz w:val="22"/>
          <w:szCs w:val="22"/>
        </w:rPr>
      </w:pPr>
      <w:r>
        <w:rPr>
          <w:rFonts w:hint="eastAsia" w:hAnsi="宋体" w:cs="宋体"/>
          <w:color w:val="auto"/>
          <w:sz w:val="22"/>
          <w:szCs w:val="22"/>
        </w:rPr>
        <w:t xml:space="preserve">金额单位：元 </w:t>
      </w:r>
    </w:p>
    <w:tbl>
      <w:tblPr>
        <w:tblStyle w:val="36"/>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4" w:type="dxa"/>
            <w:vAlign w:val="center"/>
          </w:tcPr>
          <w:p>
            <w:pPr>
              <w:pStyle w:val="23"/>
              <w:snapToGrid w:val="0"/>
              <w:spacing w:before="120" w:after="120" w:line="460" w:lineRule="exact"/>
              <w:jc w:val="center"/>
              <w:rPr>
                <w:rFonts w:hAnsi="宋体" w:cs="宋体"/>
                <w:color w:val="auto"/>
                <w:sz w:val="22"/>
                <w:szCs w:val="22"/>
              </w:rPr>
            </w:pPr>
            <w:r>
              <w:rPr>
                <w:rFonts w:hint="eastAsia" w:hAnsi="宋体" w:cs="宋体"/>
                <w:color w:val="auto"/>
                <w:sz w:val="22"/>
                <w:szCs w:val="22"/>
              </w:rPr>
              <w:t>货物名称</w:t>
            </w:r>
          </w:p>
        </w:tc>
        <w:tc>
          <w:tcPr>
            <w:tcW w:w="1980" w:type="dxa"/>
            <w:vAlign w:val="center"/>
          </w:tcPr>
          <w:p>
            <w:pPr>
              <w:pStyle w:val="23"/>
              <w:snapToGrid w:val="0"/>
              <w:spacing w:before="120" w:after="120" w:line="460" w:lineRule="exact"/>
              <w:jc w:val="center"/>
              <w:rPr>
                <w:rFonts w:hAnsi="宋体" w:cs="宋体"/>
                <w:color w:val="auto"/>
                <w:sz w:val="22"/>
                <w:szCs w:val="22"/>
              </w:rPr>
            </w:pPr>
            <w:r>
              <w:rPr>
                <w:rFonts w:hint="eastAsia" w:hAnsi="宋体" w:cs="宋体"/>
                <w:color w:val="auto"/>
                <w:sz w:val="22"/>
                <w:szCs w:val="22"/>
              </w:rPr>
              <w:t>型号规格</w:t>
            </w:r>
          </w:p>
        </w:tc>
        <w:tc>
          <w:tcPr>
            <w:tcW w:w="1980" w:type="dxa"/>
            <w:vAlign w:val="center"/>
          </w:tcPr>
          <w:p>
            <w:pPr>
              <w:pStyle w:val="23"/>
              <w:snapToGrid w:val="0"/>
              <w:spacing w:before="120" w:after="120" w:line="460" w:lineRule="exact"/>
              <w:jc w:val="center"/>
              <w:rPr>
                <w:rFonts w:hAnsi="宋体" w:cs="宋体"/>
                <w:color w:val="auto"/>
                <w:sz w:val="22"/>
                <w:szCs w:val="22"/>
              </w:rPr>
            </w:pPr>
            <w:r>
              <w:rPr>
                <w:rFonts w:hint="eastAsia" w:hAnsi="宋体" w:cs="宋体"/>
                <w:color w:val="auto"/>
                <w:sz w:val="22"/>
                <w:szCs w:val="22"/>
              </w:rPr>
              <w:t>配置要求</w:t>
            </w:r>
          </w:p>
        </w:tc>
        <w:tc>
          <w:tcPr>
            <w:tcW w:w="1260" w:type="dxa"/>
            <w:vAlign w:val="center"/>
          </w:tcPr>
          <w:p>
            <w:pPr>
              <w:pStyle w:val="23"/>
              <w:snapToGrid w:val="0"/>
              <w:spacing w:before="120" w:after="120" w:line="460" w:lineRule="exact"/>
              <w:ind w:left="-108"/>
              <w:jc w:val="center"/>
              <w:rPr>
                <w:rFonts w:hAnsi="宋体" w:cs="宋体"/>
                <w:color w:val="auto"/>
                <w:sz w:val="22"/>
                <w:szCs w:val="22"/>
              </w:rPr>
            </w:pPr>
            <w:r>
              <w:rPr>
                <w:rFonts w:hint="eastAsia" w:hAnsi="宋体" w:cs="宋体"/>
                <w:color w:val="auto"/>
                <w:sz w:val="22"/>
                <w:szCs w:val="22"/>
              </w:rPr>
              <w:t>数量</w:t>
            </w:r>
          </w:p>
        </w:tc>
        <w:tc>
          <w:tcPr>
            <w:tcW w:w="1572" w:type="dxa"/>
            <w:vAlign w:val="center"/>
          </w:tcPr>
          <w:p>
            <w:pPr>
              <w:pStyle w:val="23"/>
              <w:snapToGrid w:val="0"/>
              <w:spacing w:before="120" w:after="120" w:line="460" w:lineRule="exact"/>
              <w:ind w:left="-108"/>
              <w:jc w:val="center"/>
              <w:rPr>
                <w:rFonts w:hAnsi="宋体" w:cs="宋体"/>
                <w:color w:val="auto"/>
                <w:sz w:val="22"/>
                <w:szCs w:val="22"/>
              </w:rPr>
            </w:pPr>
            <w:r>
              <w:rPr>
                <w:rFonts w:hint="eastAsia" w:hAnsi="宋体" w:cs="宋体"/>
                <w:color w:val="auto"/>
                <w:sz w:val="22"/>
                <w:szCs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74" w:type="dxa"/>
          </w:tcPr>
          <w:p>
            <w:pPr>
              <w:spacing w:line="460" w:lineRule="exact"/>
              <w:ind w:firstLine="468" w:firstLineChars="213"/>
              <w:rPr>
                <w:rFonts w:ascii="宋体" w:hAnsi="宋体" w:cs="宋体"/>
                <w:color w:val="auto"/>
                <w:sz w:val="22"/>
                <w:szCs w:val="22"/>
              </w:rPr>
            </w:pPr>
          </w:p>
        </w:tc>
        <w:tc>
          <w:tcPr>
            <w:tcW w:w="1980" w:type="dxa"/>
          </w:tcPr>
          <w:p>
            <w:pPr>
              <w:spacing w:line="460" w:lineRule="exact"/>
              <w:ind w:firstLine="468" w:firstLineChars="213"/>
              <w:rPr>
                <w:rFonts w:ascii="宋体" w:hAnsi="宋体" w:cs="宋体"/>
                <w:color w:val="auto"/>
                <w:sz w:val="22"/>
                <w:szCs w:val="22"/>
              </w:rPr>
            </w:pPr>
          </w:p>
        </w:tc>
        <w:tc>
          <w:tcPr>
            <w:tcW w:w="1980" w:type="dxa"/>
          </w:tcPr>
          <w:p>
            <w:pPr>
              <w:spacing w:line="460" w:lineRule="exact"/>
              <w:ind w:firstLine="468" w:firstLineChars="213"/>
              <w:rPr>
                <w:rFonts w:ascii="宋体" w:hAnsi="宋体" w:cs="宋体"/>
                <w:color w:val="auto"/>
                <w:sz w:val="22"/>
                <w:szCs w:val="22"/>
              </w:rPr>
            </w:pPr>
          </w:p>
        </w:tc>
        <w:tc>
          <w:tcPr>
            <w:tcW w:w="1260" w:type="dxa"/>
          </w:tcPr>
          <w:p>
            <w:pPr>
              <w:spacing w:line="460" w:lineRule="exact"/>
              <w:ind w:firstLine="468" w:firstLineChars="213"/>
              <w:rPr>
                <w:rFonts w:ascii="宋体" w:hAnsi="宋体" w:cs="宋体"/>
                <w:color w:val="auto"/>
                <w:sz w:val="22"/>
                <w:szCs w:val="22"/>
              </w:rPr>
            </w:pPr>
          </w:p>
        </w:tc>
        <w:tc>
          <w:tcPr>
            <w:tcW w:w="1572" w:type="dxa"/>
          </w:tcPr>
          <w:p>
            <w:pPr>
              <w:pStyle w:val="158"/>
              <w:spacing w:after="120" w:line="460" w:lineRule="exact"/>
              <w:ind w:firstLine="468" w:firstLineChars="213"/>
              <w:rPr>
                <w:rFonts w:hAnsi="宋体" w:cs="宋体"/>
                <w:color w:val="auto"/>
                <w:sz w:val="22"/>
                <w:szCs w:val="22"/>
              </w:rPr>
            </w:pPr>
            <w:r>
              <w:rPr>
                <w:rFonts w:hint="eastAsia" w:hAnsi="宋体" w:cs="宋体"/>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834" w:type="dxa"/>
            <w:gridSpan w:val="3"/>
          </w:tcPr>
          <w:p>
            <w:pPr>
              <w:pStyle w:val="23"/>
              <w:snapToGrid w:val="0"/>
              <w:spacing w:before="120" w:after="120" w:line="460" w:lineRule="exact"/>
              <w:ind w:firstLine="468" w:firstLineChars="213"/>
              <w:jc w:val="center"/>
              <w:rPr>
                <w:rFonts w:hAnsi="宋体" w:cs="宋体"/>
                <w:color w:val="auto"/>
                <w:sz w:val="22"/>
                <w:szCs w:val="22"/>
              </w:rPr>
            </w:pPr>
            <w:r>
              <w:rPr>
                <w:rFonts w:hint="eastAsia" w:hAnsi="宋体" w:cs="宋体"/>
                <w:color w:val="auto"/>
                <w:sz w:val="22"/>
                <w:szCs w:val="22"/>
              </w:rPr>
              <w:t>合            计</w:t>
            </w:r>
          </w:p>
        </w:tc>
        <w:tc>
          <w:tcPr>
            <w:tcW w:w="1260" w:type="dxa"/>
          </w:tcPr>
          <w:p>
            <w:pPr>
              <w:pStyle w:val="23"/>
              <w:snapToGrid w:val="0"/>
              <w:spacing w:before="120" w:after="120" w:line="460" w:lineRule="exact"/>
              <w:ind w:firstLine="468" w:firstLineChars="213"/>
              <w:jc w:val="center"/>
              <w:rPr>
                <w:rFonts w:hAnsi="宋体" w:cs="宋体"/>
                <w:color w:val="auto"/>
                <w:sz w:val="22"/>
                <w:szCs w:val="22"/>
              </w:rPr>
            </w:pPr>
          </w:p>
        </w:tc>
        <w:tc>
          <w:tcPr>
            <w:tcW w:w="1572" w:type="dxa"/>
          </w:tcPr>
          <w:p>
            <w:pPr>
              <w:pStyle w:val="158"/>
              <w:spacing w:after="120" w:line="460" w:lineRule="exact"/>
              <w:ind w:firstLine="468" w:firstLineChars="213"/>
              <w:rPr>
                <w:rFonts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666" w:type="dxa"/>
            <w:gridSpan w:val="5"/>
          </w:tcPr>
          <w:p>
            <w:pPr>
              <w:pStyle w:val="23"/>
              <w:snapToGrid w:val="0"/>
              <w:spacing w:before="120" w:after="120" w:line="460" w:lineRule="exact"/>
              <w:rPr>
                <w:rFonts w:hAnsi="宋体" w:cs="宋体"/>
                <w:color w:val="auto"/>
                <w:sz w:val="22"/>
                <w:szCs w:val="22"/>
              </w:rPr>
            </w:pPr>
            <w:r>
              <w:rPr>
                <w:rFonts w:hint="eastAsia" w:hAnsi="宋体" w:cs="宋体"/>
                <w:color w:val="auto"/>
                <w:sz w:val="22"/>
                <w:szCs w:val="22"/>
              </w:rPr>
              <w:t>合同总价大写：                              小写：￥</w:t>
            </w:r>
            <w:r>
              <w:rPr>
                <w:rFonts w:hint="eastAsia" w:hAnsi="宋体" w:cs="宋体"/>
                <w:color w:val="auto"/>
                <w:sz w:val="22"/>
                <w:szCs w:val="22"/>
                <w:u w:val="single"/>
              </w:rPr>
              <w:t xml:space="preserve">      </w:t>
            </w:r>
          </w:p>
        </w:tc>
      </w:tr>
    </w:tbl>
    <w:p>
      <w:pPr>
        <w:pStyle w:val="23"/>
        <w:snapToGrid w:val="0"/>
        <w:spacing w:line="460" w:lineRule="exact"/>
        <w:ind w:firstLine="468" w:firstLineChars="213"/>
        <w:rPr>
          <w:rFonts w:hAnsi="宋体" w:cs="宋体"/>
          <w:color w:val="auto"/>
          <w:sz w:val="22"/>
          <w:szCs w:val="22"/>
        </w:rPr>
      </w:pPr>
      <w:r>
        <w:rPr>
          <w:rFonts w:hint="eastAsia" w:hAnsi="宋体" w:cs="宋体"/>
          <w:color w:val="auto"/>
          <w:sz w:val="22"/>
          <w:szCs w:val="22"/>
        </w:rPr>
        <w:t>注：1、商品型号、数量、配置要求及使用单位地址等详见附件清单。</w:t>
      </w:r>
    </w:p>
    <w:p>
      <w:pPr>
        <w:spacing w:line="460" w:lineRule="exact"/>
        <w:ind w:firstLine="468" w:firstLineChars="213"/>
        <w:rPr>
          <w:rFonts w:ascii="宋体" w:hAnsi="宋体" w:cs="宋体"/>
          <w:color w:val="auto"/>
          <w:sz w:val="22"/>
          <w:szCs w:val="22"/>
        </w:rPr>
      </w:pPr>
      <w:r>
        <w:rPr>
          <w:rFonts w:hint="eastAsia" w:ascii="宋体" w:hAnsi="宋体" w:cs="宋体"/>
          <w:color w:val="auto"/>
          <w:sz w:val="22"/>
          <w:szCs w:val="22"/>
        </w:rPr>
        <w:t>　2、以上合同总价包含产品到达用户并能正常使用所需的一切费用。</w:t>
      </w:r>
    </w:p>
    <w:p>
      <w:pPr>
        <w:pStyle w:val="23"/>
        <w:snapToGrid w:val="0"/>
        <w:spacing w:line="460" w:lineRule="exact"/>
        <w:ind w:firstLine="470" w:firstLineChars="213"/>
        <w:rPr>
          <w:rFonts w:hAnsi="宋体" w:cs="宋体"/>
          <w:b/>
          <w:snapToGrid w:val="0"/>
          <w:color w:val="auto"/>
          <w:sz w:val="22"/>
          <w:szCs w:val="22"/>
        </w:rPr>
      </w:pPr>
      <w:r>
        <w:rPr>
          <w:rFonts w:hint="eastAsia" w:hAnsi="宋体" w:cs="宋体"/>
          <w:b/>
          <w:snapToGrid w:val="0"/>
          <w:color w:val="auto"/>
          <w:sz w:val="22"/>
          <w:szCs w:val="22"/>
        </w:rPr>
        <w:t>二、技术资料</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1、乙方应按招标文件规定的时间向甲方提供使用货物的有关技术资料。</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line="460" w:lineRule="exact"/>
        <w:ind w:firstLine="437" w:firstLineChars="198"/>
        <w:rPr>
          <w:rFonts w:hAnsi="宋体" w:cs="宋体"/>
          <w:b/>
          <w:snapToGrid w:val="0"/>
          <w:color w:val="auto"/>
          <w:sz w:val="22"/>
          <w:szCs w:val="22"/>
        </w:rPr>
      </w:pPr>
      <w:r>
        <w:rPr>
          <w:rFonts w:hint="eastAsia" w:hAnsi="宋体" w:cs="宋体"/>
          <w:b/>
          <w:snapToGrid w:val="0"/>
          <w:color w:val="auto"/>
          <w:sz w:val="22"/>
          <w:szCs w:val="22"/>
        </w:rPr>
        <w:t>三、知识产权</w:t>
      </w:r>
    </w:p>
    <w:p>
      <w:pPr>
        <w:pStyle w:val="23"/>
        <w:snapToGrid w:val="0"/>
        <w:spacing w:line="460" w:lineRule="exact"/>
        <w:ind w:firstLine="468" w:firstLineChars="213"/>
        <w:rPr>
          <w:rFonts w:hAnsi="宋体" w:cs="宋体"/>
          <w:bCs/>
          <w:snapToGrid w:val="0"/>
          <w:color w:val="auto"/>
          <w:sz w:val="22"/>
          <w:szCs w:val="22"/>
        </w:rPr>
      </w:pPr>
      <w:r>
        <w:rPr>
          <w:rFonts w:hint="eastAsia" w:hAnsi="宋体" w:cs="宋体"/>
          <w:snapToGrid w:val="0"/>
          <w:color w:val="auto"/>
          <w:sz w:val="22"/>
          <w:szCs w:val="22"/>
        </w:rPr>
        <w:t>乙方应保证所提供的货物或其任何一部分均不会侵犯任何第三方的知识产权</w:t>
      </w:r>
      <w:r>
        <w:rPr>
          <w:rFonts w:hint="eastAsia" w:hAnsi="宋体" w:cs="宋体"/>
          <w:bCs/>
          <w:snapToGrid w:val="0"/>
          <w:color w:val="auto"/>
          <w:sz w:val="22"/>
          <w:szCs w:val="22"/>
        </w:rPr>
        <w:t>。</w:t>
      </w:r>
    </w:p>
    <w:p>
      <w:pPr>
        <w:pStyle w:val="23"/>
        <w:snapToGrid w:val="0"/>
        <w:spacing w:line="460" w:lineRule="exact"/>
        <w:ind w:firstLine="437" w:firstLineChars="198"/>
        <w:rPr>
          <w:rFonts w:hAnsi="宋体" w:cs="宋体"/>
          <w:snapToGrid w:val="0"/>
          <w:color w:val="auto"/>
          <w:sz w:val="22"/>
          <w:szCs w:val="22"/>
          <w:u w:val="single"/>
        </w:rPr>
      </w:pPr>
      <w:r>
        <w:rPr>
          <w:rFonts w:hint="eastAsia" w:hAnsi="宋体" w:cs="宋体"/>
          <w:b/>
          <w:snapToGrid w:val="0"/>
          <w:color w:val="auto"/>
          <w:sz w:val="22"/>
          <w:szCs w:val="22"/>
        </w:rPr>
        <w:t>四、产权担保</w:t>
      </w:r>
    </w:p>
    <w:p>
      <w:pPr>
        <w:pStyle w:val="23"/>
        <w:snapToGrid w:val="0"/>
        <w:spacing w:line="460" w:lineRule="exact"/>
        <w:ind w:firstLine="468" w:firstLineChars="213"/>
        <w:rPr>
          <w:rFonts w:hAnsi="宋体" w:cs="宋体"/>
          <w:snapToGrid w:val="0"/>
          <w:color w:val="auto"/>
          <w:sz w:val="22"/>
          <w:szCs w:val="22"/>
          <w:u w:val="single"/>
        </w:rPr>
      </w:pPr>
      <w:r>
        <w:rPr>
          <w:rFonts w:hint="eastAsia" w:hAnsi="宋体" w:cs="宋体"/>
          <w:snapToGrid w:val="0"/>
          <w:color w:val="auto"/>
          <w:sz w:val="22"/>
          <w:szCs w:val="22"/>
        </w:rPr>
        <w:t>乙方保证所交付的货物的所有权完全属于乙方且无任何抵押、查封等产权瑕疵。</w:t>
      </w:r>
    </w:p>
    <w:p>
      <w:pPr>
        <w:pStyle w:val="23"/>
        <w:snapToGrid w:val="0"/>
        <w:spacing w:line="460" w:lineRule="exact"/>
        <w:ind w:firstLine="437" w:firstLineChars="198"/>
        <w:rPr>
          <w:rFonts w:hAnsi="宋体" w:cs="宋体"/>
          <w:b/>
          <w:snapToGrid w:val="0"/>
          <w:color w:val="auto"/>
          <w:sz w:val="22"/>
          <w:szCs w:val="22"/>
        </w:rPr>
      </w:pPr>
      <w:r>
        <w:rPr>
          <w:rFonts w:hint="eastAsia" w:hAnsi="宋体" w:cs="宋体"/>
          <w:b/>
          <w:snapToGrid w:val="0"/>
          <w:color w:val="auto"/>
          <w:sz w:val="22"/>
          <w:szCs w:val="22"/>
        </w:rPr>
        <w:t>五、转包或分包</w:t>
      </w:r>
    </w:p>
    <w:p>
      <w:pPr>
        <w:adjustRightInd w:val="0"/>
        <w:snapToGrid w:val="0"/>
        <w:spacing w:line="460" w:lineRule="exact"/>
        <w:ind w:firstLine="468" w:firstLineChars="213"/>
        <w:rPr>
          <w:rFonts w:ascii="宋体" w:hAnsi="宋体" w:cs="宋体"/>
          <w:snapToGrid w:val="0"/>
          <w:color w:val="auto"/>
          <w:sz w:val="22"/>
          <w:szCs w:val="22"/>
        </w:rPr>
      </w:pPr>
      <w:r>
        <w:rPr>
          <w:rFonts w:hint="eastAsia" w:ascii="宋体" w:hAnsi="宋体" w:cs="宋体"/>
          <w:snapToGrid w:val="0"/>
          <w:color w:val="auto"/>
          <w:sz w:val="22"/>
          <w:szCs w:val="22"/>
        </w:rPr>
        <w:t>本合同范围的货物，应由乙方直接供应，不得转让他人供应，否则，甲方有权解除合同，没收履约保证金并追究乙方的违约责任。</w:t>
      </w:r>
    </w:p>
    <w:p>
      <w:pPr>
        <w:widowControl/>
        <w:overflowPunct w:val="0"/>
        <w:autoSpaceDE w:val="0"/>
        <w:autoSpaceDN w:val="0"/>
        <w:adjustRightInd w:val="0"/>
        <w:snapToGrid w:val="0"/>
        <w:spacing w:line="460" w:lineRule="exact"/>
        <w:ind w:firstLine="470" w:firstLineChars="213"/>
        <w:jc w:val="left"/>
        <w:textAlignment w:val="baseline"/>
        <w:rPr>
          <w:rFonts w:ascii="宋体" w:hAnsi="宋体" w:cs="宋体"/>
          <w:snapToGrid w:val="0"/>
          <w:color w:val="auto"/>
          <w:sz w:val="22"/>
          <w:szCs w:val="22"/>
        </w:rPr>
      </w:pPr>
      <w:r>
        <w:rPr>
          <w:rFonts w:hint="eastAsia" w:ascii="宋体" w:hAnsi="宋体" w:cs="宋体"/>
          <w:b/>
          <w:snapToGrid w:val="0"/>
          <w:color w:val="auto"/>
          <w:sz w:val="22"/>
          <w:szCs w:val="22"/>
        </w:rPr>
        <w:t>六、质保期</w:t>
      </w:r>
    </w:p>
    <w:p>
      <w:pPr>
        <w:widowControl/>
        <w:overflowPunct w:val="0"/>
        <w:autoSpaceDE w:val="0"/>
        <w:autoSpaceDN w:val="0"/>
        <w:adjustRightInd w:val="0"/>
        <w:snapToGrid w:val="0"/>
        <w:spacing w:line="460" w:lineRule="exact"/>
        <w:ind w:firstLine="440" w:firstLineChars="200"/>
        <w:jc w:val="left"/>
        <w:textAlignment w:val="baseline"/>
        <w:rPr>
          <w:rFonts w:ascii="宋体" w:hAnsi="宋体" w:cs="宋体"/>
          <w:snapToGrid w:val="0"/>
          <w:color w:val="auto"/>
          <w:sz w:val="22"/>
          <w:szCs w:val="22"/>
        </w:rPr>
      </w:pPr>
      <w:r>
        <w:rPr>
          <w:rFonts w:hint="eastAsia" w:ascii="宋体" w:hAnsi="宋体" w:cs="宋体"/>
          <w:snapToGrid w:val="0"/>
          <w:color w:val="auto"/>
          <w:sz w:val="22"/>
          <w:szCs w:val="22"/>
        </w:rPr>
        <w:t>本项目所有产品应提供自货物验收合格并交付使用后</w:t>
      </w:r>
      <w:r>
        <w:rPr>
          <w:rFonts w:hint="eastAsia" w:ascii="宋体" w:hAnsi="宋体" w:cs="宋体"/>
          <w:snapToGrid w:val="0"/>
          <w:color w:val="auto"/>
          <w:sz w:val="22"/>
          <w:szCs w:val="22"/>
          <w:u w:val="single"/>
        </w:rPr>
        <w:t xml:space="preserve">    </w:t>
      </w:r>
      <w:r>
        <w:rPr>
          <w:rFonts w:hint="eastAsia" w:ascii="宋体" w:hAnsi="宋体" w:cs="宋体"/>
          <w:snapToGrid w:val="0"/>
          <w:color w:val="auto"/>
          <w:sz w:val="22"/>
          <w:szCs w:val="22"/>
        </w:rPr>
        <w:t>的现场免费质保期，如厂商本身承诺的产品质保期高于此要求的则按照厂商承诺执行。在质量保证期内，乙方对由于产品设计、工艺、材料、配套件的缺陷而造成的任何产品质量问题或故障负责。</w:t>
      </w:r>
    </w:p>
    <w:p>
      <w:pPr>
        <w:widowControl/>
        <w:overflowPunct w:val="0"/>
        <w:autoSpaceDE w:val="0"/>
        <w:autoSpaceDN w:val="0"/>
        <w:adjustRightInd w:val="0"/>
        <w:snapToGrid w:val="0"/>
        <w:spacing w:line="460" w:lineRule="exact"/>
        <w:ind w:firstLine="470" w:firstLineChars="213"/>
        <w:jc w:val="left"/>
        <w:textAlignment w:val="baseline"/>
        <w:rPr>
          <w:rFonts w:ascii="宋体" w:hAnsi="宋体" w:cs="宋体"/>
          <w:b/>
          <w:snapToGrid w:val="0"/>
          <w:color w:val="auto"/>
          <w:sz w:val="22"/>
          <w:szCs w:val="22"/>
        </w:rPr>
      </w:pPr>
      <w:r>
        <w:rPr>
          <w:rFonts w:hint="eastAsia" w:ascii="宋体" w:hAnsi="宋体" w:cs="宋体"/>
          <w:b/>
          <w:snapToGrid w:val="0"/>
          <w:color w:val="auto"/>
          <w:sz w:val="22"/>
          <w:szCs w:val="22"/>
        </w:rPr>
        <w:t>七、交货期、交货方式及交货地点</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1、 交货期：合同签订后</w:t>
      </w:r>
      <w:r>
        <w:rPr>
          <w:rFonts w:hint="eastAsia" w:ascii="宋体" w:hAnsi="宋体" w:cs="宋体"/>
          <w:bCs/>
          <w:snapToGrid w:val="0"/>
          <w:color w:val="auto"/>
          <w:sz w:val="22"/>
          <w:szCs w:val="22"/>
          <w:u w:val="single"/>
        </w:rPr>
        <w:t xml:space="preserve">    </w:t>
      </w:r>
      <w:r>
        <w:rPr>
          <w:rFonts w:hint="eastAsia" w:ascii="宋体" w:hAnsi="宋体" w:cs="宋体"/>
          <w:bCs/>
          <w:snapToGrid w:val="0"/>
          <w:color w:val="auto"/>
          <w:sz w:val="22"/>
          <w:szCs w:val="22"/>
        </w:rPr>
        <w:t>天内设备交付至采购人使用现场，并完成所供设备及安装调试提交一份完整的设备安装验收单或验收报告，由甲方进行验收。</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2、 交货方式：（1）现场交货：乙方负责办理运输和保险，将货物运抵甲方指定的现场并落地就位。有关运输和保险的一切费用由乙方承担。所有货物运抵现场的日期为交货日期。</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（2）在现场交货条件下，乙方在货物发运前</w:t>
      </w:r>
      <w:r>
        <w:rPr>
          <w:rFonts w:hint="eastAsia" w:ascii="宋体" w:hAnsi="宋体" w:cs="宋体"/>
          <w:bCs/>
          <w:snapToGrid w:val="0"/>
          <w:color w:val="auto"/>
          <w:sz w:val="22"/>
          <w:szCs w:val="22"/>
          <w:u w:val="single"/>
        </w:rPr>
        <w:t xml:space="preserve">    </w:t>
      </w:r>
      <w:r>
        <w:rPr>
          <w:rFonts w:hint="eastAsia" w:ascii="宋体" w:hAnsi="宋体" w:cs="宋体"/>
          <w:bCs/>
          <w:snapToGrid w:val="0"/>
          <w:color w:val="auto"/>
          <w:sz w:val="22"/>
          <w:szCs w:val="22"/>
        </w:rPr>
        <w:t>天，将要发运货物的合同号、货物名称、规格、数量、包装箱件数、重量、包装箱尺寸（长×宽×高）和货物的卸车，贮存的特殊要求以及运输工具名称以及启运日期，以传真形式通知甲方。</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（3）如因乙方延误将上述内容用传真形式通知甲方，由此引起的一切损失应由乙方承担</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
          <w:snapToGrid w:val="0"/>
          <w:color w:val="auto"/>
          <w:sz w:val="22"/>
          <w:szCs w:val="22"/>
        </w:rPr>
      </w:pPr>
      <w:r>
        <w:rPr>
          <w:rFonts w:hint="eastAsia" w:ascii="宋体" w:hAnsi="宋体" w:cs="宋体"/>
          <w:bCs/>
          <w:snapToGrid w:val="0"/>
          <w:color w:val="auto"/>
          <w:sz w:val="22"/>
          <w:szCs w:val="22"/>
        </w:rPr>
        <w:t>3、 交货地点：甲方指定地点。</w:t>
      </w:r>
    </w:p>
    <w:p>
      <w:pPr>
        <w:widowControl/>
        <w:overflowPunct w:val="0"/>
        <w:autoSpaceDE w:val="0"/>
        <w:autoSpaceDN w:val="0"/>
        <w:adjustRightInd w:val="0"/>
        <w:snapToGrid w:val="0"/>
        <w:spacing w:line="460" w:lineRule="exact"/>
        <w:ind w:firstLine="470" w:firstLineChars="213"/>
        <w:jc w:val="left"/>
        <w:textAlignment w:val="baseline"/>
        <w:rPr>
          <w:rFonts w:ascii="宋体" w:hAnsi="宋体" w:cs="宋体"/>
          <w:b/>
          <w:snapToGrid w:val="0"/>
          <w:color w:val="auto"/>
          <w:sz w:val="22"/>
          <w:szCs w:val="22"/>
        </w:rPr>
      </w:pPr>
      <w:r>
        <w:rPr>
          <w:rFonts w:hint="eastAsia" w:ascii="宋体" w:hAnsi="宋体" w:cs="宋体"/>
          <w:b/>
          <w:snapToGrid w:val="0"/>
          <w:color w:val="auto"/>
          <w:sz w:val="22"/>
          <w:szCs w:val="22"/>
        </w:rPr>
        <w:t>八、货款支付</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履约保证金：乙方在合同签订后，7个工作日内支付合同金额的1%作为履约保证金（</w:t>
      </w:r>
      <w:r>
        <w:rPr>
          <w:rFonts w:hint="eastAsia" w:ascii="宋体" w:hAnsi="宋体" w:cs="宋体"/>
          <w:color w:val="auto"/>
          <w:sz w:val="22"/>
          <w:szCs w:val="22"/>
        </w:rPr>
        <w:t>接受支票、汇票、本票、履约保函等多种非现金形式</w:t>
      </w:r>
      <w:r>
        <w:rPr>
          <w:rFonts w:hint="eastAsia" w:ascii="宋体" w:hAnsi="宋体" w:cs="宋体"/>
          <w:bCs/>
          <w:snapToGrid w:val="0"/>
          <w:color w:val="auto"/>
          <w:sz w:val="22"/>
          <w:szCs w:val="22"/>
        </w:rPr>
        <w:t>），合同期满履约验收通过后或合同解除后扣除供应商应承担的违约赔偿责任外，剩余部分返还供应商。</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支付方式：合同签订后7个工作日内，甲方向乙方支付合同总额的40%合同款作为预付款；全部设备供货完成后7个工作日内，甲方向乙方支付合同总额的50%合同款；设备安装、调试、验收合格后，甲方待收到乙方开具的正式发票后7</w:t>
      </w:r>
      <w:r>
        <w:rPr>
          <w:rFonts w:hint="eastAsia" w:ascii="宋体" w:hAnsi="宋体" w:cs="宋体"/>
          <w:bCs/>
          <w:snapToGrid w:val="0"/>
          <w:color w:val="auto"/>
          <w:sz w:val="22"/>
          <w:szCs w:val="22"/>
          <w:lang w:val="en-US" w:eastAsia="zh-CN"/>
        </w:rPr>
        <w:t>个</w:t>
      </w:r>
      <w:r>
        <w:rPr>
          <w:rFonts w:hint="eastAsia" w:ascii="宋体" w:hAnsi="宋体" w:cs="宋体"/>
          <w:bCs/>
          <w:snapToGrid w:val="0"/>
          <w:color w:val="auto"/>
          <w:sz w:val="22"/>
          <w:szCs w:val="22"/>
        </w:rPr>
        <w:t>工作日内向乙方支付剩余全部合同款。</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履约保证金的罚没：</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1、如乙方未能履行合同规定的任何义务，甲方有权从履约保证金中得到补偿。</w:t>
      </w:r>
    </w:p>
    <w:p>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rPr>
      </w:pPr>
      <w:r>
        <w:rPr>
          <w:rFonts w:hint="eastAsia" w:ascii="宋体" w:hAnsi="宋体" w:cs="宋体"/>
          <w:bCs/>
          <w:snapToGrid w:val="0"/>
          <w:color w:val="auto"/>
          <w:sz w:val="22"/>
          <w:szCs w:val="22"/>
        </w:rPr>
        <w:t>2、如果乙方毫无理由地拖延交货或拒绝履行合同规定的任何义务，履约保证金将被没收，并加收违约赔偿。</w:t>
      </w:r>
    </w:p>
    <w:p>
      <w:pPr>
        <w:adjustRightInd w:val="0"/>
        <w:snapToGrid w:val="0"/>
        <w:spacing w:line="460" w:lineRule="exact"/>
        <w:ind w:firstLine="470" w:firstLineChars="213"/>
        <w:rPr>
          <w:rFonts w:ascii="宋体" w:hAnsi="宋体" w:cs="宋体"/>
          <w:b/>
          <w:snapToGrid w:val="0"/>
          <w:color w:val="auto"/>
          <w:sz w:val="22"/>
          <w:szCs w:val="22"/>
        </w:rPr>
      </w:pPr>
      <w:r>
        <w:rPr>
          <w:rFonts w:hint="eastAsia" w:ascii="宋体" w:hAnsi="宋体" w:cs="宋体"/>
          <w:b/>
          <w:snapToGrid w:val="0"/>
          <w:color w:val="auto"/>
          <w:sz w:val="22"/>
          <w:szCs w:val="22"/>
        </w:rPr>
        <w:t>九、税费</w:t>
      </w:r>
    </w:p>
    <w:p>
      <w:pPr>
        <w:adjustRightInd w:val="0"/>
        <w:snapToGrid w:val="0"/>
        <w:spacing w:line="460" w:lineRule="exact"/>
        <w:ind w:firstLine="468" w:firstLineChars="213"/>
        <w:rPr>
          <w:rFonts w:ascii="宋体" w:hAnsi="宋体" w:cs="宋体"/>
          <w:snapToGrid w:val="0"/>
          <w:color w:val="auto"/>
          <w:sz w:val="22"/>
          <w:szCs w:val="22"/>
        </w:rPr>
      </w:pPr>
      <w:r>
        <w:rPr>
          <w:rFonts w:hint="eastAsia" w:ascii="宋体" w:hAnsi="宋体" w:cs="宋体"/>
          <w:snapToGrid w:val="0"/>
          <w:color w:val="auto"/>
          <w:sz w:val="22"/>
          <w:szCs w:val="22"/>
        </w:rPr>
        <w:t>本合同执行中相关的一切税费均由乙方负担。</w:t>
      </w:r>
    </w:p>
    <w:p>
      <w:pPr>
        <w:pStyle w:val="23"/>
        <w:snapToGrid w:val="0"/>
        <w:spacing w:line="460" w:lineRule="exact"/>
        <w:ind w:firstLine="437" w:firstLineChars="198"/>
        <w:rPr>
          <w:rFonts w:hAnsi="宋体" w:cs="宋体"/>
          <w:snapToGrid w:val="0"/>
          <w:color w:val="auto"/>
          <w:sz w:val="22"/>
          <w:szCs w:val="22"/>
        </w:rPr>
      </w:pPr>
      <w:r>
        <w:rPr>
          <w:rFonts w:hint="eastAsia" w:hAnsi="宋体" w:cs="宋体"/>
          <w:b/>
          <w:snapToGrid w:val="0"/>
          <w:color w:val="auto"/>
          <w:sz w:val="22"/>
          <w:szCs w:val="22"/>
        </w:rPr>
        <w:t>十、质量保证及售后服务</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2、 乙方提供的货物在质保期内因货物本身的质量问题发生故障，乙方应负责免费更换。对达不到技术要求者，根据实际情况，经双方协商，可按以下办法处理：</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⑴更换：由乙方承担所发生的全部费用。</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⑵贬值处理：由甲乙双方合议定价。</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⑶退货处理：乙方应退还甲方支付的合同款，同时应承担该货物的直接费用（运输、保险、检验、货款利息及银行手续费等）。</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3、 在质保期内，乙方应对货物出现的质量及安全问题负责处理解决并承担一切费用。</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4、上述的货物在质保期内免费保修，因人为因素出现的故障不在免费保修范围内。超过保修期的机器设备，终生维修，维修时只收部件成本费。</w:t>
      </w:r>
    </w:p>
    <w:p>
      <w:pPr>
        <w:pStyle w:val="23"/>
        <w:snapToGrid w:val="0"/>
        <w:spacing w:line="460" w:lineRule="exact"/>
        <w:ind w:firstLine="470" w:firstLineChars="213"/>
        <w:rPr>
          <w:rFonts w:hAnsi="宋体" w:cs="宋体"/>
          <w:b/>
          <w:snapToGrid w:val="0"/>
          <w:color w:val="auto"/>
          <w:sz w:val="22"/>
          <w:szCs w:val="22"/>
        </w:rPr>
      </w:pPr>
      <w:r>
        <w:rPr>
          <w:rFonts w:hint="eastAsia" w:hAnsi="宋体" w:cs="宋体"/>
          <w:b/>
          <w:snapToGrid w:val="0"/>
          <w:color w:val="auto"/>
          <w:sz w:val="22"/>
          <w:szCs w:val="22"/>
        </w:rPr>
        <w:t>十一、调试和验收</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1、 甲方对乙方提交的货物依据招标文件上的技术规格要求和国家有关质量标准进行现场验收。货到后，甲方需在五个工作日内验收。</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2、 乙方交货前应对产品作出全面检查和对验收文件进行整理，并列出清单，作为甲方收货验收和使用的技术条件依据，检验的结果应随货物交甲方。</w:t>
      </w:r>
    </w:p>
    <w:p>
      <w:pPr>
        <w:pStyle w:val="23"/>
        <w:snapToGrid w:val="0"/>
        <w:spacing w:line="460" w:lineRule="exact"/>
        <w:ind w:firstLine="468" w:firstLineChars="213"/>
        <w:rPr>
          <w:rFonts w:hAnsi="宋体" w:cs="宋体"/>
          <w:snapToGrid w:val="0"/>
          <w:color w:val="auto"/>
          <w:sz w:val="22"/>
          <w:szCs w:val="22"/>
          <w:u w:val="single"/>
        </w:rPr>
      </w:pPr>
      <w:r>
        <w:rPr>
          <w:rFonts w:hint="eastAsia" w:hAnsi="宋体" w:cs="宋体"/>
          <w:snapToGrid w:val="0"/>
          <w:color w:val="auto"/>
          <w:sz w:val="22"/>
          <w:szCs w:val="22"/>
        </w:rPr>
        <w:t>3、 甲方对乙方提供的货物在使用前进行调试时，乙方需负责安装并培训甲方的使用操作人员，并协助甲方一起调试，直到符合技术要求，甲方才做最终验收。</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4、 对技术复杂的货物，甲方应请国家认可的专业检测机构参与验收，并由其出具质量检测报告。</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5、 验收时乙方在现场，验收完毕后作出验收结果报告；验收费用由乙方负责。</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6、 验收办法根据《温州市政府采购履约验收办法（温财采〔2020〕6号）》的规定执行。</w:t>
      </w:r>
    </w:p>
    <w:p>
      <w:pPr>
        <w:pStyle w:val="23"/>
        <w:snapToGrid w:val="0"/>
        <w:spacing w:line="460" w:lineRule="exact"/>
        <w:ind w:firstLine="470" w:firstLineChars="213"/>
        <w:rPr>
          <w:rFonts w:hAnsi="宋体" w:cs="宋体"/>
          <w:b/>
          <w:snapToGrid w:val="0"/>
          <w:color w:val="auto"/>
          <w:sz w:val="22"/>
          <w:szCs w:val="22"/>
        </w:rPr>
      </w:pPr>
      <w:r>
        <w:rPr>
          <w:rFonts w:hint="eastAsia" w:hAnsi="宋体" w:cs="宋体"/>
          <w:b/>
          <w:snapToGrid w:val="0"/>
          <w:color w:val="auto"/>
          <w:sz w:val="22"/>
          <w:szCs w:val="22"/>
        </w:rPr>
        <w:t>十二、货物包装</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1、 乙方应在货物发运前对其进行满足运输距离、防潮、防震、防锈和防破损装卸等要求包装，以保证货物安全运达甲方指定地点。</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2、 使用说明书、质量检验证明书、随配附件和工具以及清单一并附于货物内。</w:t>
      </w:r>
    </w:p>
    <w:p>
      <w:pPr>
        <w:pStyle w:val="23"/>
        <w:snapToGrid w:val="0"/>
        <w:spacing w:line="460" w:lineRule="exact"/>
        <w:ind w:firstLine="470" w:firstLineChars="213"/>
        <w:rPr>
          <w:rFonts w:hAnsi="宋体" w:cs="宋体"/>
          <w:b/>
          <w:snapToGrid w:val="0"/>
          <w:color w:val="auto"/>
          <w:sz w:val="22"/>
          <w:szCs w:val="22"/>
        </w:rPr>
      </w:pPr>
      <w:r>
        <w:rPr>
          <w:rFonts w:hint="eastAsia" w:hAnsi="宋体" w:cs="宋体"/>
          <w:b/>
          <w:snapToGrid w:val="0"/>
          <w:color w:val="auto"/>
          <w:sz w:val="22"/>
          <w:szCs w:val="22"/>
        </w:rPr>
        <w:t>十三、违约责任</w:t>
      </w:r>
    </w:p>
    <w:p>
      <w:pPr>
        <w:pStyle w:val="23"/>
        <w:snapToGrid w:val="0"/>
        <w:spacing w:line="460" w:lineRule="exact"/>
        <w:ind w:left="1" w:firstLine="468" w:firstLineChars="213"/>
        <w:rPr>
          <w:rFonts w:hAnsi="宋体" w:cs="宋体"/>
          <w:snapToGrid w:val="0"/>
          <w:color w:val="auto"/>
          <w:sz w:val="22"/>
          <w:szCs w:val="22"/>
        </w:rPr>
      </w:pPr>
      <w:r>
        <w:rPr>
          <w:rFonts w:hint="eastAsia" w:hAnsi="宋体" w:cs="宋体"/>
          <w:snapToGrid w:val="0"/>
          <w:color w:val="auto"/>
          <w:sz w:val="22"/>
          <w:szCs w:val="22"/>
        </w:rPr>
        <w:t>1、 甲方无正当理由拒收货物的，甲方向乙方偿付拒收货款总值的百分之五违约金。</w:t>
      </w:r>
    </w:p>
    <w:p>
      <w:pPr>
        <w:pStyle w:val="23"/>
        <w:snapToGrid w:val="0"/>
        <w:spacing w:line="460" w:lineRule="exact"/>
        <w:ind w:left="1" w:firstLine="468" w:firstLineChars="213"/>
        <w:rPr>
          <w:rFonts w:hAnsi="宋体" w:cs="宋体"/>
          <w:snapToGrid w:val="0"/>
          <w:color w:val="auto"/>
          <w:sz w:val="22"/>
          <w:szCs w:val="22"/>
        </w:rPr>
      </w:pPr>
      <w:r>
        <w:rPr>
          <w:rFonts w:hint="eastAsia" w:hAnsi="宋体" w:cs="宋体"/>
          <w:snapToGrid w:val="0"/>
          <w:color w:val="auto"/>
          <w:sz w:val="22"/>
          <w:szCs w:val="22"/>
        </w:rPr>
        <w:t>2、 甲方无故逾期验收和办理货款支付手续的,甲方应按逾期付款总额每日万分之五向乙方支付违约金。</w:t>
      </w:r>
    </w:p>
    <w:p>
      <w:pPr>
        <w:pStyle w:val="23"/>
        <w:snapToGrid w:val="0"/>
        <w:spacing w:line="460" w:lineRule="exact"/>
        <w:ind w:left="1" w:firstLine="468" w:firstLineChars="213"/>
        <w:rPr>
          <w:rFonts w:hAnsi="宋体" w:cs="宋体"/>
          <w:snapToGrid w:val="0"/>
          <w:color w:val="auto"/>
          <w:sz w:val="22"/>
          <w:szCs w:val="22"/>
        </w:rPr>
      </w:pPr>
      <w:r>
        <w:rPr>
          <w:rFonts w:hint="eastAsia" w:hAnsi="宋体" w:cs="宋体"/>
          <w:snapToGrid w:val="0"/>
          <w:color w:val="auto"/>
          <w:sz w:val="22"/>
          <w:szCs w:val="22"/>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snapToGrid w:val="0"/>
        <w:spacing w:line="460" w:lineRule="exact"/>
        <w:ind w:left="1" w:firstLine="468" w:firstLineChars="213"/>
        <w:rPr>
          <w:rFonts w:hAnsi="宋体" w:cs="宋体"/>
          <w:snapToGrid w:val="0"/>
          <w:color w:val="auto"/>
          <w:sz w:val="22"/>
          <w:szCs w:val="22"/>
        </w:rPr>
      </w:pPr>
      <w:r>
        <w:rPr>
          <w:rFonts w:hint="eastAsia" w:hAnsi="宋体" w:cs="宋体"/>
          <w:snapToGrid w:val="0"/>
          <w:color w:val="auto"/>
          <w:sz w:val="22"/>
          <w:szCs w:val="22"/>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3"/>
        <w:snapToGrid w:val="0"/>
        <w:spacing w:line="460" w:lineRule="exact"/>
        <w:ind w:firstLine="470" w:firstLineChars="213"/>
        <w:rPr>
          <w:rFonts w:hAnsi="宋体" w:cs="宋体"/>
          <w:b/>
          <w:snapToGrid w:val="0"/>
          <w:color w:val="auto"/>
          <w:sz w:val="22"/>
          <w:szCs w:val="22"/>
        </w:rPr>
      </w:pPr>
      <w:r>
        <w:rPr>
          <w:rFonts w:hint="eastAsia" w:hAnsi="宋体" w:cs="宋体"/>
          <w:b/>
          <w:snapToGrid w:val="0"/>
          <w:color w:val="auto"/>
          <w:sz w:val="22"/>
          <w:szCs w:val="22"/>
        </w:rPr>
        <w:t>十四、不可抗力事件处理</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1、 在合同有效期内，任何一方因不可抗力事件导致不能履行合同，则合同履行期可延长，其延长期与不可抗力影响期相同。</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2、 不可抗力事件发生后，应立即通知对方，并寄送有关权威机构出具的证明。</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3、 不可抗力事件延续120天以上，双方应通过友好协商，确定是否继续履行合同。</w:t>
      </w:r>
    </w:p>
    <w:p>
      <w:pPr>
        <w:pStyle w:val="23"/>
        <w:snapToGrid w:val="0"/>
        <w:spacing w:line="460" w:lineRule="exact"/>
        <w:ind w:firstLine="470" w:firstLineChars="213"/>
        <w:rPr>
          <w:rFonts w:hAnsi="宋体" w:cs="宋体"/>
          <w:b/>
          <w:snapToGrid w:val="0"/>
          <w:color w:val="auto"/>
          <w:sz w:val="22"/>
          <w:szCs w:val="22"/>
        </w:rPr>
      </w:pPr>
      <w:r>
        <w:rPr>
          <w:rFonts w:hint="eastAsia" w:hAnsi="宋体" w:cs="宋体"/>
          <w:b/>
          <w:snapToGrid w:val="0"/>
          <w:color w:val="auto"/>
          <w:sz w:val="22"/>
          <w:szCs w:val="22"/>
        </w:rPr>
        <w:t>十五、诉讼</w:t>
      </w:r>
    </w:p>
    <w:p>
      <w:pPr>
        <w:pStyle w:val="23"/>
        <w:snapToGrid w:val="0"/>
        <w:spacing w:line="460" w:lineRule="exact"/>
        <w:ind w:left="2" w:firstLine="468" w:firstLineChars="213"/>
        <w:rPr>
          <w:rFonts w:hAnsi="宋体" w:cs="宋体"/>
          <w:snapToGrid w:val="0"/>
          <w:color w:val="auto"/>
          <w:sz w:val="22"/>
          <w:szCs w:val="22"/>
        </w:rPr>
      </w:pPr>
      <w:r>
        <w:rPr>
          <w:rFonts w:hint="eastAsia" w:hAnsi="宋体" w:cs="宋体"/>
          <w:snapToGrid w:val="0"/>
          <w:color w:val="auto"/>
          <w:sz w:val="22"/>
          <w:szCs w:val="22"/>
        </w:rPr>
        <w:t>双方在执行合同中所发生的一切争议，应通过协商解决。如协商不成，可向甲方所在地法院起诉。</w:t>
      </w:r>
    </w:p>
    <w:p>
      <w:pPr>
        <w:pStyle w:val="23"/>
        <w:snapToGrid w:val="0"/>
        <w:spacing w:line="460" w:lineRule="exact"/>
        <w:ind w:firstLine="470" w:firstLineChars="213"/>
        <w:rPr>
          <w:rFonts w:hAnsi="宋体" w:cs="宋体"/>
          <w:b/>
          <w:snapToGrid w:val="0"/>
          <w:color w:val="auto"/>
          <w:sz w:val="22"/>
          <w:szCs w:val="22"/>
        </w:rPr>
      </w:pPr>
      <w:r>
        <w:rPr>
          <w:rFonts w:hint="eastAsia" w:hAnsi="宋体" w:cs="宋体"/>
          <w:b/>
          <w:snapToGrid w:val="0"/>
          <w:color w:val="auto"/>
          <w:sz w:val="22"/>
          <w:szCs w:val="22"/>
        </w:rPr>
        <w:t>十六、合同生效及其它</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1、 合同经甲、乙双方签署并加盖单位公章后生效。</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2、合同执行中涉及采购资金和采购内容修改或补充的，须双方协商后并签书面补充协议，方可作为主合同不可分割的一部分。</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3、招标文件、投标响应文件与本合同具有同等法律效力。</w:t>
      </w:r>
    </w:p>
    <w:p>
      <w:pPr>
        <w:pStyle w:val="23"/>
        <w:snapToGrid w:val="0"/>
        <w:spacing w:line="460" w:lineRule="exact"/>
        <w:ind w:firstLine="440" w:firstLineChars="200"/>
        <w:rPr>
          <w:rFonts w:hAnsi="宋体" w:cs="宋体"/>
          <w:snapToGrid w:val="0"/>
          <w:color w:val="auto"/>
          <w:sz w:val="22"/>
          <w:szCs w:val="22"/>
        </w:rPr>
      </w:pPr>
      <w:r>
        <w:rPr>
          <w:rFonts w:hint="eastAsia" w:hAnsi="宋体" w:cs="宋体"/>
          <w:snapToGrid w:val="0"/>
          <w:color w:val="auto"/>
          <w:sz w:val="22"/>
          <w:szCs w:val="22"/>
        </w:rPr>
        <w:t>4、本合同未尽事宜，遵照《中华人民共和国民法典》有关条文执行。</w:t>
      </w:r>
    </w:p>
    <w:p>
      <w:pPr>
        <w:pStyle w:val="23"/>
        <w:snapToGrid w:val="0"/>
        <w:spacing w:line="460" w:lineRule="exact"/>
        <w:ind w:firstLine="468" w:firstLineChars="213"/>
        <w:rPr>
          <w:rFonts w:hAnsi="宋体" w:cs="宋体"/>
          <w:snapToGrid w:val="0"/>
          <w:color w:val="auto"/>
          <w:sz w:val="22"/>
          <w:szCs w:val="22"/>
        </w:rPr>
      </w:pPr>
      <w:r>
        <w:rPr>
          <w:rFonts w:hint="eastAsia" w:hAnsi="宋体" w:cs="宋体"/>
          <w:snapToGrid w:val="0"/>
          <w:color w:val="auto"/>
          <w:sz w:val="22"/>
          <w:szCs w:val="22"/>
        </w:rPr>
        <w:t>5、本合同壹式伍份，具有同等法律效力，甲、乙双方各执两份，一份送至采购代理机构备案。</w:t>
      </w:r>
    </w:p>
    <w:p>
      <w:pPr>
        <w:pStyle w:val="23"/>
        <w:snapToGrid w:val="0"/>
        <w:spacing w:line="460" w:lineRule="exact"/>
        <w:ind w:firstLine="468" w:firstLineChars="213"/>
        <w:rPr>
          <w:rFonts w:hAnsi="宋体" w:cs="宋体"/>
          <w:snapToGrid w:val="0"/>
          <w:color w:val="auto"/>
          <w:sz w:val="22"/>
          <w:szCs w:val="22"/>
        </w:rPr>
      </w:pPr>
    </w:p>
    <w:p>
      <w:pPr>
        <w:pStyle w:val="23"/>
        <w:snapToGrid w:val="0"/>
        <w:spacing w:line="440" w:lineRule="exact"/>
        <w:ind w:firstLine="468" w:firstLineChars="213"/>
        <w:rPr>
          <w:rFonts w:hAnsi="宋体" w:cs="宋体"/>
          <w:snapToGrid w:val="0"/>
          <w:color w:val="auto"/>
          <w:sz w:val="22"/>
          <w:szCs w:val="22"/>
        </w:rPr>
      </w:pPr>
      <w:r>
        <w:rPr>
          <w:rFonts w:hint="eastAsia" w:hAnsi="宋体" w:cs="宋体"/>
          <w:snapToGrid w:val="0"/>
          <w:color w:val="auto"/>
          <w:sz w:val="22"/>
          <w:szCs w:val="22"/>
        </w:rPr>
        <w:t>甲方（盖章）：                                 乙方（盖章）：</w:t>
      </w:r>
    </w:p>
    <w:p>
      <w:pPr>
        <w:pStyle w:val="23"/>
        <w:snapToGrid w:val="0"/>
        <w:spacing w:line="440" w:lineRule="exact"/>
        <w:ind w:firstLine="468" w:firstLineChars="213"/>
        <w:rPr>
          <w:rFonts w:hAnsi="宋体" w:cs="宋体"/>
          <w:snapToGrid w:val="0"/>
          <w:color w:val="auto"/>
          <w:sz w:val="22"/>
          <w:szCs w:val="22"/>
        </w:rPr>
      </w:pPr>
      <w:r>
        <w:rPr>
          <w:rFonts w:hint="eastAsia" w:hAnsi="宋体" w:cs="宋体"/>
          <w:snapToGrid w:val="0"/>
          <w:color w:val="auto"/>
          <w:sz w:val="22"/>
          <w:szCs w:val="22"/>
        </w:rPr>
        <w:t>地址：                                         地址：</w:t>
      </w:r>
    </w:p>
    <w:p>
      <w:pPr>
        <w:pStyle w:val="23"/>
        <w:snapToGrid w:val="0"/>
        <w:spacing w:line="440" w:lineRule="exact"/>
        <w:ind w:firstLine="468" w:firstLineChars="213"/>
        <w:rPr>
          <w:rFonts w:hAnsi="宋体" w:cs="宋体"/>
          <w:snapToGrid w:val="0"/>
          <w:color w:val="auto"/>
          <w:sz w:val="22"/>
          <w:szCs w:val="22"/>
        </w:rPr>
      </w:pPr>
      <w:r>
        <w:rPr>
          <w:rFonts w:hint="eastAsia" w:hAnsi="宋体" w:cs="宋体"/>
          <w:snapToGrid w:val="0"/>
          <w:color w:val="auto"/>
          <w:sz w:val="22"/>
          <w:szCs w:val="22"/>
        </w:rPr>
        <w:t>开户行：                                       开户行：</w:t>
      </w:r>
    </w:p>
    <w:p>
      <w:pPr>
        <w:pStyle w:val="23"/>
        <w:snapToGrid w:val="0"/>
        <w:spacing w:line="440" w:lineRule="exact"/>
        <w:ind w:firstLine="468" w:firstLineChars="213"/>
        <w:rPr>
          <w:rFonts w:hAnsi="宋体" w:cs="宋体"/>
          <w:snapToGrid w:val="0"/>
          <w:color w:val="auto"/>
          <w:sz w:val="22"/>
          <w:szCs w:val="22"/>
        </w:rPr>
      </w:pPr>
      <w:r>
        <w:rPr>
          <w:rFonts w:hint="eastAsia" w:hAnsi="宋体" w:cs="宋体"/>
          <w:snapToGrid w:val="0"/>
          <w:color w:val="auto"/>
          <w:sz w:val="22"/>
          <w:szCs w:val="22"/>
        </w:rPr>
        <w:t>开户账号：                                     开户账号：</w:t>
      </w:r>
    </w:p>
    <w:p>
      <w:pPr>
        <w:pStyle w:val="23"/>
        <w:snapToGrid w:val="0"/>
        <w:spacing w:line="440" w:lineRule="exact"/>
        <w:ind w:firstLine="468" w:firstLineChars="213"/>
        <w:rPr>
          <w:rFonts w:hAnsi="宋体" w:cs="宋体"/>
          <w:snapToGrid w:val="0"/>
          <w:color w:val="auto"/>
          <w:sz w:val="22"/>
          <w:szCs w:val="22"/>
        </w:rPr>
      </w:pPr>
      <w:r>
        <w:rPr>
          <w:rFonts w:hint="eastAsia" w:hAnsi="宋体" w:cs="宋体"/>
          <w:snapToGrid w:val="0"/>
          <w:color w:val="auto"/>
          <w:sz w:val="22"/>
          <w:szCs w:val="22"/>
        </w:rPr>
        <w:t>法定（授权）代表人：                           法定（授权）代表人：</w:t>
      </w:r>
    </w:p>
    <w:p>
      <w:pPr>
        <w:spacing w:line="440" w:lineRule="exact"/>
        <w:ind w:firstLine="440" w:firstLineChars="200"/>
        <w:rPr>
          <w:rFonts w:ascii="宋体" w:hAnsi="宋体" w:cs="宋体"/>
          <w:color w:val="auto"/>
          <w:sz w:val="22"/>
          <w:szCs w:val="22"/>
        </w:rPr>
      </w:pPr>
      <w:r>
        <w:rPr>
          <w:rFonts w:hint="eastAsia" w:ascii="宋体" w:hAnsi="宋体" w:cs="宋体"/>
          <w:snapToGrid w:val="0"/>
          <w:color w:val="auto"/>
          <w:sz w:val="22"/>
          <w:szCs w:val="22"/>
        </w:rPr>
        <w:t>签订日期：     年   月   日                    签订日期：     年   月   日</w:t>
      </w:r>
    </w:p>
    <w:p>
      <w:pPr>
        <w:jc w:val="center"/>
        <w:rPr>
          <w:rFonts w:ascii="黑体" w:hAnsi="黑体" w:eastAsia="黑体"/>
          <w:color w:val="auto"/>
          <w:sz w:val="22"/>
          <w:szCs w:val="22"/>
        </w:rPr>
      </w:pPr>
    </w:p>
    <w:p>
      <w:pPr>
        <w:jc w:val="center"/>
        <w:rPr>
          <w:rFonts w:ascii="黑体" w:hAnsi="黑体" w:eastAsia="黑体"/>
          <w:color w:val="auto"/>
          <w:sz w:val="28"/>
          <w:szCs w:val="28"/>
        </w:rPr>
      </w:pPr>
    </w:p>
    <w:p>
      <w:pPr>
        <w:jc w:val="center"/>
        <w:rPr>
          <w:rFonts w:hAnsi="宋体" w:cs="宋体"/>
          <w:b/>
          <w:bCs/>
          <w:color w:val="auto"/>
          <w:sz w:val="28"/>
          <w:szCs w:val="28"/>
        </w:rPr>
      </w:pPr>
    </w:p>
    <w:p>
      <w:pPr>
        <w:spacing w:line="430" w:lineRule="exact"/>
        <w:jc w:val="center"/>
        <w:outlineLvl w:val="0"/>
        <w:rPr>
          <w:rFonts w:ascii="黑体" w:hAnsi="黑体" w:eastAsia="黑体"/>
          <w:bCs/>
          <w:color w:val="auto"/>
          <w:sz w:val="36"/>
          <w:szCs w:val="36"/>
        </w:rPr>
      </w:pPr>
      <w:r>
        <w:rPr>
          <w:rFonts w:hint="eastAsia" w:hAnsi="宋体" w:cs="宋体"/>
          <w:bCs/>
          <w:color w:val="auto"/>
          <w:sz w:val="28"/>
          <w:szCs w:val="28"/>
        </w:rPr>
        <w:br w:type="page"/>
      </w:r>
      <w:bookmarkEnd w:id="52"/>
      <w:bookmarkStart w:id="54" w:name="_Toc24197"/>
      <w:r>
        <w:rPr>
          <w:rFonts w:hint="eastAsia" w:ascii="黑体" w:hAnsi="黑体" w:eastAsia="黑体"/>
          <w:b/>
          <w:bCs/>
          <w:color w:val="auto"/>
          <w:kern w:val="44"/>
          <w:sz w:val="36"/>
          <w:szCs w:val="36"/>
        </w:rPr>
        <w:t>第四部分  附   件</w:t>
      </w:r>
      <w:bookmarkEnd w:id="53"/>
      <w:bookmarkEnd w:id="54"/>
    </w:p>
    <w:p>
      <w:pPr>
        <w:pStyle w:val="2"/>
        <w:spacing w:line="240" w:lineRule="auto"/>
        <w:rPr>
          <w:rFonts w:ascii="宋体" w:hAnsi="宋体" w:eastAsia="宋体" w:cs="宋体"/>
          <w:color w:val="auto"/>
          <w:sz w:val="24"/>
          <w:szCs w:val="24"/>
        </w:rPr>
      </w:pPr>
      <w:bookmarkStart w:id="55" w:name="_Toc230773784"/>
      <w:bookmarkStart w:id="56" w:name="_Toc4079"/>
      <w:r>
        <w:rPr>
          <w:rFonts w:hint="eastAsia" w:ascii="宋体" w:hAnsi="宋体" w:eastAsia="宋体" w:cs="宋体"/>
          <w:color w:val="auto"/>
          <w:sz w:val="24"/>
          <w:szCs w:val="24"/>
        </w:rPr>
        <w:t>附件一 投标函</w:t>
      </w:r>
      <w:bookmarkEnd w:id="55"/>
      <w:bookmarkEnd w:id="56"/>
    </w:p>
    <w:p>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pPr>
        <w:spacing w:line="440" w:lineRule="exact"/>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bookmarkStart w:id="57" w:name="_Toc218392089"/>
      <w:bookmarkStart w:id="58" w:name="_Toc195336280"/>
      <w:bookmarkStart w:id="59"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pStyle w:val="2"/>
        <w:spacing w:line="240" w:lineRule="auto"/>
        <w:rPr>
          <w:rFonts w:ascii="宋体" w:hAnsi="宋体" w:eastAsia="宋体" w:cs="宋体"/>
          <w:color w:val="auto"/>
          <w:sz w:val="24"/>
          <w:szCs w:val="24"/>
        </w:rPr>
      </w:pPr>
      <w:bookmarkStart w:id="60" w:name="_Toc1644"/>
      <w:r>
        <w:rPr>
          <w:rFonts w:hint="eastAsia" w:ascii="宋体" w:hAnsi="宋体" w:eastAsia="宋体" w:cs="宋体"/>
          <w:color w:val="auto"/>
          <w:sz w:val="24"/>
          <w:szCs w:val="24"/>
        </w:rPr>
        <w:t>附件二</w:t>
      </w:r>
      <w:bookmarkEnd w:id="57"/>
      <w:bookmarkEnd w:id="58"/>
      <w:r>
        <w:rPr>
          <w:rFonts w:hint="eastAsia" w:ascii="宋体" w:hAnsi="宋体" w:eastAsia="宋体" w:cs="宋体"/>
          <w:color w:val="auto"/>
          <w:sz w:val="24"/>
          <w:szCs w:val="24"/>
        </w:rPr>
        <w:t xml:space="preserve"> 投标报价一览表</w:t>
      </w:r>
      <w:bookmarkEnd w:id="59"/>
      <w:bookmarkEnd w:id="60"/>
    </w:p>
    <w:p>
      <w:pPr>
        <w:pStyle w:val="17"/>
        <w:rPr>
          <w:color w:val="auto"/>
        </w:rPr>
      </w:pPr>
    </w:p>
    <w:p>
      <w:pPr>
        <w:spacing w:line="400" w:lineRule="exact"/>
        <w:jc w:val="center"/>
        <w:rPr>
          <w:rFonts w:ascii="宋体" w:hAnsi="宋体" w:cs="宋体"/>
          <w:b/>
          <w:bCs/>
          <w:color w:val="auto"/>
          <w:sz w:val="28"/>
          <w:szCs w:val="28"/>
        </w:rPr>
      </w:pPr>
      <w:bookmarkStart w:id="61" w:name="_Toc345161250"/>
      <w:bookmarkStart w:id="62" w:name="_Toc230773786"/>
      <w:bookmarkStart w:id="63" w:name="_Toc218392090"/>
      <w:bookmarkStart w:id="64" w:name="_Toc195336281"/>
      <w:bookmarkStart w:id="65" w:name="_Toc230773789"/>
      <w:r>
        <w:rPr>
          <w:rFonts w:hint="eastAsia" w:ascii="宋体" w:hAnsi="宋体" w:cs="宋体"/>
          <w:b/>
          <w:bCs/>
          <w:color w:val="auto"/>
          <w:sz w:val="28"/>
          <w:szCs w:val="28"/>
        </w:rPr>
        <w:t>投标报价一览表</w:t>
      </w:r>
    </w:p>
    <w:p>
      <w:pPr>
        <w:spacing w:line="380" w:lineRule="exact"/>
        <w:jc w:val="center"/>
        <w:rPr>
          <w:rFonts w:ascii="宋体" w:hAnsi="宋体" w:cs="宋体"/>
          <w:b/>
          <w:bCs/>
          <w:color w:val="auto"/>
          <w:sz w:val="28"/>
        </w:rPr>
      </w:pPr>
    </w:p>
    <w:p>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4"/>
        <w:gridCol w:w="595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984"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5955"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1082"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9" w:type="dxa"/>
            <w:vMerge w:val="restar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984" w:type="dxa"/>
            <w:vMerge w:val="restart"/>
            <w:vAlign w:val="center"/>
          </w:tcPr>
          <w:p>
            <w:pPr>
              <w:spacing w:line="38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工业产品生产实训室</w:t>
            </w:r>
          </w:p>
        </w:tc>
        <w:tc>
          <w:tcPr>
            <w:tcW w:w="5955" w:type="dxa"/>
            <w:vAlign w:val="center"/>
          </w:tcPr>
          <w:p>
            <w:pPr>
              <w:spacing w:line="380" w:lineRule="exact"/>
              <w:rPr>
                <w:rFonts w:ascii="宋体" w:hAnsi="宋体"/>
                <w:bCs/>
                <w:color w:val="auto"/>
                <w:sz w:val="22"/>
                <w:szCs w:val="22"/>
              </w:rPr>
            </w:pPr>
            <w:r>
              <w:rPr>
                <w:rFonts w:hint="eastAsia" w:ascii="宋体" w:hAnsi="宋体"/>
                <w:bCs/>
                <w:color w:val="auto"/>
                <w:sz w:val="22"/>
                <w:szCs w:val="22"/>
              </w:rPr>
              <w:t>小写：￥</w:t>
            </w:r>
          </w:p>
        </w:tc>
        <w:tc>
          <w:tcPr>
            <w:tcW w:w="1082" w:type="dxa"/>
            <w:vMerge w:val="restar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9" w:type="dxa"/>
            <w:vMerge w:val="continue"/>
            <w:vAlign w:val="center"/>
          </w:tcPr>
          <w:p>
            <w:pPr>
              <w:spacing w:line="380" w:lineRule="exact"/>
              <w:jc w:val="center"/>
              <w:rPr>
                <w:rFonts w:ascii="宋体" w:hAnsi="宋体" w:cs="宋体"/>
                <w:color w:val="auto"/>
                <w:sz w:val="22"/>
                <w:szCs w:val="22"/>
              </w:rPr>
            </w:pPr>
          </w:p>
        </w:tc>
        <w:tc>
          <w:tcPr>
            <w:tcW w:w="1984" w:type="dxa"/>
            <w:vMerge w:val="continue"/>
            <w:vAlign w:val="center"/>
          </w:tcPr>
          <w:p>
            <w:pPr>
              <w:spacing w:line="380" w:lineRule="exact"/>
              <w:jc w:val="center"/>
              <w:rPr>
                <w:rFonts w:ascii="宋体" w:hAnsi="宋体" w:cs="宋体"/>
                <w:color w:val="auto"/>
                <w:sz w:val="22"/>
                <w:szCs w:val="22"/>
              </w:rPr>
            </w:pPr>
          </w:p>
        </w:tc>
        <w:tc>
          <w:tcPr>
            <w:tcW w:w="5955" w:type="dxa"/>
            <w:vAlign w:val="center"/>
          </w:tcPr>
          <w:p>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1082" w:type="dxa"/>
            <w:vMerge w:val="continue"/>
            <w:vAlign w:val="center"/>
          </w:tcPr>
          <w:p>
            <w:pPr>
              <w:spacing w:line="380" w:lineRule="exact"/>
              <w:jc w:val="center"/>
              <w:rPr>
                <w:rFonts w:ascii="宋体" w:hAnsi="宋体"/>
                <w:bCs/>
                <w:color w:val="auto"/>
                <w:sz w:val="22"/>
                <w:szCs w:val="22"/>
              </w:rPr>
            </w:pPr>
          </w:p>
        </w:tc>
      </w:tr>
    </w:tbl>
    <w:p>
      <w:pPr>
        <w:spacing w:line="440" w:lineRule="exact"/>
        <w:ind w:left="528" w:leftChars="38" w:hanging="448" w:hangingChars="203"/>
        <w:rPr>
          <w:rFonts w:ascii="宋体" w:hAnsi="宋体" w:cs="宋体"/>
          <w:b/>
          <w:bCs/>
          <w:color w:val="auto"/>
          <w:sz w:val="22"/>
          <w:szCs w:val="22"/>
        </w:rPr>
      </w:pPr>
      <w:r>
        <w:rPr>
          <w:rFonts w:hint="eastAsia" w:ascii="宋体" w:hAnsi="宋体" w:cs="宋体"/>
          <w:b/>
          <w:bCs/>
          <w:color w:val="auto"/>
          <w:sz w:val="22"/>
          <w:szCs w:val="22"/>
        </w:rPr>
        <w:t>说明：</w:t>
      </w:r>
    </w:p>
    <w:p>
      <w:pPr>
        <w:spacing w:line="440" w:lineRule="exact"/>
        <w:ind w:left="521" w:leftChars="248" w:firstLine="216" w:firstLineChars="98"/>
        <w:rPr>
          <w:rFonts w:ascii="宋体" w:hAnsi="宋体"/>
          <w:b/>
          <w:bCs/>
          <w:color w:val="auto"/>
          <w:sz w:val="22"/>
          <w:szCs w:val="22"/>
        </w:rPr>
      </w:pPr>
      <w:r>
        <w:rPr>
          <w:rFonts w:hint="eastAsia" w:ascii="宋体" w:hAnsi="宋体"/>
          <w:b/>
          <w:bCs/>
          <w:color w:val="auto"/>
          <w:sz w:val="22"/>
          <w:szCs w:val="22"/>
        </w:rPr>
        <w:t>1.此栏内投标报价应与附件三“投标分项报价表”中相应总计价相一致；</w:t>
      </w:r>
    </w:p>
    <w:p>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pPr>
        <w:spacing w:line="440" w:lineRule="exact"/>
        <w:ind w:firstLine="9460" w:firstLineChars="4300"/>
        <w:rPr>
          <w:rFonts w:ascii="宋体" w:hAnsi="宋体" w:cs="宋体"/>
          <w:color w:val="auto"/>
          <w:sz w:val="22"/>
          <w:szCs w:val="22"/>
        </w:rPr>
      </w:pPr>
    </w:p>
    <w:p>
      <w:pPr>
        <w:spacing w:line="440" w:lineRule="exact"/>
        <w:ind w:firstLine="9460" w:firstLineChars="4300"/>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440" w:lineRule="exact"/>
        <w:rPr>
          <w:rFonts w:ascii="宋体" w:hAnsi="宋体" w:cs="宋体"/>
          <w:color w:val="auto"/>
          <w:sz w:val="22"/>
          <w:szCs w:val="22"/>
        </w:rPr>
      </w:pPr>
    </w:p>
    <w:p>
      <w:pPr>
        <w:pStyle w:val="2"/>
        <w:spacing w:line="240" w:lineRule="auto"/>
        <w:rPr>
          <w:rFonts w:ascii="宋体" w:hAnsi="宋体" w:eastAsia="宋体"/>
          <w:color w:val="auto"/>
          <w:sz w:val="24"/>
          <w:szCs w:val="24"/>
        </w:rPr>
      </w:pPr>
      <w:bookmarkStart w:id="66" w:name="_Toc340922814"/>
      <w:r>
        <w:rPr>
          <w:rFonts w:ascii="宋体" w:hAnsi="宋体" w:eastAsia="宋体"/>
          <w:color w:val="auto"/>
          <w:sz w:val="24"/>
          <w:szCs w:val="24"/>
        </w:rPr>
        <w:br w:type="page"/>
      </w:r>
      <w:bookmarkStart w:id="67" w:name="_Toc17976"/>
      <w:r>
        <w:rPr>
          <w:rFonts w:hint="eastAsia" w:ascii="宋体" w:hAnsi="宋体" w:eastAsia="宋体"/>
          <w:color w:val="auto"/>
          <w:sz w:val="24"/>
          <w:szCs w:val="24"/>
        </w:rPr>
        <w:t>附件三 投标分项报价表</w:t>
      </w:r>
      <w:bookmarkEnd w:id="66"/>
      <w:bookmarkEnd w:id="67"/>
    </w:p>
    <w:p>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18"/>
        <w:gridCol w:w="1070"/>
        <w:gridCol w:w="587"/>
        <w:gridCol w:w="877"/>
        <w:gridCol w:w="1264"/>
        <w:gridCol w:w="877"/>
        <w:gridCol w:w="97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2718"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1070"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58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87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1264"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87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978"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836"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1070" w:type="dxa"/>
            <w:vAlign w:val="center"/>
          </w:tcPr>
          <w:p>
            <w:pPr>
              <w:spacing w:line="380" w:lineRule="exact"/>
              <w:jc w:val="center"/>
              <w:rPr>
                <w:rFonts w:ascii="宋体" w:hAnsi="宋体"/>
                <w:bCs/>
                <w:color w:val="auto"/>
                <w:sz w:val="22"/>
                <w:szCs w:val="22"/>
              </w:rPr>
            </w:pPr>
          </w:p>
        </w:tc>
        <w:tc>
          <w:tcPr>
            <w:tcW w:w="587" w:type="dxa"/>
            <w:vAlign w:val="center"/>
          </w:tcPr>
          <w:p>
            <w:pPr>
              <w:spacing w:line="380" w:lineRule="exact"/>
              <w:jc w:val="center"/>
              <w:rPr>
                <w:rFonts w:ascii="宋体" w:hAnsi="宋体"/>
                <w:bCs/>
                <w:color w:val="auto"/>
                <w:sz w:val="22"/>
                <w:szCs w:val="22"/>
              </w:rPr>
            </w:pPr>
          </w:p>
        </w:tc>
        <w:tc>
          <w:tcPr>
            <w:tcW w:w="877" w:type="dxa"/>
            <w:vAlign w:val="center"/>
          </w:tcPr>
          <w:p>
            <w:pPr>
              <w:spacing w:line="380" w:lineRule="exact"/>
              <w:jc w:val="center"/>
              <w:rPr>
                <w:rFonts w:ascii="宋体" w:hAnsi="宋体"/>
                <w:bCs/>
                <w:color w:val="auto"/>
                <w:sz w:val="22"/>
                <w:szCs w:val="22"/>
              </w:rPr>
            </w:pPr>
          </w:p>
        </w:tc>
        <w:tc>
          <w:tcPr>
            <w:tcW w:w="1264" w:type="dxa"/>
            <w:vAlign w:val="center"/>
          </w:tcPr>
          <w:p>
            <w:pPr>
              <w:spacing w:line="380" w:lineRule="exact"/>
              <w:jc w:val="center"/>
              <w:rPr>
                <w:rFonts w:ascii="宋体" w:hAnsi="宋体"/>
                <w:bCs/>
                <w:color w:val="auto"/>
                <w:sz w:val="22"/>
                <w:szCs w:val="22"/>
              </w:rPr>
            </w:pPr>
          </w:p>
        </w:tc>
        <w:tc>
          <w:tcPr>
            <w:tcW w:w="877" w:type="dxa"/>
            <w:vAlign w:val="center"/>
          </w:tcPr>
          <w:p>
            <w:pPr>
              <w:spacing w:line="380" w:lineRule="exact"/>
              <w:jc w:val="center"/>
              <w:rPr>
                <w:rFonts w:ascii="宋体" w:hAnsi="宋体"/>
                <w:bCs/>
                <w:color w:val="auto"/>
                <w:sz w:val="22"/>
                <w:szCs w:val="22"/>
              </w:rPr>
            </w:pPr>
          </w:p>
        </w:tc>
        <w:tc>
          <w:tcPr>
            <w:tcW w:w="978" w:type="dxa"/>
            <w:vAlign w:val="center"/>
          </w:tcPr>
          <w:p>
            <w:pPr>
              <w:spacing w:line="380" w:lineRule="exact"/>
              <w:jc w:val="center"/>
              <w:rPr>
                <w:rFonts w:ascii="宋体" w:hAnsi="宋体"/>
                <w:bCs/>
                <w:color w:val="auto"/>
                <w:sz w:val="22"/>
                <w:szCs w:val="22"/>
              </w:rPr>
            </w:pPr>
          </w:p>
        </w:tc>
        <w:tc>
          <w:tcPr>
            <w:tcW w:w="836" w:type="dxa"/>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1070" w:type="dxa"/>
            <w:vAlign w:val="center"/>
          </w:tcPr>
          <w:p>
            <w:pPr>
              <w:spacing w:line="380" w:lineRule="exact"/>
              <w:jc w:val="center"/>
              <w:rPr>
                <w:rFonts w:ascii="宋体" w:hAnsi="宋体"/>
                <w:bCs/>
                <w:color w:val="auto"/>
                <w:sz w:val="22"/>
                <w:szCs w:val="22"/>
              </w:rPr>
            </w:pPr>
          </w:p>
        </w:tc>
        <w:tc>
          <w:tcPr>
            <w:tcW w:w="587" w:type="dxa"/>
            <w:vAlign w:val="center"/>
          </w:tcPr>
          <w:p>
            <w:pPr>
              <w:spacing w:line="380" w:lineRule="exact"/>
              <w:jc w:val="center"/>
              <w:rPr>
                <w:rFonts w:ascii="宋体" w:hAnsi="宋体"/>
                <w:bCs/>
                <w:color w:val="auto"/>
                <w:sz w:val="22"/>
                <w:szCs w:val="22"/>
              </w:rPr>
            </w:pPr>
          </w:p>
        </w:tc>
        <w:tc>
          <w:tcPr>
            <w:tcW w:w="877" w:type="dxa"/>
            <w:vAlign w:val="center"/>
          </w:tcPr>
          <w:p>
            <w:pPr>
              <w:spacing w:line="380" w:lineRule="exact"/>
              <w:jc w:val="center"/>
              <w:rPr>
                <w:rFonts w:ascii="宋体" w:hAnsi="宋体"/>
                <w:bCs/>
                <w:color w:val="auto"/>
                <w:sz w:val="22"/>
                <w:szCs w:val="22"/>
              </w:rPr>
            </w:pPr>
          </w:p>
        </w:tc>
        <w:tc>
          <w:tcPr>
            <w:tcW w:w="1264" w:type="dxa"/>
            <w:vAlign w:val="center"/>
          </w:tcPr>
          <w:p>
            <w:pPr>
              <w:spacing w:line="380" w:lineRule="exact"/>
              <w:jc w:val="center"/>
              <w:rPr>
                <w:rFonts w:ascii="宋体" w:hAnsi="宋体"/>
                <w:bCs/>
                <w:color w:val="auto"/>
                <w:sz w:val="22"/>
                <w:szCs w:val="22"/>
              </w:rPr>
            </w:pPr>
          </w:p>
        </w:tc>
        <w:tc>
          <w:tcPr>
            <w:tcW w:w="877" w:type="dxa"/>
            <w:vAlign w:val="center"/>
          </w:tcPr>
          <w:p>
            <w:pPr>
              <w:spacing w:line="380" w:lineRule="exact"/>
              <w:jc w:val="center"/>
              <w:rPr>
                <w:rFonts w:ascii="宋体" w:hAnsi="宋体"/>
                <w:bCs/>
                <w:color w:val="auto"/>
                <w:sz w:val="22"/>
                <w:szCs w:val="22"/>
              </w:rPr>
            </w:pPr>
          </w:p>
        </w:tc>
        <w:tc>
          <w:tcPr>
            <w:tcW w:w="978" w:type="dxa"/>
            <w:vAlign w:val="center"/>
          </w:tcPr>
          <w:p>
            <w:pPr>
              <w:spacing w:line="380" w:lineRule="exact"/>
              <w:jc w:val="center"/>
              <w:rPr>
                <w:rFonts w:ascii="宋体" w:hAnsi="宋体"/>
                <w:bCs/>
                <w:color w:val="auto"/>
                <w:sz w:val="22"/>
                <w:szCs w:val="22"/>
              </w:rPr>
            </w:pPr>
          </w:p>
        </w:tc>
        <w:tc>
          <w:tcPr>
            <w:tcW w:w="836" w:type="dxa"/>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1070" w:type="dxa"/>
            <w:vAlign w:val="center"/>
          </w:tcPr>
          <w:p>
            <w:pPr>
              <w:spacing w:line="380" w:lineRule="exact"/>
              <w:jc w:val="center"/>
              <w:rPr>
                <w:rFonts w:ascii="宋体" w:hAnsi="宋体"/>
                <w:bCs/>
                <w:color w:val="auto"/>
                <w:sz w:val="22"/>
                <w:szCs w:val="22"/>
              </w:rPr>
            </w:pPr>
          </w:p>
        </w:tc>
        <w:tc>
          <w:tcPr>
            <w:tcW w:w="587" w:type="dxa"/>
            <w:vAlign w:val="center"/>
          </w:tcPr>
          <w:p>
            <w:pPr>
              <w:spacing w:line="380" w:lineRule="exact"/>
              <w:jc w:val="center"/>
              <w:rPr>
                <w:rFonts w:ascii="宋体" w:hAnsi="宋体"/>
                <w:bCs/>
                <w:color w:val="auto"/>
                <w:sz w:val="22"/>
                <w:szCs w:val="22"/>
              </w:rPr>
            </w:pPr>
          </w:p>
        </w:tc>
        <w:tc>
          <w:tcPr>
            <w:tcW w:w="877" w:type="dxa"/>
            <w:vAlign w:val="center"/>
          </w:tcPr>
          <w:p>
            <w:pPr>
              <w:spacing w:line="380" w:lineRule="exact"/>
              <w:jc w:val="center"/>
              <w:rPr>
                <w:rFonts w:ascii="宋体" w:hAnsi="宋体"/>
                <w:bCs/>
                <w:color w:val="auto"/>
                <w:sz w:val="22"/>
                <w:szCs w:val="22"/>
              </w:rPr>
            </w:pPr>
          </w:p>
        </w:tc>
        <w:tc>
          <w:tcPr>
            <w:tcW w:w="1264" w:type="dxa"/>
            <w:vAlign w:val="center"/>
          </w:tcPr>
          <w:p>
            <w:pPr>
              <w:spacing w:line="380" w:lineRule="exact"/>
              <w:jc w:val="center"/>
              <w:rPr>
                <w:rFonts w:ascii="宋体" w:hAnsi="宋体"/>
                <w:bCs/>
                <w:color w:val="auto"/>
                <w:sz w:val="22"/>
                <w:szCs w:val="22"/>
              </w:rPr>
            </w:pPr>
          </w:p>
        </w:tc>
        <w:tc>
          <w:tcPr>
            <w:tcW w:w="877" w:type="dxa"/>
            <w:vAlign w:val="center"/>
          </w:tcPr>
          <w:p>
            <w:pPr>
              <w:spacing w:line="380" w:lineRule="exact"/>
              <w:jc w:val="center"/>
              <w:rPr>
                <w:rFonts w:ascii="宋体" w:hAnsi="宋体"/>
                <w:bCs/>
                <w:color w:val="auto"/>
                <w:sz w:val="22"/>
                <w:szCs w:val="22"/>
              </w:rPr>
            </w:pPr>
          </w:p>
        </w:tc>
        <w:tc>
          <w:tcPr>
            <w:tcW w:w="978" w:type="dxa"/>
            <w:vAlign w:val="center"/>
          </w:tcPr>
          <w:p>
            <w:pPr>
              <w:spacing w:line="380" w:lineRule="exact"/>
              <w:jc w:val="center"/>
              <w:rPr>
                <w:rFonts w:ascii="宋体" w:hAnsi="宋体"/>
                <w:bCs/>
                <w:color w:val="auto"/>
                <w:sz w:val="22"/>
                <w:szCs w:val="22"/>
              </w:rPr>
            </w:pPr>
          </w:p>
        </w:tc>
        <w:tc>
          <w:tcPr>
            <w:tcW w:w="836" w:type="dxa"/>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5653" w:type="dxa"/>
            <w:gridSpan w:val="6"/>
            <w:vAlign w:val="center"/>
          </w:tcPr>
          <w:p>
            <w:pPr>
              <w:spacing w:line="400" w:lineRule="exact"/>
              <w:jc w:val="center"/>
              <w:rPr>
                <w:rFonts w:ascii="宋体" w:hAnsi="宋体"/>
                <w:color w:val="auto"/>
                <w:sz w:val="22"/>
                <w:szCs w:val="22"/>
              </w:rPr>
            </w:pPr>
          </w:p>
        </w:tc>
        <w:tc>
          <w:tcPr>
            <w:tcW w:w="836" w:type="dxa"/>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5653" w:type="dxa"/>
            <w:gridSpan w:val="6"/>
            <w:vAlign w:val="center"/>
          </w:tcPr>
          <w:p>
            <w:pPr>
              <w:spacing w:line="400" w:lineRule="exact"/>
              <w:jc w:val="center"/>
              <w:rPr>
                <w:rFonts w:ascii="宋体" w:hAnsi="宋体"/>
                <w:color w:val="auto"/>
                <w:sz w:val="22"/>
                <w:szCs w:val="22"/>
              </w:rPr>
            </w:pPr>
          </w:p>
        </w:tc>
        <w:tc>
          <w:tcPr>
            <w:tcW w:w="836" w:type="dxa"/>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5653" w:type="dxa"/>
            <w:gridSpan w:val="6"/>
            <w:vAlign w:val="center"/>
          </w:tcPr>
          <w:p>
            <w:pPr>
              <w:spacing w:line="380" w:lineRule="exact"/>
              <w:jc w:val="center"/>
              <w:rPr>
                <w:rFonts w:ascii="宋体" w:hAnsi="宋体"/>
                <w:bCs/>
                <w:color w:val="auto"/>
                <w:sz w:val="22"/>
                <w:szCs w:val="22"/>
                <w:highlight w:val="yellow"/>
              </w:rPr>
            </w:pPr>
          </w:p>
        </w:tc>
        <w:tc>
          <w:tcPr>
            <w:tcW w:w="836" w:type="dxa"/>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7" w:type="dxa"/>
            <w:vAlign w:val="center"/>
          </w:tcPr>
          <w:p>
            <w:pPr>
              <w:spacing w:line="380" w:lineRule="exact"/>
              <w:jc w:val="center"/>
              <w:rPr>
                <w:rFonts w:ascii="宋体" w:hAnsi="宋体"/>
                <w:bCs/>
                <w:color w:val="auto"/>
                <w:sz w:val="22"/>
                <w:szCs w:val="22"/>
              </w:rPr>
            </w:pPr>
            <w:r>
              <w:rPr>
                <w:rFonts w:ascii="宋体" w:hAnsi="宋体"/>
                <w:bCs/>
                <w:color w:val="auto"/>
                <w:sz w:val="22"/>
                <w:szCs w:val="22"/>
              </w:rPr>
              <w:t>7</w:t>
            </w:r>
          </w:p>
        </w:tc>
        <w:tc>
          <w:tcPr>
            <w:tcW w:w="2718" w:type="dxa"/>
            <w:vAlign w:val="center"/>
          </w:tcPr>
          <w:p>
            <w:pPr>
              <w:spacing w:line="400" w:lineRule="exact"/>
              <w:rPr>
                <w:rFonts w:ascii="宋体" w:hAnsi="宋体"/>
                <w:color w:val="auto"/>
                <w:sz w:val="22"/>
                <w:szCs w:val="22"/>
              </w:rPr>
            </w:pPr>
            <w:r>
              <w:rPr>
                <w:rFonts w:hint="eastAsia" w:ascii="宋体" w:hAnsi="宋体"/>
                <w:color w:val="auto"/>
                <w:sz w:val="22"/>
                <w:szCs w:val="22"/>
              </w:rPr>
              <w:t>售后服务</w:t>
            </w:r>
          </w:p>
        </w:tc>
        <w:tc>
          <w:tcPr>
            <w:tcW w:w="5653" w:type="dxa"/>
            <w:gridSpan w:val="6"/>
            <w:vAlign w:val="center"/>
          </w:tcPr>
          <w:p>
            <w:pPr>
              <w:spacing w:line="380" w:lineRule="exact"/>
              <w:jc w:val="center"/>
              <w:rPr>
                <w:rFonts w:ascii="宋体" w:hAnsi="宋体"/>
                <w:bCs/>
                <w:color w:val="auto"/>
                <w:sz w:val="22"/>
                <w:szCs w:val="22"/>
              </w:rPr>
            </w:pPr>
          </w:p>
        </w:tc>
        <w:tc>
          <w:tcPr>
            <w:tcW w:w="836" w:type="dxa"/>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7" w:type="dxa"/>
            <w:vAlign w:val="center"/>
          </w:tcPr>
          <w:p>
            <w:pPr>
              <w:spacing w:line="380" w:lineRule="exact"/>
              <w:jc w:val="center"/>
              <w:rPr>
                <w:rFonts w:ascii="宋体" w:hAnsi="宋体"/>
                <w:bCs/>
                <w:color w:val="auto"/>
                <w:sz w:val="22"/>
                <w:szCs w:val="22"/>
              </w:rPr>
            </w:pPr>
            <w:r>
              <w:rPr>
                <w:rFonts w:ascii="宋体" w:hAnsi="宋体"/>
                <w:bCs/>
                <w:color w:val="auto"/>
                <w:sz w:val="22"/>
                <w:szCs w:val="22"/>
              </w:rPr>
              <w:t>8</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5653" w:type="dxa"/>
            <w:gridSpan w:val="6"/>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836" w:type="dxa"/>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7" w:type="dxa"/>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9</w:t>
            </w:r>
          </w:p>
        </w:tc>
        <w:tc>
          <w:tcPr>
            <w:tcW w:w="2718" w:type="dxa"/>
          </w:tcPr>
          <w:p>
            <w:pPr>
              <w:spacing w:line="400" w:lineRule="exact"/>
              <w:rPr>
                <w:rFonts w:ascii="宋体" w:hAnsi="宋体"/>
                <w:color w:val="auto"/>
                <w:sz w:val="22"/>
                <w:szCs w:val="22"/>
              </w:rPr>
            </w:pPr>
            <w:r>
              <w:rPr>
                <w:rFonts w:hint="eastAsia" w:ascii="宋体" w:hAnsi="宋体"/>
                <w:color w:val="auto"/>
                <w:sz w:val="22"/>
                <w:szCs w:val="22"/>
              </w:rPr>
              <w:t>其他</w:t>
            </w:r>
          </w:p>
        </w:tc>
        <w:tc>
          <w:tcPr>
            <w:tcW w:w="5653" w:type="dxa"/>
            <w:gridSpan w:val="6"/>
            <w:vAlign w:val="center"/>
          </w:tcPr>
          <w:p>
            <w:pPr>
              <w:spacing w:line="380" w:lineRule="exact"/>
              <w:jc w:val="center"/>
              <w:rPr>
                <w:rFonts w:ascii="宋体" w:hAnsi="宋体"/>
                <w:bCs/>
                <w:color w:val="auto"/>
                <w:sz w:val="22"/>
                <w:szCs w:val="22"/>
              </w:rPr>
            </w:pPr>
          </w:p>
        </w:tc>
        <w:tc>
          <w:tcPr>
            <w:tcW w:w="836" w:type="dxa"/>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5" w:type="dxa"/>
            <w:gridSpan w:val="2"/>
            <w:vAlign w:val="center"/>
          </w:tcPr>
          <w:p>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6489" w:type="dxa"/>
            <w:gridSpan w:val="7"/>
            <w:vAlign w:val="center"/>
          </w:tcPr>
          <w:p>
            <w:pPr>
              <w:spacing w:line="380" w:lineRule="exact"/>
              <w:jc w:val="center"/>
              <w:rPr>
                <w:rFonts w:ascii="宋体" w:hAnsi="宋体"/>
                <w:bCs/>
                <w:color w:val="auto"/>
                <w:sz w:val="22"/>
                <w:szCs w:val="22"/>
              </w:rPr>
            </w:pPr>
          </w:p>
        </w:tc>
      </w:tr>
    </w:tbl>
    <w:p>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pPr>
        <w:spacing w:line="440" w:lineRule="exact"/>
        <w:ind w:firstLine="720"/>
        <w:rPr>
          <w:rFonts w:ascii="宋体" w:hAnsi="宋体"/>
          <w:color w:val="auto"/>
          <w:sz w:val="22"/>
          <w:szCs w:val="22"/>
        </w:rPr>
      </w:pPr>
      <w:r>
        <w:rPr>
          <w:rFonts w:hint="eastAsia" w:ascii="宋体" w:hAnsi="宋体"/>
          <w:color w:val="auto"/>
          <w:sz w:val="22"/>
          <w:szCs w:val="22"/>
        </w:rPr>
        <w:t>3.如果免费请在该栏内注明“免”，如果含在产品价格中则填“含”，如无此项内容则填“无”，不留空白。</w:t>
      </w:r>
    </w:p>
    <w:p>
      <w:pPr>
        <w:spacing w:line="440" w:lineRule="exact"/>
        <w:ind w:firstLine="72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4.</w:t>
      </w:r>
      <w:r>
        <w:rPr>
          <w:rFonts w:hint="eastAsia" w:ascii="宋体" w:hAnsi="宋体"/>
          <w:b/>
          <w:bCs/>
          <w:color w:val="auto"/>
          <w:sz w:val="22"/>
          <w:szCs w:val="22"/>
        </w:rPr>
        <w:t>▲</w:t>
      </w:r>
      <w:r>
        <w:rPr>
          <w:rFonts w:hint="eastAsia" w:ascii="宋体" w:hAnsi="宋体" w:eastAsia="宋体"/>
          <w:color w:val="auto"/>
          <w:sz w:val="22"/>
          <w:szCs w:val="22"/>
          <w:u w:val="single"/>
          <w:lang w:val="en-US" w:eastAsia="zh-CN"/>
        </w:rPr>
        <w:t>考虑学校后期资产管理，本项目中多功能磨刀机、吸臂、数显角度仪、双人教学桌预算2.76万（供应商分项报价合计后以上报价不得超对应金额）</w:t>
      </w:r>
      <w:r>
        <w:rPr>
          <w:rFonts w:hint="eastAsia" w:ascii="宋体" w:hAnsi="宋体" w:eastAsia="宋体"/>
          <w:color w:val="auto"/>
          <w:sz w:val="22"/>
          <w:szCs w:val="22"/>
          <w:lang w:val="en-US" w:eastAsia="zh-CN"/>
        </w:rPr>
        <w:t>。</w:t>
      </w:r>
    </w:p>
    <w:p>
      <w:pPr>
        <w:pStyle w:val="16"/>
        <w:ind w:firstLine="560"/>
        <w:rPr>
          <w:rFonts w:hint="default" w:ascii="仿宋_GB2312" w:eastAsia="宋体"/>
          <w:color w:val="auto"/>
          <w:sz w:val="28"/>
          <w:szCs w:val="28"/>
          <w:lang w:val="en-US" w:eastAsia="zh-CN"/>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380" w:lineRule="exact"/>
        <w:ind w:firstLine="9460" w:firstLineChars="4300"/>
        <w:rPr>
          <w:rFonts w:ascii="宋体" w:hAnsi="宋体" w:cs="宋体"/>
          <w:color w:val="auto"/>
          <w:sz w:val="22"/>
          <w:szCs w:val="22"/>
        </w:rPr>
      </w:pPr>
    </w:p>
    <w:p>
      <w:pPr>
        <w:pStyle w:val="2"/>
        <w:spacing w:line="240" w:lineRule="auto"/>
        <w:rPr>
          <w:rFonts w:ascii="宋体" w:hAnsi="宋体" w:cs="宋体"/>
          <w:color w:val="auto"/>
          <w:sz w:val="24"/>
        </w:rPr>
      </w:pPr>
      <w:r>
        <w:rPr>
          <w:rFonts w:hint="eastAsia" w:ascii="宋体" w:hAnsi="宋体" w:cs="宋体"/>
          <w:color w:val="auto"/>
          <w:sz w:val="22"/>
          <w:szCs w:val="22"/>
        </w:rPr>
        <w:br w:type="page"/>
      </w:r>
      <w:bookmarkEnd w:id="61"/>
      <w:bookmarkEnd w:id="62"/>
      <w:bookmarkEnd w:id="63"/>
      <w:bookmarkEnd w:id="64"/>
      <w:bookmarkStart w:id="68" w:name="_Toc4800"/>
      <w:r>
        <w:rPr>
          <w:rFonts w:hint="eastAsia" w:ascii="宋体" w:hAnsi="宋体" w:eastAsia="宋体"/>
          <w:color w:val="auto"/>
          <w:sz w:val="24"/>
          <w:szCs w:val="24"/>
        </w:rPr>
        <w:t>附件四 资格证明文件</w:t>
      </w:r>
      <w:bookmarkEnd w:id="65"/>
      <w:bookmarkEnd w:id="68"/>
    </w:p>
    <w:p>
      <w:pPr>
        <w:jc w:val="center"/>
        <w:rPr>
          <w:rFonts w:ascii="宋体" w:hAnsi="宋体" w:cs="宋体"/>
          <w:b/>
          <w:color w:val="auto"/>
          <w:sz w:val="28"/>
          <w:szCs w:val="28"/>
        </w:rPr>
      </w:pPr>
      <w:r>
        <w:rPr>
          <w:rFonts w:hint="eastAsia" w:ascii="宋体" w:hAnsi="宋体" w:cs="宋体"/>
          <w:b/>
          <w:color w:val="auto"/>
          <w:sz w:val="28"/>
          <w:szCs w:val="28"/>
        </w:rPr>
        <w:t>资格证明文件</w:t>
      </w:r>
    </w:p>
    <w:p>
      <w:pPr>
        <w:spacing w:line="440" w:lineRule="exact"/>
        <w:jc w:val="center"/>
        <w:rPr>
          <w:rFonts w:ascii="宋体" w:hAnsi="宋体" w:cs="宋体"/>
          <w:b/>
          <w:color w:val="auto"/>
          <w:szCs w:val="22"/>
        </w:rPr>
      </w:pPr>
      <w:r>
        <w:rPr>
          <w:rFonts w:hint="eastAsia" w:ascii="宋体" w:hAnsi="宋体" w:cs="宋体"/>
          <w:b/>
          <w:color w:val="auto"/>
          <w:sz w:val="24"/>
        </w:rPr>
        <w:t>（1）法定代表人身份证明法定代表人、单位负责人或自然人本人的身份证明（适用于法定代表人、单位负责人或者自然人本人代表投标人参加投标）</w:t>
      </w:r>
    </w:p>
    <w:p>
      <w:pPr>
        <w:autoSpaceDE w:val="0"/>
        <w:autoSpaceDN w:val="0"/>
        <w:adjustRightInd w:val="0"/>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pPr>
        <w:autoSpaceDE w:val="0"/>
        <w:autoSpaceDN w:val="0"/>
        <w:adjustRightInd w:val="0"/>
        <w:jc w:val="left"/>
        <w:rPr>
          <w:rFonts w:ascii="宋体" w:hAnsi="宋体" w:cs="宋体"/>
          <w:color w:val="auto"/>
          <w:sz w:val="22"/>
          <w:szCs w:val="22"/>
        </w:rPr>
      </w:pPr>
    </w:p>
    <w:p>
      <w:pPr>
        <w:spacing w:line="380" w:lineRule="exact"/>
        <w:jc w:val="center"/>
        <w:rPr>
          <w:rFonts w:ascii="宋体" w:hAnsi="宋体" w:cs="宋体"/>
          <w:b/>
          <w:color w:val="auto"/>
          <w:sz w:val="24"/>
        </w:rPr>
      </w:pPr>
    </w:p>
    <w:p>
      <w:pPr>
        <w:spacing w:line="380" w:lineRule="exact"/>
        <w:rPr>
          <w:rFonts w:ascii="宋体" w:hAnsi="宋体" w:cs="宋体"/>
          <w:b/>
          <w:color w:val="auto"/>
          <w:sz w:val="24"/>
        </w:rPr>
      </w:pPr>
      <w:r>
        <w:rPr>
          <w:rFonts w:hint="eastAsia" w:ascii="宋体" w:hAnsi="宋体" w:cs="宋体"/>
          <w:b/>
          <w:color w:val="auto"/>
          <w:sz w:val="24"/>
        </w:rPr>
        <w:t>附：法定代表人身份证明</w:t>
      </w:r>
    </w:p>
    <w:p>
      <w:pPr>
        <w:spacing w:line="380" w:lineRule="exact"/>
        <w:rPr>
          <w:rFonts w:ascii="宋体" w:hAnsi="宋体" w:cs="宋体"/>
          <w:b/>
          <w:color w:val="auto"/>
          <w:sz w:val="24"/>
        </w:rPr>
      </w:pPr>
    </w:p>
    <w:tbl>
      <w:tblPr>
        <w:tblStyle w:val="36"/>
        <w:tblpPr w:leftFromText="180" w:rightFromText="180" w:vertAnchor="text" w:horzAnchor="margin" w:tblpXSpec="right" w:tblpY="100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854" w:type="dxa"/>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pPr>
        <w:spacing w:line="460" w:lineRule="exact"/>
        <w:rPr>
          <w:rFonts w:ascii="宋体" w:hAnsi="宋体" w:cs="宋体"/>
          <w:color w:val="auto"/>
          <w:sz w:val="22"/>
          <w:szCs w:val="22"/>
        </w:rPr>
      </w:pPr>
    </w:p>
    <w:p>
      <w:pPr>
        <w:spacing w:line="460" w:lineRule="exact"/>
        <w:rPr>
          <w:rFonts w:ascii="宋体" w:hAnsi="宋体" w:cs="宋体"/>
          <w:b/>
          <w:color w:val="auto"/>
          <w:sz w:val="24"/>
        </w:rPr>
      </w:pPr>
      <w:r>
        <w:rPr>
          <w:rFonts w:hint="eastAsia" w:ascii="宋体" w:hAnsi="宋体" w:cs="宋体"/>
          <w:b/>
          <w:color w:val="auto"/>
          <w:sz w:val="24"/>
        </w:rPr>
        <w:t>浙江安防职业技术学院：</w:t>
      </w:r>
    </w:p>
    <w:p>
      <w:pPr>
        <w:spacing w:line="440" w:lineRule="exact"/>
        <w:rPr>
          <w:rFonts w:ascii="宋体" w:hAnsi="宋体" w:cs="宋体"/>
          <w:color w:val="auto"/>
          <w:sz w:val="22"/>
          <w:szCs w:val="22"/>
          <w:u w:val="single"/>
        </w:rPr>
      </w:pP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pPr>
        <w:spacing w:line="440" w:lineRule="exact"/>
        <w:ind w:firstLine="295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附：</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pPr>
        <w:spacing w:line="440" w:lineRule="exact"/>
        <w:ind w:firstLine="220" w:firstLineChars="100"/>
        <w:rPr>
          <w:rFonts w:ascii="宋体" w:hAnsi="宋体" w:cs="宋体"/>
          <w:color w:val="auto"/>
          <w:sz w:val="22"/>
          <w:szCs w:val="22"/>
        </w:rPr>
      </w:pPr>
    </w:p>
    <w:tbl>
      <w:tblPr>
        <w:tblStyle w:val="36"/>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440" w:lineRule="exact"/>
        <w:rPr>
          <w:rFonts w:ascii="宋体" w:hAnsi="宋体" w:cs="宋体"/>
          <w:b/>
          <w:bCs/>
          <w:color w:val="auto"/>
          <w:sz w:val="22"/>
          <w:szCs w:val="22"/>
        </w:rPr>
      </w:pPr>
    </w:p>
    <w:p>
      <w:pPr>
        <w:spacing w:line="440" w:lineRule="exact"/>
        <w:rPr>
          <w:rFonts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pPr>
        <w:pStyle w:val="17"/>
        <w:rPr>
          <w:color w:val="auto"/>
        </w:rPr>
      </w:pPr>
    </w:p>
    <w:p>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rPr>
        <w:t>浙江安防职业技术学院、温州正风招标代理有限公司：</w:t>
      </w:r>
    </w:p>
    <w:p>
      <w:pPr>
        <w:widowControl/>
        <w:adjustRightInd w:val="0"/>
        <w:snapToGrid w:val="0"/>
        <w:spacing w:line="440" w:lineRule="exact"/>
        <w:ind w:firstLine="440" w:firstLineChars="200"/>
        <w:jc w:val="left"/>
        <w:rPr>
          <w:rFonts w:ascii="宋体" w:hAnsi="宋体" w:cs="Arial"/>
          <w:color w:val="auto"/>
          <w:sz w:val="22"/>
          <w:szCs w:val="22"/>
        </w:rPr>
      </w:pP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pPr>
        <w:pStyle w:val="17"/>
        <w:rPr>
          <w:rFonts w:ascii="宋体" w:hAnsi="宋体"/>
          <w:color w:val="auto"/>
          <w:sz w:val="22"/>
          <w:szCs w:val="22"/>
        </w:rPr>
      </w:pPr>
    </w:p>
    <w:p>
      <w:pPr>
        <w:pStyle w:val="88"/>
        <w:rPr>
          <w:rFonts w:hAnsi="宋体"/>
          <w:color w:val="auto"/>
          <w:sz w:val="22"/>
          <w:szCs w:val="22"/>
        </w:rPr>
      </w:pPr>
    </w:p>
    <w:p>
      <w:pPr>
        <w:rPr>
          <w:rFonts w:ascii="宋体" w:hAnsi="宋体"/>
          <w:color w:val="auto"/>
          <w:sz w:val="22"/>
          <w:szCs w:val="22"/>
        </w:rPr>
      </w:pPr>
    </w:p>
    <w:p>
      <w:pPr>
        <w:pStyle w:val="17"/>
        <w:rPr>
          <w:rFonts w:ascii="宋体" w:hAnsi="宋体"/>
          <w:color w:val="auto"/>
          <w:sz w:val="22"/>
          <w:szCs w:val="22"/>
        </w:rPr>
      </w:pPr>
    </w:p>
    <w:p>
      <w:pPr>
        <w:pStyle w:val="88"/>
        <w:rPr>
          <w:rFonts w:hAnsi="宋体"/>
          <w:color w:val="auto"/>
          <w:sz w:val="22"/>
          <w:szCs w:val="22"/>
        </w:rPr>
      </w:pPr>
    </w:p>
    <w:p>
      <w:pPr>
        <w:rPr>
          <w:rFonts w:ascii="宋体" w:hAnsi="宋体"/>
          <w:color w:val="auto"/>
          <w:sz w:val="22"/>
          <w:szCs w:val="22"/>
        </w:rPr>
      </w:pPr>
    </w:p>
    <w:p>
      <w:pPr>
        <w:pStyle w:val="17"/>
        <w:rPr>
          <w:rFonts w:ascii="宋体" w:hAnsi="宋体"/>
          <w:color w:val="auto"/>
          <w:sz w:val="22"/>
          <w:szCs w:val="22"/>
        </w:rPr>
      </w:pPr>
    </w:p>
    <w:p>
      <w:pPr>
        <w:pStyle w:val="88"/>
        <w:rPr>
          <w:color w:val="auto"/>
        </w:rPr>
      </w:pPr>
    </w:p>
    <w:p>
      <w:pPr>
        <w:rPr>
          <w:rFonts w:ascii="宋体" w:hAnsi="宋体" w:cs="宋体"/>
          <w:b/>
          <w:color w:val="auto"/>
          <w:sz w:val="24"/>
        </w:rPr>
      </w:pPr>
    </w:p>
    <w:p>
      <w:pPr>
        <w:spacing w:line="380" w:lineRule="exact"/>
        <w:jc w:val="center"/>
        <w:rPr>
          <w:rFonts w:ascii="宋体" w:hAnsi="宋体" w:cs="宋体"/>
          <w:b/>
          <w:color w:val="auto"/>
          <w:sz w:val="24"/>
        </w:rPr>
      </w:pPr>
      <w:bookmarkStart w:id="69" w:name="_Toc184281694"/>
      <w:bookmarkStart w:id="70" w:name="_Toc218392091"/>
      <w:bookmarkStart w:id="71" w:name="_Toc230773787"/>
      <w:bookmarkStart w:id="72" w:name="_Toc184281693"/>
    </w:p>
    <w:p>
      <w:pPr>
        <w:pStyle w:val="2"/>
        <w:spacing w:line="240" w:lineRule="auto"/>
        <w:rPr>
          <w:rFonts w:ascii="宋体" w:hAnsi="宋体" w:eastAsia="宋体" w:cs="宋体"/>
          <w:color w:val="auto"/>
          <w:sz w:val="24"/>
          <w:szCs w:val="24"/>
        </w:rPr>
      </w:pPr>
      <w:bookmarkStart w:id="73" w:name="_Toc26710"/>
      <w:r>
        <w:rPr>
          <w:rFonts w:hint="eastAsia" w:ascii="宋体" w:hAnsi="宋体" w:eastAsia="宋体" w:cs="宋体"/>
          <w:color w:val="auto"/>
          <w:sz w:val="24"/>
          <w:szCs w:val="24"/>
        </w:rPr>
        <w:t>附件</w:t>
      </w:r>
      <w:bookmarkEnd w:id="69"/>
      <w:bookmarkEnd w:id="70"/>
      <w:bookmarkEnd w:id="71"/>
      <w:r>
        <w:rPr>
          <w:rFonts w:hint="eastAsia" w:ascii="宋体" w:hAnsi="宋体" w:eastAsia="宋体" w:cs="宋体"/>
          <w:color w:val="auto"/>
          <w:sz w:val="24"/>
          <w:szCs w:val="24"/>
        </w:rPr>
        <w:t>五 商务条款、技术规格偏离表</w:t>
      </w:r>
      <w:bookmarkEnd w:id="73"/>
    </w:p>
    <w:p>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6"/>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62"/>
        <w:gridCol w:w="2095"/>
        <w:gridCol w:w="1991"/>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2" w:type="dxa"/>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cs="宋体"/>
                <w:color w:val="auto"/>
                <w:sz w:val="22"/>
              </w:rPr>
            </w:pPr>
          </w:p>
        </w:tc>
        <w:tc>
          <w:tcPr>
            <w:tcW w:w="1362"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209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991"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1866"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投标文件</w:t>
            </w:r>
          </w:p>
          <w:p>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1592"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商</w:t>
            </w:r>
          </w:p>
          <w:p>
            <w:pPr>
              <w:spacing w:line="380" w:lineRule="exact"/>
              <w:jc w:val="center"/>
              <w:rPr>
                <w:rFonts w:ascii="宋体" w:hAnsi="宋体" w:cs="宋体"/>
                <w:b/>
                <w:color w:val="auto"/>
                <w:sz w:val="22"/>
              </w:rPr>
            </w:pPr>
            <w:r>
              <w:rPr>
                <w:rFonts w:hint="eastAsia" w:ascii="宋体" w:hAnsi="宋体" w:cs="宋体"/>
                <w:b/>
                <w:color w:val="auto"/>
                <w:sz w:val="22"/>
              </w:rPr>
              <w:t>务</w:t>
            </w:r>
          </w:p>
          <w:p>
            <w:pPr>
              <w:spacing w:line="380" w:lineRule="exact"/>
              <w:jc w:val="center"/>
              <w:rPr>
                <w:rFonts w:ascii="宋体" w:hAnsi="宋体" w:cs="宋体"/>
                <w:b/>
                <w:color w:val="auto"/>
                <w:sz w:val="22"/>
              </w:rPr>
            </w:pPr>
            <w:r>
              <w:rPr>
                <w:rFonts w:hint="eastAsia" w:ascii="宋体" w:hAnsi="宋体" w:cs="宋体"/>
                <w:b/>
                <w:color w:val="auto"/>
                <w:sz w:val="22"/>
              </w:rPr>
              <w:t>条</w:t>
            </w:r>
          </w:p>
          <w:p>
            <w:pPr>
              <w:spacing w:line="380" w:lineRule="exact"/>
              <w:jc w:val="center"/>
              <w:rPr>
                <w:rFonts w:ascii="宋体" w:hAnsi="宋体" w:cs="宋体"/>
                <w:b/>
                <w:color w:val="auto"/>
                <w:sz w:val="22"/>
              </w:rPr>
            </w:pPr>
            <w:r>
              <w:rPr>
                <w:rFonts w:hint="eastAsia" w:ascii="宋体" w:hAnsi="宋体" w:cs="宋体"/>
                <w:b/>
                <w:color w:val="auto"/>
                <w:sz w:val="22"/>
              </w:rPr>
              <w:t>款</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技</w:t>
            </w:r>
          </w:p>
          <w:p>
            <w:pPr>
              <w:spacing w:line="380" w:lineRule="exact"/>
              <w:jc w:val="center"/>
              <w:rPr>
                <w:rFonts w:ascii="宋体" w:hAnsi="宋体" w:cs="宋体"/>
                <w:b/>
                <w:color w:val="auto"/>
                <w:sz w:val="22"/>
              </w:rPr>
            </w:pPr>
            <w:r>
              <w:rPr>
                <w:rFonts w:hint="eastAsia" w:ascii="宋体" w:hAnsi="宋体" w:cs="宋体"/>
                <w:b/>
                <w:color w:val="auto"/>
                <w:sz w:val="22"/>
              </w:rPr>
              <w:t>术</w:t>
            </w:r>
          </w:p>
          <w:p>
            <w:pPr>
              <w:spacing w:line="380" w:lineRule="exact"/>
              <w:jc w:val="center"/>
              <w:rPr>
                <w:rFonts w:ascii="宋体" w:hAnsi="宋体" w:cs="宋体"/>
                <w:b/>
                <w:color w:val="auto"/>
                <w:sz w:val="22"/>
              </w:rPr>
            </w:pPr>
            <w:r>
              <w:rPr>
                <w:rFonts w:hint="eastAsia" w:ascii="宋体" w:hAnsi="宋体" w:cs="宋体"/>
                <w:b/>
                <w:color w:val="auto"/>
                <w:sz w:val="22"/>
              </w:rPr>
              <w:t>规</w:t>
            </w:r>
          </w:p>
          <w:p>
            <w:pPr>
              <w:spacing w:line="380" w:lineRule="exact"/>
              <w:jc w:val="center"/>
              <w:rPr>
                <w:rFonts w:ascii="宋体" w:hAnsi="宋体" w:cs="宋体"/>
                <w:b/>
                <w:color w:val="auto"/>
                <w:sz w:val="22"/>
              </w:rPr>
            </w:pPr>
            <w:r>
              <w:rPr>
                <w:rFonts w:hint="eastAsia" w:ascii="宋体" w:hAnsi="宋体" w:cs="宋体"/>
                <w:b/>
                <w:color w:val="auto"/>
                <w:sz w:val="22"/>
              </w:rPr>
              <w:t>格</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20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bl>
    <w:p>
      <w:pPr>
        <w:pStyle w:val="23"/>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pStyle w:val="17"/>
        <w:rPr>
          <w:color w:val="auto"/>
        </w:rPr>
      </w:pPr>
    </w:p>
    <w:p>
      <w:pPr>
        <w:pStyle w:val="2"/>
        <w:spacing w:line="240" w:lineRule="auto"/>
        <w:rPr>
          <w:rFonts w:ascii="宋体" w:hAnsi="宋体" w:eastAsia="宋体" w:cs="宋体"/>
          <w:color w:val="auto"/>
          <w:sz w:val="24"/>
          <w:szCs w:val="24"/>
        </w:rPr>
      </w:pPr>
      <w:bookmarkStart w:id="74" w:name="_Toc22836"/>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74"/>
    </w:p>
    <w:p>
      <w:pPr>
        <w:numPr>
          <w:ilvl w:val="0"/>
          <w:numId w:val="1"/>
        </w:numPr>
        <w:spacing w:line="440" w:lineRule="exact"/>
        <w:jc w:val="center"/>
        <w:rPr>
          <w:rFonts w:ascii="宋体" w:hAnsi="宋体"/>
          <w:b/>
          <w:bCs/>
          <w:color w:val="auto"/>
          <w:sz w:val="28"/>
          <w:szCs w:val="28"/>
        </w:rPr>
      </w:pPr>
      <w:r>
        <w:rPr>
          <w:rFonts w:hint="eastAsia" w:ascii="宋体" w:hAnsi="宋体"/>
          <w:b/>
          <w:bCs/>
          <w:color w:val="auto"/>
          <w:sz w:val="28"/>
          <w:szCs w:val="28"/>
        </w:rPr>
        <w:t>货物成套供货清单（或详细配置清单）</w:t>
      </w:r>
    </w:p>
    <w:p>
      <w:pPr>
        <w:spacing w:line="44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bl>
    <w:p>
      <w:pPr>
        <w:spacing w:line="380" w:lineRule="exact"/>
        <w:ind w:firstLine="5963" w:firstLineChars="2700"/>
        <w:rPr>
          <w:rFonts w:ascii="宋体" w:hAnsi="宋体"/>
          <w:b/>
          <w:bCs/>
          <w:color w:val="auto"/>
          <w:sz w:val="22"/>
          <w:szCs w:val="22"/>
        </w:rPr>
      </w:pPr>
    </w:p>
    <w:p>
      <w:pPr>
        <w:spacing w:line="440" w:lineRule="exact"/>
        <w:jc w:val="center"/>
        <w:rPr>
          <w:rFonts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28"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4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234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bl>
    <w:p>
      <w:pPr>
        <w:spacing w:line="440" w:lineRule="exact"/>
        <w:jc w:val="left"/>
        <w:rPr>
          <w:rFonts w:ascii="宋体" w:hAnsi="宋体"/>
          <w:b/>
          <w:bCs/>
          <w:color w:val="auto"/>
          <w:sz w:val="22"/>
          <w:szCs w:val="22"/>
        </w:rPr>
      </w:pPr>
      <w:r>
        <w:rPr>
          <w:rFonts w:hint="eastAsia" w:ascii="宋体" w:hAnsi="宋体"/>
          <w:b/>
          <w:bCs/>
          <w:color w:val="auto"/>
          <w:sz w:val="22"/>
          <w:szCs w:val="22"/>
        </w:rPr>
        <w:t>注：投标人可按以上表格形式进行复制、附在技术标内。</w:t>
      </w:r>
    </w:p>
    <w:p>
      <w:pPr>
        <w:spacing w:line="440" w:lineRule="exact"/>
        <w:jc w:val="left"/>
        <w:rPr>
          <w:rFonts w:ascii="宋体" w:hAnsi="宋体"/>
          <w:b/>
          <w:bCs/>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spacing w:line="440" w:lineRule="exact"/>
        <w:ind w:firstLine="4400" w:firstLineChars="2000"/>
        <w:rPr>
          <w:rFonts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pPr>
        <w:pStyle w:val="2"/>
        <w:spacing w:line="240" w:lineRule="auto"/>
        <w:rPr>
          <w:rFonts w:ascii="宋体" w:hAnsi="宋体" w:eastAsia="宋体" w:cs="宋体"/>
          <w:color w:val="auto"/>
          <w:sz w:val="24"/>
          <w:szCs w:val="24"/>
        </w:rPr>
      </w:pPr>
      <w:bookmarkStart w:id="75" w:name="_Toc2082"/>
      <w:bookmarkStart w:id="76" w:name="_Toc460707936"/>
      <w:bookmarkStart w:id="77" w:name="_Toc405195141"/>
      <w:r>
        <w:rPr>
          <w:rFonts w:hint="eastAsia" w:ascii="宋体" w:hAnsi="宋体" w:eastAsia="宋体" w:cs="宋体"/>
          <w:color w:val="auto"/>
          <w:sz w:val="24"/>
          <w:szCs w:val="24"/>
        </w:rPr>
        <w:t>附件七 同类项目业绩一览表</w:t>
      </w:r>
      <w:bookmarkEnd w:id="75"/>
      <w:bookmarkEnd w:id="76"/>
    </w:p>
    <w:p>
      <w:pPr>
        <w:spacing w:line="440" w:lineRule="exact"/>
        <w:rPr>
          <w:rFonts w:ascii="宋体" w:hAnsi="宋体"/>
          <w:b/>
          <w:bCs/>
          <w:color w:val="auto"/>
          <w:sz w:val="24"/>
        </w:rPr>
      </w:pPr>
    </w:p>
    <w:p>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pPr>
        <w:spacing w:line="380" w:lineRule="exact"/>
        <w:ind w:left="-357" w:leftChars="-170" w:firstLine="216" w:firstLineChars="98"/>
        <w:rPr>
          <w:rFonts w:ascii="宋体" w:hAnsi="宋体" w:cs="宋体"/>
          <w:b/>
          <w:bCs/>
          <w:color w:val="auto"/>
          <w:sz w:val="22"/>
          <w:szCs w:val="22"/>
        </w:rPr>
      </w:pPr>
    </w:p>
    <w:p>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7"/>
        <w:gridCol w:w="1640"/>
        <w:gridCol w:w="1263"/>
        <w:gridCol w:w="134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2197" w:type="dxa"/>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1640" w:type="dxa"/>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1263" w:type="dxa"/>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1348" w:type="dxa"/>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2624" w:type="dxa"/>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pPr>
              <w:spacing w:line="380" w:lineRule="exact"/>
              <w:jc w:val="center"/>
              <w:rPr>
                <w:rFonts w:ascii="宋体" w:hAnsi="宋体" w:cs="宋体"/>
                <w:b/>
                <w:bCs/>
                <w:color w:val="auto"/>
                <w:sz w:val="22"/>
                <w:szCs w:val="22"/>
              </w:rPr>
            </w:pPr>
          </w:p>
        </w:tc>
        <w:tc>
          <w:tcPr>
            <w:tcW w:w="2197" w:type="dxa"/>
            <w:vAlign w:val="center"/>
          </w:tcPr>
          <w:p>
            <w:pPr>
              <w:spacing w:line="380" w:lineRule="exact"/>
              <w:jc w:val="center"/>
              <w:rPr>
                <w:rFonts w:ascii="宋体" w:hAnsi="宋体" w:cs="宋体"/>
                <w:b/>
                <w:bCs/>
                <w:color w:val="auto"/>
                <w:sz w:val="22"/>
                <w:szCs w:val="22"/>
              </w:rPr>
            </w:pPr>
          </w:p>
        </w:tc>
        <w:tc>
          <w:tcPr>
            <w:tcW w:w="1640" w:type="dxa"/>
            <w:vAlign w:val="center"/>
          </w:tcPr>
          <w:p>
            <w:pPr>
              <w:spacing w:line="380" w:lineRule="exact"/>
              <w:jc w:val="center"/>
              <w:rPr>
                <w:rFonts w:ascii="宋体" w:hAnsi="宋体" w:cs="宋体"/>
                <w:b/>
                <w:bCs/>
                <w:color w:val="auto"/>
                <w:sz w:val="22"/>
                <w:szCs w:val="22"/>
              </w:rPr>
            </w:pPr>
          </w:p>
        </w:tc>
        <w:tc>
          <w:tcPr>
            <w:tcW w:w="1263" w:type="dxa"/>
            <w:vAlign w:val="center"/>
          </w:tcPr>
          <w:p>
            <w:pPr>
              <w:spacing w:line="380" w:lineRule="exact"/>
              <w:jc w:val="center"/>
              <w:rPr>
                <w:rFonts w:ascii="宋体" w:hAnsi="宋体" w:cs="宋体"/>
                <w:b/>
                <w:bCs/>
                <w:color w:val="auto"/>
                <w:sz w:val="22"/>
                <w:szCs w:val="22"/>
              </w:rPr>
            </w:pPr>
          </w:p>
        </w:tc>
        <w:tc>
          <w:tcPr>
            <w:tcW w:w="1348" w:type="dxa"/>
            <w:vAlign w:val="center"/>
          </w:tcPr>
          <w:p>
            <w:pPr>
              <w:spacing w:line="380" w:lineRule="exact"/>
              <w:jc w:val="center"/>
              <w:rPr>
                <w:rFonts w:ascii="宋体" w:hAnsi="宋体" w:cs="宋体"/>
                <w:b/>
                <w:bCs/>
                <w:color w:val="auto"/>
                <w:sz w:val="22"/>
                <w:szCs w:val="22"/>
              </w:rPr>
            </w:pPr>
          </w:p>
        </w:tc>
        <w:tc>
          <w:tcPr>
            <w:tcW w:w="2624" w:type="dxa"/>
            <w:vAlign w:val="center"/>
          </w:tcPr>
          <w:p>
            <w:pPr>
              <w:spacing w:line="380" w:lineRule="exact"/>
              <w:jc w:val="center"/>
              <w:rPr>
                <w:rFonts w:ascii="宋体" w:hAnsi="宋体" w:cs="宋体"/>
                <w:b/>
                <w:bCs/>
                <w:color w:val="auto"/>
                <w:sz w:val="22"/>
                <w:szCs w:val="22"/>
              </w:rPr>
            </w:pPr>
          </w:p>
        </w:tc>
      </w:tr>
    </w:tbl>
    <w:p>
      <w:pPr>
        <w:spacing w:line="440" w:lineRule="exact"/>
        <w:rPr>
          <w:rFonts w:ascii="宋体" w:hAnsi="宋体" w:cs="宋体"/>
          <w:b/>
          <w:color w:val="auto"/>
          <w:sz w:val="22"/>
          <w:szCs w:val="22"/>
        </w:rPr>
      </w:pPr>
      <w:bookmarkStart w:id="78" w:name="_Toc469730741"/>
      <w:bookmarkStart w:id="79" w:name="_Toc480204650"/>
      <w:bookmarkStart w:id="80" w:name="_Toc54034498"/>
      <w:bookmarkStart w:id="81" w:name="_Toc13603237"/>
      <w:bookmarkStart w:id="82" w:name="_Toc82417917"/>
      <w:r>
        <w:rPr>
          <w:rFonts w:hint="eastAsia" w:ascii="宋体" w:hAnsi="宋体" w:cs="宋体"/>
          <w:b/>
          <w:color w:val="auto"/>
          <w:sz w:val="22"/>
          <w:szCs w:val="22"/>
        </w:rPr>
        <w:t>注：根据商务技术评分要求提供证明材料。</w:t>
      </w:r>
    </w:p>
    <w:p>
      <w:pPr>
        <w:tabs>
          <w:tab w:val="left" w:pos="720"/>
          <w:tab w:val="left" w:pos="1260"/>
          <w:tab w:val="left" w:pos="5355"/>
        </w:tabs>
        <w:spacing w:line="430" w:lineRule="exact"/>
        <w:rPr>
          <w:rFonts w:ascii="宋体" w:hAnsi="宋体" w:cs="宋体"/>
          <w:bCs/>
          <w:color w:val="auto"/>
          <w:sz w:val="22"/>
          <w:szCs w:val="22"/>
        </w:rPr>
      </w:pPr>
    </w:p>
    <w:p>
      <w:pPr>
        <w:spacing w:line="440" w:lineRule="exact"/>
        <w:ind w:firstLine="4400" w:firstLineChars="2000"/>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ind w:firstLine="4400" w:firstLineChars="2000"/>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78"/>
    <w:bookmarkEnd w:id="79"/>
    <w:bookmarkEnd w:id="80"/>
    <w:bookmarkEnd w:id="81"/>
    <w:bookmarkEnd w:id="82"/>
    <w:p>
      <w:pPr>
        <w:pStyle w:val="88"/>
        <w:rPr>
          <w:color w:val="auto"/>
        </w:rPr>
      </w:pPr>
    </w:p>
    <w:p>
      <w:pPr>
        <w:pStyle w:val="2"/>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83" w:name="_Toc524273184"/>
      <w:bookmarkStart w:id="84" w:name="_Toc10560"/>
      <w:bookmarkStart w:id="85" w:name="_Toc20385"/>
      <w:bookmarkStart w:id="86" w:name="_Toc40035657"/>
      <w:bookmarkStart w:id="87" w:name="_Toc13171"/>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83"/>
      <w:bookmarkEnd w:id="84"/>
      <w:bookmarkEnd w:id="85"/>
      <w:bookmarkEnd w:id="86"/>
      <w:bookmarkEnd w:id="87"/>
    </w:p>
    <w:p>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pPr>
        <w:spacing w:line="440" w:lineRule="atLeast"/>
        <w:jc w:val="left"/>
        <w:rPr>
          <w:rFonts w:ascii="宋体" w:hAnsi="宋体"/>
          <w:b/>
          <w:color w:val="auto"/>
          <w:sz w:val="22"/>
        </w:rPr>
      </w:pPr>
      <w:r>
        <w:rPr>
          <w:rFonts w:hint="eastAsia" w:ascii="宋体" w:hAnsi="宋体"/>
          <w:b/>
          <w:color w:val="auto"/>
          <w:sz w:val="22"/>
        </w:rPr>
        <w:t>（1）符合中小企业划分标准；</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享受小微企业价格折扣应提供以下证明材料（报价文件中）</w:t>
      </w:r>
      <w:r>
        <w:rPr>
          <w:rFonts w:hint="eastAsia" w:ascii="宋体" w:hAnsi="宋体"/>
          <w:color w:val="auto"/>
          <w:sz w:val="22"/>
        </w:rPr>
        <w:t>：</w:t>
      </w:r>
    </w:p>
    <w:p>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rPr>
        <w:t>报价文件中，不提供的不享受价格折扣）</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享受残疾人福利性单位格折扣应提供以下证明材料（报价文件中，不提供的不享受价格折扣）</w:t>
      </w:r>
      <w:r>
        <w:rPr>
          <w:rFonts w:hint="eastAsia" w:ascii="宋体" w:hAnsi="宋体"/>
          <w:color w:val="auto"/>
          <w:sz w:val="22"/>
        </w:rPr>
        <w:t>：</w:t>
      </w:r>
    </w:p>
    <w:p>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pPr>
        <w:pStyle w:val="17"/>
        <w:spacing w:line="440" w:lineRule="exact"/>
        <w:ind w:left="860"/>
        <w:jc w:val="center"/>
        <w:rPr>
          <w:rFonts w:ascii="宋体" w:hAnsi="宋体"/>
          <w:b/>
          <w:bCs/>
          <w:color w:val="auto"/>
          <w:sz w:val="24"/>
        </w:rPr>
      </w:pPr>
      <w:r>
        <w:rPr>
          <w:rFonts w:ascii="宋体" w:hAnsi="宋体"/>
          <w:b/>
          <w:bCs/>
          <w:color w:val="auto"/>
          <w:sz w:val="24"/>
        </w:rPr>
        <w:t>中小企业声明函（货物）</w:t>
      </w:r>
    </w:p>
    <w:p>
      <w:pPr>
        <w:pStyle w:val="17"/>
        <w:spacing w:line="440" w:lineRule="exact"/>
        <w:rPr>
          <w:rFonts w:ascii="宋体" w:hAnsi="宋体"/>
          <w:b/>
          <w:color w:val="auto"/>
          <w:sz w:val="22"/>
          <w:szCs w:val="22"/>
        </w:rPr>
      </w:pPr>
    </w:p>
    <w:p>
      <w:pPr>
        <w:pStyle w:val="17"/>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w:t>
      </w:r>
      <w:r>
        <w:rPr>
          <w:rFonts w:hint="eastAsia" w:ascii="宋体" w:hAnsi="宋体"/>
          <w:color w:val="auto"/>
          <w:sz w:val="22"/>
          <w:szCs w:val="22"/>
          <w:u w:val="single"/>
        </w:rPr>
        <w:t>工业</w:t>
      </w:r>
      <w:r>
        <w:rPr>
          <w:rFonts w:ascii="宋体" w:hAnsi="宋体"/>
          <w:color w:val="auto"/>
          <w:sz w:val="22"/>
          <w:szCs w:val="22"/>
          <w:u w:val="single"/>
        </w:rPr>
        <w:t>）行业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pPr>
        <w:pStyle w:val="17"/>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pPr>
        <w:pStyle w:val="17"/>
        <w:spacing w:line="480" w:lineRule="exact"/>
        <w:ind w:left="860"/>
        <w:rPr>
          <w:rFonts w:ascii="宋体" w:hAnsi="宋体"/>
          <w:color w:val="auto"/>
          <w:sz w:val="22"/>
          <w:szCs w:val="22"/>
        </w:rPr>
      </w:pPr>
      <w:r>
        <w:rPr>
          <w:rFonts w:ascii="宋体" w:hAnsi="宋体"/>
          <w:color w:val="auto"/>
          <w:sz w:val="22"/>
          <w:szCs w:val="22"/>
        </w:rPr>
        <w:t>……</w:t>
      </w:r>
    </w:p>
    <w:p>
      <w:pPr>
        <w:pStyle w:val="17"/>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pPr>
        <w:pStyle w:val="17"/>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pPr>
        <w:pStyle w:val="17"/>
        <w:spacing w:before="105" w:line="480" w:lineRule="exact"/>
        <w:ind w:right="417" w:firstLine="2860" w:firstLineChars="1300"/>
        <w:rPr>
          <w:rFonts w:ascii="宋体" w:hAnsi="宋体"/>
          <w:color w:val="auto"/>
          <w:sz w:val="22"/>
          <w:szCs w:val="22"/>
        </w:rPr>
      </w:pPr>
    </w:p>
    <w:p>
      <w:pPr>
        <w:pStyle w:val="17"/>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pPr>
        <w:pStyle w:val="17"/>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pPr>
        <w:spacing w:line="440" w:lineRule="exact"/>
        <w:rPr>
          <w:rFonts w:ascii="宋体" w:hAnsi="宋体"/>
          <w:color w:val="auto"/>
          <w:sz w:val="22"/>
          <w:szCs w:val="22"/>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说明：</w:t>
      </w:r>
    </w:p>
    <w:p>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pPr>
        <w:pStyle w:val="17"/>
        <w:rPr>
          <w:rFonts w:ascii="宋体" w:hAnsi="宋体"/>
          <w:color w:val="auto"/>
        </w:rPr>
      </w:pPr>
    </w:p>
    <w:p>
      <w:pPr>
        <w:pStyle w:val="50"/>
        <w:rPr>
          <w:color w:val="auto"/>
        </w:rPr>
      </w:pPr>
    </w:p>
    <w:p>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pPr>
        <w:spacing w:line="588" w:lineRule="exact"/>
        <w:rPr>
          <w:rFonts w:ascii="新宋体" w:hAnsi="新宋体" w:eastAsia="新宋体"/>
          <w:b/>
          <w:color w:val="auto"/>
          <w:spacing w:val="6"/>
          <w:sz w:val="30"/>
          <w:szCs w:val="30"/>
        </w:rPr>
      </w:pP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pPr>
        <w:spacing w:line="588" w:lineRule="exact"/>
        <w:ind w:firstLine="440" w:firstLineChars="200"/>
        <w:rPr>
          <w:rFonts w:ascii="宋体" w:hAnsi="宋体" w:cs="宋体"/>
          <w:color w:val="auto"/>
          <w:sz w:val="22"/>
          <w:szCs w:val="22"/>
        </w:rPr>
      </w:pPr>
    </w:p>
    <w:p>
      <w:pPr>
        <w:spacing w:line="588" w:lineRule="exact"/>
        <w:ind w:firstLine="440" w:firstLineChars="200"/>
        <w:rPr>
          <w:rFonts w:ascii="宋体" w:hAnsi="宋体" w:cs="宋体"/>
          <w:color w:val="auto"/>
          <w:sz w:val="22"/>
          <w:szCs w:val="22"/>
        </w:rPr>
      </w:pPr>
    </w:p>
    <w:p>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pPr>
        <w:pStyle w:val="17"/>
        <w:rPr>
          <w:color w:val="auto"/>
        </w:rPr>
      </w:pPr>
    </w:p>
    <w:p>
      <w:pPr>
        <w:pStyle w:val="17"/>
        <w:rPr>
          <w:color w:val="auto"/>
        </w:rPr>
      </w:pPr>
    </w:p>
    <w:p>
      <w:pPr>
        <w:spacing w:line="588" w:lineRule="exact"/>
        <w:rPr>
          <w:rFonts w:ascii="宋体" w:hAnsi="宋体" w:cs="宋体"/>
          <w:color w:val="auto"/>
          <w:sz w:val="22"/>
          <w:szCs w:val="22"/>
        </w:rPr>
      </w:pPr>
      <w:r>
        <w:rPr>
          <w:rFonts w:hint="eastAsia" w:ascii="宋体" w:hAnsi="宋体" w:cs="宋体"/>
          <w:color w:val="auto"/>
          <w:sz w:val="22"/>
          <w:szCs w:val="22"/>
        </w:rPr>
        <w:t>备注说明：</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pPr>
        <w:spacing w:line="420" w:lineRule="exact"/>
        <w:rPr>
          <w:color w:val="auto"/>
        </w:rPr>
      </w:pPr>
    </w:p>
    <w:p>
      <w:pPr>
        <w:pStyle w:val="17"/>
        <w:rPr>
          <w:color w:val="auto"/>
        </w:rPr>
      </w:pPr>
    </w:p>
    <w:p>
      <w:pPr>
        <w:pStyle w:val="17"/>
        <w:rPr>
          <w:color w:val="auto"/>
        </w:rPr>
      </w:pPr>
    </w:p>
    <w:p>
      <w:pPr>
        <w:spacing w:line="440" w:lineRule="exact"/>
        <w:rPr>
          <w:rFonts w:ascii="宋体" w:hAnsi="宋体" w:cs="宋体"/>
          <w:b/>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spacing w:line="440" w:lineRule="exact"/>
        <w:ind w:left="708" w:hanging="708" w:hangingChars="294"/>
        <w:jc w:val="center"/>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pPr>
        <w:spacing w:line="440" w:lineRule="exact"/>
        <w:rPr>
          <w:rFonts w:ascii="宋体" w:hAnsi="宋体" w:cs="宋体"/>
          <w:color w:val="auto"/>
          <w:sz w:val="22"/>
          <w:szCs w:val="22"/>
        </w:rPr>
      </w:pPr>
      <w:r>
        <w:rPr>
          <w:rFonts w:hint="eastAsia" w:ascii="宋体" w:hAnsi="宋体" w:cs="宋体"/>
          <w:color w:val="auto"/>
          <w:sz w:val="22"/>
          <w:szCs w:val="22"/>
        </w:rPr>
        <w:t>1、政策依据</w:t>
      </w:r>
    </w:p>
    <w:p>
      <w:pPr>
        <w:spacing w:line="440" w:lineRule="exact"/>
        <w:rPr>
          <w:rFonts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pPr>
        <w:spacing w:line="440" w:lineRule="exact"/>
        <w:rPr>
          <w:rFonts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pPr>
        <w:spacing w:line="440" w:lineRule="exact"/>
        <w:rPr>
          <w:rFonts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pPr>
        <w:spacing w:line="440" w:lineRule="exact"/>
        <w:rPr>
          <w:rFonts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pPr>
        <w:spacing w:line="440" w:lineRule="exact"/>
        <w:rPr>
          <w:rFonts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pPr>
        <w:spacing w:line="440" w:lineRule="exact"/>
        <w:rPr>
          <w:rFonts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pPr>
        <w:spacing w:line="440" w:lineRule="exact"/>
        <w:rPr>
          <w:rFonts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pPr>
        <w:pStyle w:val="17"/>
        <w:rPr>
          <w:color w:val="auto"/>
        </w:rPr>
      </w:pPr>
    </w:p>
    <w:p>
      <w:pPr>
        <w:spacing w:line="380" w:lineRule="exact"/>
        <w:jc w:val="left"/>
        <w:rPr>
          <w:rFonts w:ascii="宋体" w:hAnsi="宋体"/>
          <w:color w:val="auto"/>
          <w:sz w:val="22"/>
        </w:rPr>
      </w:pPr>
      <w:r>
        <w:rPr>
          <w:color w:val="auto"/>
        </w:rPr>
        <w:br w:type="page"/>
      </w:r>
      <w:r>
        <w:rPr>
          <w:rFonts w:hint="eastAsia" w:ascii="宋体" w:hAnsi="宋体"/>
          <w:color w:val="auto"/>
          <w:sz w:val="22"/>
        </w:rPr>
        <w:t>附件2：</w:t>
      </w:r>
    </w:p>
    <w:p>
      <w:pPr>
        <w:spacing w:line="360" w:lineRule="auto"/>
        <w:jc w:val="center"/>
        <w:rPr>
          <w:rFonts w:ascii="宋体" w:hAnsi="宋体"/>
          <w:b/>
          <w:bCs/>
          <w:color w:val="auto"/>
          <w:sz w:val="24"/>
        </w:rPr>
      </w:pPr>
      <w:r>
        <w:rPr>
          <w:rFonts w:hint="eastAsia" w:ascii="宋体" w:hAnsi="宋体"/>
          <w:b/>
          <w:bCs/>
          <w:color w:val="auto"/>
          <w:sz w:val="24"/>
        </w:rPr>
        <w:t>节能环保产品声明函</w:t>
      </w:r>
    </w:p>
    <w:p>
      <w:pPr>
        <w:autoSpaceDE w:val="0"/>
        <w:autoSpaceDN w:val="0"/>
        <w:adjustRightInd w:val="0"/>
        <w:spacing w:line="460" w:lineRule="atLeast"/>
        <w:jc w:val="center"/>
        <w:rPr>
          <w:rFonts w:ascii="宋体" w:hAnsi="宋体"/>
          <w:color w:val="auto"/>
          <w:sz w:val="36"/>
          <w:szCs w:val="20"/>
          <w:lang w:val="zh-CN"/>
        </w:rPr>
      </w:pPr>
      <w:r>
        <w:rPr>
          <w:rFonts w:hint="eastAsia" w:ascii="宋体" w:hAnsi="宋体"/>
          <w:color w:val="auto"/>
          <w:sz w:val="22"/>
        </w:rPr>
        <w:t>（如有则提供）</w:t>
      </w:r>
    </w:p>
    <w:p>
      <w:pPr>
        <w:spacing w:line="460" w:lineRule="atLeast"/>
        <w:ind w:firstLine="440" w:firstLineChars="200"/>
        <w:rPr>
          <w:rFonts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pPr>
        <w:spacing w:line="460" w:lineRule="atLeast"/>
        <w:ind w:firstLine="440" w:firstLineChars="200"/>
        <w:rPr>
          <w:rFonts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本公司对上述声明的真实性负责。如有虚假，将依法承担相应法律责任。</w:t>
      </w:r>
    </w:p>
    <w:p>
      <w:pPr>
        <w:spacing w:line="460" w:lineRule="atLeast"/>
        <w:rPr>
          <w:rFonts w:ascii="宋体" w:hAnsi="宋体"/>
          <w:color w:val="auto"/>
          <w:sz w:val="22"/>
        </w:rPr>
      </w:pPr>
    </w:p>
    <w:p>
      <w:pPr>
        <w:pStyle w:val="17"/>
        <w:rPr>
          <w:color w:val="auto"/>
        </w:rPr>
      </w:pPr>
    </w:p>
    <w:p>
      <w:pPr>
        <w:autoSpaceDE w:val="0"/>
        <w:autoSpaceDN w:val="0"/>
        <w:adjustRightInd w:val="0"/>
        <w:spacing w:line="460" w:lineRule="atLeast"/>
        <w:rPr>
          <w:rFonts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pPr>
        <w:spacing w:line="460" w:lineRule="atLeast"/>
        <w:rPr>
          <w:rFonts w:ascii="宋体" w:hAnsi="宋体"/>
          <w:color w:val="auto"/>
          <w:sz w:val="28"/>
          <w:szCs w:val="28"/>
        </w:rPr>
      </w:pPr>
      <w:r>
        <w:rPr>
          <w:rFonts w:hint="eastAsia" w:ascii="宋体" w:hAnsi="宋体"/>
          <w:color w:val="auto"/>
          <w:sz w:val="22"/>
        </w:rPr>
        <w:t xml:space="preserve">日 期：                  </w:t>
      </w:r>
    </w:p>
    <w:p>
      <w:pPr>
        <w:spacing w:line="380" w:lineRule="exact"/>
        <w:jc w:val="left"/>
        <w:rPr>
          <w:rFonts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pPr>
        <w:spacing w:line="360" w:lineRule="auto"/>
        <w:jc w:val="center"/>
        <w:rPr>
          <w:rFonts w:ascii="宋体" w:hAnsi="宋体"/>
          <w:b/>
          <w:bCs/>
          <w:color w:val="auto"/>
          <w:sz w:val="24"/>
        </w:rPr>
      </w:pPr>
      <w:r>
        <w:rPr>
          <w:rFonts w:hint="eastAsia" w:ascii="宋体" w:hAnsi="宋体"/>
          <w:b/>
          <w:bCs/>
          <w:color w:val="auto"/>
          <w:sz w:val="24"/>
        </w:rPr>
        <w:t>节能（环保）产品清单</w:t>
      </w:r>
    </w:p>
    <w:p>
      <w:pPr>
        <w:autoSpaceDE w:val="0"/>
        <w:autoSpaceDN w:val="0"/>
        <w:adjustRightInd w:val="0"/>
        <w:spacing w:line="460" w:lineRule="atLeast"/>
        <w:jc w:val="center"/>
        <w:rPr>
          <w:rFonts w:ascii="宋体" w:hAnsi="宋体"/>
          <w:color w:val="auto"/>
          <w:sz w:val="22"/>
        </w:rPr>
      </w:pPr>
      <w:r>
        <w:rPr>
          <w:rFonts w:hint="eastAsia" w:ascii="宋体" w:hAnsi="宋体"/>
          <w:color w:val="auto"/>
          <w:sz w:val="22"/>
        </w:rPr>
        <w:t>（如有则提供）</w:t>
      </w:r>
    </w:p>
    <w:p>
      <w:pPr>
        <w:pStyle w:val="17"/>
        <w:rPr>
          <w:color w:val="auto"/>
        </w:rPr>
      </w:pPr>
    </w:p>
    <w:p>
      <w:pPr>
        <w:rPr>
          <w:rFonts w:ascii="宋体" w:hAnsi="宋体"/>
          <w:color w:val="auto"/>
          <w:sz w:val="22"/>
        </w:rPr>
      </w:pPr>
      <w:r>
        <w:rPr>
          <w:rFonts w:hint="eastAsia" w:ascii="宋体" w:hAnsi="宋体"/>
          <w:color w:val="auto"/>
          <w:sz w:val="22"/>
        </w:rPr>
        <w:t>（1）所投产品中已列入《节能产品政府采购品目清单》明细</w:t>
      </w:r>
    </w:p>
    <w:tbl>
      <w:tblPr>
        <w:tblStyle w:val="36"/>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color w:val="auto"/>
          <w:sz w:val="22"/>
        </w:rPr>
      </w:pPr>
      <w:r>
        <w:rPr>
          <w:rFonts w:hint="eastAsia" w:ascii="宋体" w:hAnsi="宋体"/>
          <w:color w:val="auto"/>
          <w:sz w:val="22"/>
        </w:rPr>
        <w:t>（2）所投产品中已列入《环境标志产品政府采购品目清单》明细</w:t>
      </w:r>
    </w:p>
    <w:tbl>
      <w:tblPr>
        <w:tblStyle w:val="36"/>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pPr>
        <w:spacing w:line="460" w:lineRule="exact"/>
        <w:rPr>
          <w:rFonts w:ascii="宋体" w:hAnsi="宋体"/>
          <w:b/>
          <w:color w:val="auto"/>
          <w:sz w:val="22"/>
        </w:rPr>
      </w:pPr>
      <w:r>
        <w:rPr>
          <w:rFonts w:hint="eastAsia" w:ascii="宋体" w:hAnsi="宋体"/>
          <w:b/>
          <w:color w:val="auto"/>
          <w:sz w:val="22"/>
        </w:rPr>
        <w:t>2、表格可以延续。</w:t>
      </w:r>
    </w:p>
    <w:p>
      <w:pPr>
        <w:pStyle w:val="17"/>
        <w:rPr>
          <w:color w:val="auto"/>
        </w:rPr>
      </w:pPr>
    </w:p>
    <w:p>
      <w:pPr>
        <w:spacing w:line="440" w:lineRule="atLeast"/>
        <w:rPr>
          <w:rFonts w:ascii="宋体" w:hAnsi="宋体"/>
          <w:color w:val="auto"/>
          <w:sz w:val="22"/>
        </w:rPr>
      </w:pPr>
      <w:r>
        <w:rPr>
          <w:rFonts w:hint="eastAsia" w:ascii="宋体" w:hAnsi="宋体"/>
          <w:color w:val="auto"/>
          <w:sz w:val="22"/>
        </w:rPr>
        <w:t xml:space="preserve">供应商名称（盖章）：        </w:t>
      </w:r>
    </w:p>
    <w:p>
      <w:pPr>
        <w:pStyle w:val="17"/>
        <w:rPr>
          <w:rFonts w:ascii="宋体" w:hAnsi="宋体" w:cs="宋体"/>
          <w:color w:val="auto"/>
        </w:rPr>
      </w:pPr>
      <w:r>
        <w:rPr>
          <w:rFonts w:hint="eastAsia" w:ascii="宋体" w:hAnsi="宋体"/>
          <w:color w:val="auto"/>
          <w:kern w:val="0"/>
          <w:sz w:val="22"/>
        </w:rPr>
        <w:t xml:space="preserve">日 期： </w:t>
      </w:r>
    </w:p>
    <w:p>
      <w:pPr>
        <w:spacing w:line="380" w:lineRule="exact"/>
        <w:rPr>
          <w:rFonts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72"/>
    <w:bookmarkEnd w:id="77"/>
    <w:p>
      <w:pPr>
        <w:pStyle w:val="3"/>
        <w:spacing w:line="600" w:lineRule="exact"/>
        <w:jc w:val="center"/>
        <w:rPr>
          <w:rFonts w:ascii="黑体" w:hAnsi="黑体" w:eastAsia="黑体"/>
          <w:bCs/>
          <w:color w:val="auto"/>
          <w:sz w:val="36"/>
          <w:szCs w:val="36"/>
        </w:rPr>
      </w:pPr>
      <w:bookmarkStart w:id="88" w:name="_Toc230773793"/>
      <w:bookmarkStart w:id="89" w:name="_Toc4898"/>
      <w:r>
        <w:rPr>
          <w:rFonts w:hint="eastAsia" w:ascii="黑体" w:hAnsi="黑体" w:eastAsia="黑体"/>
          <w:bCs/>
          <w:color w:val="auto"/>
          <w:sz w:val="36"/>
          <w:szCs w:val="36"/>
        </w:rPr>
        <w:t>第五部分  招标内容及要求</w:t>
      </w:r>
      <w:bookmarkEnd w:id="88"/>
      <w:bookmarkEnd w:id="89"/>
    </w:p>
    <w:p>
      <w:pPr>
        <w:pStyle w:val="2"/>
        <w:spacing w:line="680" w:lineRule="exact"/>
        <w:jc w:val="center"/>
        <w:rPr>
          <w:rFonts w:ascii="宋体" w:hAnsi="宋体" w:eastAsia="宋体"/>
          <w:color w:val="auto"/>
          <w:sz w:val="28"/>
          <w:szCs w:val="28"/>
        </w:rPr>
      </w:pPr>
      <w:bookmarkStart w:id="90" w:name="_Toc498696426"/>
      <w:bookmarkStart w:id="91" w:name="_Toc524273187"/>
      <w:bookmarkStart w:id="92" w:name="_Toc29023"/>
      <w:bookmarkStart w:id="93" w:name="_Toc23272"/>
      <w:r>
        <w:rPr>
          <w:rFonts w:hint="eastAsia" w:ascii="宋体" w:hAnsi="宋体" w:eastAsia="宋体"/>
          <w:color w:val="auto"/>
          <w:sz w:val="28"/>
          <w:szCs w:val="28"/>
        </w:rPr>
        <w:t>一、</w:t>
      </w:r>
      <w:bookmarkEnd w:id="90"/>
      <w:r>
        <w:rPr>
          <w:rFonts w:hint="eastAsia" w:ascii="宋体" w:hAnsi="宋体" w:eastAsia="宋体"/>
          <w:color w:val="auto"/>
          <w:sz w:val="28"/>
          <w:szCs w:val="28"/>
        </w:rPr>
        <w:t>相关说明</w:t>
      </w:r>
      <w:bookmarkEnd w:id="91"/>
      <w:bookmarkEnd w:id="92"/>
    </w:p>
    <w:bookmarkEnd w:id="93"/>
    <w:p>
      <w:pPr>
        <w:spacing w:line="440" w:lineRule="exact"/>
        <w:ind w:left="550" w:hanging="550" w:hangingChars="250"/>
        <w:rPr>
          <w:rFonts w:ascii="宋体" w:hAnsi="宋体" w:cs="宋体"/>
          <w:color w:val="auto"/>
          <w:sz w:val="22"/>
          <w:szCs w:val="22"/>
        </w:rPr>
      </w:pPr>
      <w:bookmarkStart w:id="94" w:name="_Toc56694061"/>
      <w:bookmarkStart w:id="95" w:name="_Toc230773795"/>
      <w:r>
        <w:rPr>
          <w:rFonts w:hint="eastAsia" w:ascii="宋体" w:hAnsi="宋体" w:cs="宋体"/>
          <w:color w:val="auto"/>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投标人</w:t>
      </w:r>
      <w:r>
        <w:rPr>
          <w:rFonts w:hint="eastAsia" w:ascii="宋体" w:hAnsi="宋体" w:cs="宋体"/>
          <w:color w:val="auto"/>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3.   供应商需针对本项目所提供的产品的技术性能、质量水平、具体实施方案、售后服务、培训计划等做详尽的描述。</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   对于低于原厂商对外公布的基本（标准）配置进行报价的产品，无论招标文件对此有无明确规定，供应商都必须在投标文件中对低于基本（标准）配置的内容作出明确说明。</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5.   主要技术参数及要求中所列的参数仅仅为主要部分，投标人有义务完成所投设备的详细技术参数描述。否则，一旦出现所投设备在技术、功能上存在缺陷，采购人将否决其投标。</w:t>
      </w:r>
    </w:p>
    <w:p>
      <w:pPr>
        <w:spacing w:line="440" w:lineRule="exact"/>
        <w:ind w:left="539" w:hanging="539" w:hangingChars="245"/>
        <w:rPr>
          <w:rFonts w:ascii="宋体" w:hAnsi="宋体" w:cs="宋体"/>
          <w:b/>
          <w:color w:val="auto"/>
          <w:sz w:val="22"/>
          <w:szCs w:val="22"/>
        </w:rPr>
      </w:pPr>
      <w:r>
        <w:rPr>
          <w:rFonts w:hint="eastAsia" w:ascii="宋体" w:hAnsi="宋体" w:cs="宋体"/>
          <w:color w:val="auto"/>
          <w:sz w:val="22"/>
          <w:szCs w:val="22"/>
        </w:rPr>
        <w:t>6.▲</w:t>
      </w:r>
      <w:r>
        <w:rPr>
          <w:rFonts w:hint="eastAsia" w:ascii="宋体" w:hAnsi="宋体" w:cs="宋体"/>
          <w:b/>
          <w:bCs/>
          <w:color w:val="auto"/>
          <w:sz w:val="22"/>
          <w:szCs w:val="22"/>
          <w:u w:val="single"/>
        </w:rPr>
        <w:t>本项目采购预算为人民币</w:t>
      </w:r>
      <w:r>
        <w:rPr>
          <w:rFonts w:hint="eastAsia" w:ascii="宋体" w:hAnsi="宋体" w:cs="宋体"/>
          <w:b/>
          <w:bCs/>
          <w:color w:val="auto"/>
          <w:sz w:val="22"/>
          <w:szCs w:val="22"/>
          <w:u w:val="single"/>
          <w:lang w:val="en-US" w:eastAsia="zh-CN"/>
        </w:rPr>
        <w:t>壹佰肆拾玖万叁仟贰佰</w:t>
      </w:r>
      <w:r>
        <w:rPr>
          <w:rFonts w:hint="eastAsia" w:ascii="宋体" w:hAnsi="宋体" w:cs="宋体"/>
          <w:b/>
          <w:bCs/>
          <w:color w:val="auto"/>
          <w:sz w:val="22"/>
          <w:szCs w:val="22"/>
          <w:u w:val="single"/>
        </w:rPr>
        <w:t>元整（￥</w:t>
      </w:r>
      <w:r>
        <w:rPr>
          <w:rFonts w:hint="eastAsia" w:ascii="宋体" w:hAnsi="宋体" w:cs="宋体"/>
          <w:b/>
          <w:bCs/>
          <w:color w:val="auto"/>
          <w:sz w:val="22"/>
          <w:szCs w:val="22"/>
          <w:u w:val="single"/>
          <w:lang w:val="en-US" w:eastAsia="zh-CN"/>
        </w:rPr>
        <w:t>1493200</w:t>
      </w:r>
      <w:r>
        <w:rPr>
          <w:rFonts w:hint="eastAsia" w:ascii="宋体" w:hAnsi="宋体" w:cs="宋体"/>
          <w:b/>
          <w:bCs/>
          <w:color w:val="auto"/>
          <w:sz w:val="22"/>
          <w:szCs w:val="22"/>
          <w:u w:val="single"/>
        </w:rPr>
        <w:t>.00元），投标人最后报价超过预算的，按无效</w:t>
      </w:r>
      <w:r>
        <w:rPr>
          <w:rFonts w:hint="eastAsia" w:ascii="宋体" w:hAnsi="宋体" w:cs="宋体"/>
          <w:b/>
          <w:color w:val="auto"/>
          <w:sz w:val="22"/>
          <w:szCs w:val="22"/>
          <w:u w:val="single"/>
        </w:rPr>
        <w:t>标处理</w:t>
      </w:r>
      <w:r>
        <w:rPr>
          <w:rFonts w:hint="eastAsia" w:ascii="宋体" w:hAnsi="宋体" w:cs="宋体"/>
          <w:b/>
          <w:color w:val="auto"/>
          <w:sz w:val="22"/>
          <w:szCs w:val="22"/>
        </w:rPr>
        <w:t>。</w:t>
      </w:r>
    </w:p>
    <w:p>
      <w:pPr>
        <w:rPr>
          <w:color w:val="auto"/>
        </w:rPr>
      </w:pPr>
    </w:p>
    <w:p>
      <w:pPr>
        <w:pStyle w:val="2"/>
        <w:numPr>
          <w:ilvl w:val="0"/>
          <w:numId w:val="2"/>
        </w:numPr>
        <w:spacing w:line="680" w:lineRule="exact"/>
        <w:jc w:val="center"/>
        <w:rPr>
          <w:rFonts w:ascii="宋体" w:hAnsi="宋体" w:eastAsia="宋体"/>
          <w:color w:val="auto"/>
          <w:sz w:val="28"/>
          <w:szCs w:val="28"/>
        </w:rPr>
      </w:pPr>
      <w:bookmarkStart w:id="96" w:name="_Toc14400"/>
      <w:bookmarkStart w:id="97" w:name="_Toc20424"/>
      <w:r>
        <w:rPr>
          <w:rFonts w:hint="eastAsia" w:ascii="宋体" w:hAnsi="宋体" w:eastAsia="宋体"/>
          <w:color w:val="auto"/>
          <w:sz w:val="28"/>
          <w:szCs w:val="28"/>
        </w:rPr>
        <w:t>采购内容及要求</w:t>
      </w:r>
      <w:bookmarkEnd w:id="96"/>
      <w:bookmarkEnd w:id="97"/>
    </w:p>
    <w:p>
      <w:pPr>
        <w:rPr>
          <w:color w:val="auto"/>
        </w:rPr>
      </w:pPr>
    </w:p>
    <w:p>
      <w:pPr>
        <w:pStyle w:val="17"/>
        <w:rPr>
          <w:rFonts w:ascii="宋体" w:hAnsi="宋体" w:cs="宋体"/>
          <w:b/>
          <w:bCs/>
          <w:color w:val="auto"/>
          <w:sz w:val="22"/>
          <w:szCs w:val="28"/>
        </w:rPr>
      </w:pPr>
      <w:r>
        <w:rPr>
          <w:rFonts w:hint="eastAsia" w:ascii="宋体" w:hAnsi="宋体" w:cs="宋体"/>
          <w:b/>
          <w:bCs/>
          <w:color w:val="auto"/>
          <w:sz w:val="22"/>
          <w:szCs w:val="28"/>
        </w:rPr>
        <w:t>1.   采购内容</w:t>
      </w:r>
    </w:p>
    <w:tbl>
      <w:tblPr>
        <w:tblStyle w:val="36"/>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615"/>
        <w:gridCol w:w="1014"/>
        <w:gridCol w:w="1079"/>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序号</w:t>
            </w:r>
          </w:p>
        </w:tc>
        <w:tc>
          <w:tcPr>
            <w:tcW w:w="3615"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设备名称</w:t>
            </w:r>
          </w:p>
        </w:tc>
        <w:tc>
          <w:tcPr>
            <w:tcW w:w="10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单位</w:t>
            </w:r>
          </w:p>
        </w:tc>
        <w:tc>
          <w:tcPr>
            <w:tcW w:w="1079"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数量</w:t>
            </w:r>
          </w:p>
        </w:tc>
        <w:tc>
          <w:tcPr>
            <w:tcW w:w="3416"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w:t>
            </w:r>
          </w:p>
        </w:tc>
        <w:tc>
          <w:tcPr>
            <w:tcW w:w="3615"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CNC数控加工中心</w:t>
            </w:r>
          </w:p>
        </w:tc>
        <w:tc>
          <w:tcPr>
            <w:tcW w:w="1014"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套</w:t>
            </w:r>
          </w:p>
        </w:tc>
        <w:tc>
          <w:tcPr>
            <w:tcW w:w="1079"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2</w:t>
            </w:r>
          </w:p>
        </w:tc>
        <w:tc>
          <w:tcPr>
            <w:tcW w:w="3615"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激光雕刻机</w:t>
            </w:r>
          </w:p>
        </w:tc>
        <w:tc>
          <w:tcPr>
            <w:tcW w:w="1014"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3</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专业安全台锯</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4</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精密推台锯WA6</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5</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多功能磨刀机</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2</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6</w:t>
            </w:r>
          </w:p>
        </w:tc>
        <w:tc>
          <w:tcPr>
            <w:tcW w:w="3615" w:type="dxa"/>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平刨</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7</w:t>
            </w:r>
          </w:p>
        </w:tc>
        <w:tc>
          <w:tcPr>
            <w:tcW w:w="3615" w:type="dxa"/>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自动压刨</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8</w:t>
            </w:r>
          </w:p>
        </w:tc>
        <w:tc>
          <w:tcPr>
            <w:tcW w:w="3615"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中央集成器</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套</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9</w:t>
            </w:r>
          </w:p>
        </w:tc>
        <w:tc>
          <w:tcPr>
            <w:tcW w:w="3615"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吸臂</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套</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6</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10</w:t>
            </w:r>
          </w:p>
        </w:tc>
        <w:tc>
          <w:tcPr>
            <w:tcW w:w="3615"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管道及材料</w:t>
            </w:r>
          </w:p>
        </w:tc>
        <w:tc>
          <w:tcPr>
            <w:tcW w:w="1014"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批</w:t>
            </w:r>
          </w:p>
        </w:tc>
        <w:tc>
          <w:tcPr>
            <w:tcW w:w="1079" w:type="dxa"/>
            <w:vAlign w:val="center"/>
          </w:tcPr>
          <w:p>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11</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数显角度仪</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textAlignment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2</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12</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木工手动工具（刨切及相关辅件）</w:t>
            </w:r>
          </w:p>
        </w:tc>
        <w:tc>
          <w:tcPr>
            <w:tcW w:w="1014"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套</w:t>
            </w:r>
          </w:p>
        </w:tc>
        <w:tc>
          <w:tcPr>
            <w:tcW w:w="1079" w:type="dxa"/>
            <w:vAlign w:val="center"/>
          </w:tcPr>
          <w:p>
            <w:pPr>
              <w:widowControl/>
              <w:jc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25</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13</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夹具支架</w:t>
            </w:r>
          </w:p>
        </w:tc>
        <w:tc>
          <w:tcPr>
            <w:tcW w:w="1014"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套</w:t>
            </w:r>
          </w:p>
        </w:tc>
        <w:tc>
          <w:tcPr>
            <w:tcW w:w="1079"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2</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14</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水旋式喷漆柜</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15</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安全管理系统</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套</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16</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空压机</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cs="宋体"/>
                <w:color w:val="auto"/>
                <w:sz w:val="22"/>
                <w:szCs w:val="22"/>
                <w:lang w:val="en-US" w:eastAsia="zh-CN" w:bidi="ar"/>
              </w:rPr>
            </w:pPr>
            <w:r>
              <w:rPr>
                <w:rFonts w:hint="eastAsia" w:ascii="宋体" w:hAnsi="宋体" w:cs="宋体"/>
                <w:color w:val="auto"/>
                <w:sz w:val="22"/>
                <w:szCs w:val="22"/>
                <w:lang w:val="en-US" w:eastAsia="zh-CN" w:bidi="ar"/>
              </w:rPr>
              <w:t>17</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电脑仿样机</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cs="宋体"/>
                <w:color w:val="auto"/>
                <w:sz w:val="22"/>
                <w:szCs w:val="22"/>
                <w:lang w:val="en-US" w:eastAsia="zh-CN" w:bidi="ar"/>
              </w:rPr>
            </w:pPr>
            <w:r>
              <w:rPr>
                <w:rFonts w:hint="eastAsia" w:ascii="宋体" w:hAnsi="宋体" w:cs="宋体"/>
                <w:color w:val="auto"/>
                <w:sz w:val="22"/>
                <w:szCs w:val="22"/>
                <w:lang w:val="en-US" w:eastAsia="zh-CN" w:bidi="ar"/>
              </w:rPr>
              <w:t>18</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储存展示柜体组</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套</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8</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cs="宋体"/>
                <w:color w:val="auto"/>
                <w:sz w:val="22"/>
                <w:szCs w:val="22"/>
                <w:lang w:val="en-US" w:eastAsia="zh-CN" w:bidi="ar"/>
              </w:rPr>
            </w:pPr>
            <w:r>
              <w:rPr>
                <w:rFonts w:hint="eastAsia" w:ascii="宋体" w:hAnsi="宋体" w:cs="宋体"/>
                <w:color w:val="auto"/>
                <w:sz w:val="22"/>
                <w:szCs w:val="22"/>
                <w:lang w:val="en-US" w:eastAsia="zh-CN" w:bidi="ar"/>
              </w:rPr>
              <w:t>19</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三维扫描仪</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台</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1</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cs="宋体"/>
                <w:color w:val="auto"/>
                <w:sz w:val="22"/>
                <w:szCs w:val="22"/>
                <w:lang w:val="en-US" w:eastAsia="zh-CN" w:bidi="ar"/>
              </w:rPr>
            </w:pPr>
            <w:r>
              <w:rPr>
                <w:rFonts w:hint="eastAsia" w:ascii="宋体" w:hAnsi="宋体" w:cs="宋体"/>
                <w:color w:val="auto"/>
                <w:sz w:val="22"/>
                <w:szCs w:val="22"/>
                <w:lang w:val="en-US" w:eastAsia="zh-CN" w:bidi="ar"/>
              </w:rPr>
              <w:t>20</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大师工作区桌</w:t>
            </w:r>
          </w:p>
        </w:tc>
        <w:tc>
          <w:tcPr>
            <w:tcW w:w="1014" w:type="dxa"/>
            <w:vAlign w:val="center"/>
          </w:tcPr>
          <w:p>
            <w:pPr>
              <w:widowControl/>
              <w:jc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张</w:t>
            </w:r>
          </w:p>
        </w:tc>
        <w:tc>
          <w:tcPr>
            <w:tcW w:w="1079" w:type="dxa"/>
            <w:vAlign w:val="center"/>
          </w:tcPr>
          <w:p>
            <w:pPr>
              <w:widowControl/>
              <w:jc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20</w:t>
            </w:r>
          </w:p>
        </w:tc>
        <w:tc>
          <w:tcPr>
            <w:tcW w:w="3416" w:type="dxa"/>
            <w:vAlign w:val="center"/>
          </w:tcPr>
          <w:p>
            <w:pPr>
              <w:widowControl/>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widowControl/>
              <w:spacing w:line="440" w:lineRule="exact"/>
              <w:jc w:val="center"/>
              <w:textAlignment w:val="center"/>
              <w:rPr>
                <w:rFonts w:hint="default" w:ascii="宋体" w:hAnsi="宋体" w:cs="宋体"/>
                <w:color w:val="auto"/>
                <w:sz w:val="22"/>
                <w:szCs w:val="22"/>
                <w:lang w:val="en-US" w:eastAsia="zh-CN" w:bidi="ar"/>
              </w:rPr>
            </w:pPr>
            <w:r>
              <w:rPr>
                <w:rFonts w:hint="eastAsia" w:ascii="宋体" w:hAnsi="宋体" w:cs="宋体"/>
                <w:color w:val="auto"/>
                <w:sz w:val="22"/>
                <w:szCs w:val="22"/>
                <w:lang w:val="en-US" w:eastAsia="zh-CN" w:bidi="ar"/>
              </w:rPr>
              <w:t>21</w:t>
            </w:r>
          </w:p>
        </w:tc>
        <w:tc>
          <w:tcPr>
            <w:tcW w:w="3615"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双人教学桌</w:t>
            </w:r>
          </w:p>
        </w:tc>
        <w:tc>
          <w:tcPr>
            <w:tcW w:w="1014"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张</w:t>
            </w:r>
          </w:p>
        </w:tc>
        <w:tc>
          <w:tcPr>
            <w:tcW w:w="1079" w:type="dxa"/>
            <w:vAlign w:val="center"/>
          </w:tcPr>
          <w:p>
            <w:pPr>
              <w:widowControl/>
              <w:jc w:val="center"/>
              <w:rPr>
                <w:rFonts w:ascii="宋体" w:hAnsi="宋体" w:cs="宋体"/>
                <w:color w:val="auto"/>
                <w:sz w:val="22"/>
                <w:szCs w:val="22"/>
                <w:lang w:bidi="ar"/>
              </w:rPr>
            </w:pPr>
            <w:r>
              <w:rPr>
                <w:rFonts w:hint="eastAsia" w:ascii="宋体" w:hAnsi="宋体" w:cs="宋体"/>
                <w:color w:val="auto"/>
                <w:sz w:val="22"/>
                <w:szCs w:val="22"/>
                <w:lang w:val="en-US" w:eastAsia="zh-CN" w:bidi="ar"/>
              </w:rPr>
              <w:t>24</w:t>
            </w:r>
          </w:p>
        </w:tc>
        <w:tc>
          <w:tcPr>
            <w:tcW w:w="3416" w:type="dxa"/>
            <w:vAlign w:val="center"/>
          </w:tcPr>
          <w:p>
            <w:pPr>
              <w:widowControl/>
              <w:jc w:val="center"/>
              <w:rPr>
                <w:rFonts w:ascii="宋体" w:hAnsi="宋体" w:cs="宋体"/>
                <w:color w:val="auto"/>
                <w:sz w:val="22"/>
                <w:szCs w:val="22"/>
                <w:lang w:bidi="ar"/>
              </w:rPr>
            </w:pPr>
          </w:p>
        </w:tc>
      </w:tr>
    </w:tbl>
    <w:p>
      <w:pPr>
        <w:spacing w:line="440" w:lineRule="exact"/>
        <w:rPr>
          <w:rFonts w:ascii="宋体" w:hAnsi="宋体" w:cs="宋体"/>
          <w:color w:val="auto"/>
          <w:sz w:val="22"/>
          <w:szCs w:val="28"/>
        </w:rPr>
      </w:pPr>
      <w:r>
        <w:rPr>
          <w:rFonts w:hint="eastAsia" w:ascii="宋体" w:hAnsi="宋体" w:cs="宋体"/>
          <w:b/>
          <w:bCs/>
          <w:color w:val="auto"/>
          <w:sz w:val="22"/>
          <w:szCs w:val="28"/>
        </w:rPr>
        <w:t>2.   详细技术参数</w:t>
      </w:r>
    </w:p>
    <w:tbl>
      <w:tblPr>
        <w:tblStyle w:val="36"/>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32"/>
        <w:gridCol w:w="621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序号</w:t>
            </w:r>
          </w:p>
        </w:tc>
        <w:tc>
          <w:tcPr>
            <w:tcW w:w="1832"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设备名称</w:t>
            </w:r>
          </w:p>
        </w:tc>
        <w:tc>
          <w:tcPr>
            <w:tcW w:w="6217"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技术参数及要求</w:t>
            </w:r>
          </w:p>
        </w:tc>
        <w:tc>
          <w:tcPr>
            <w:tcW w:w="1165"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w:t>
            </w:r>
          </w:p>
        </w:tc>
        <w:tc>
          <w:tcPr>
            <w:tcW w:w="1832"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CNC数控加工中心</w:t>
            </w:r>
          </w:p>
        </w:tc>
        <w:tc>
          <w:tcPr>
            <w:tcW w:w="6217" w:type="dxa"/>
            <w:vAlign w:val="center"/>
          </w:tcPr>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lang w:val="en-US" w:eastAsia="zh-CN"/>
              </w:rPr>
              <w:t>一、</w:t>
            </w:r>
            <w:r>
              <w:rPr>
                <w:rFonts w:hint="eastAsia" w:ascii="宋体" w:hAnsi="宋体" w:cs="宋体"/>
                <w:color w:val="auto"/>
                <w:sz w:val="22"/>
                <w:szCs w:val="22"/>
              </w:rPr>
              <w:t>机床特性：</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1.高强度高级铸铁结构，各轴滑轨全支挥，工作台无悬空现象，刚性佳，确保精度</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2.立柱底部为“A”字型高刚性结构设计</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3.X、Y、Z三轴滑轨采用35mm宽线性滚动导轨，精度高寿命长，快速进给速度快，生产效率高</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4.三轴采用直径36mm，C3级精密滚珠丝杆，定位精度佳</w:t>
            </w:r>
            <w:r>
              <w:rPr>
                <w:rFonts w:hint="eastAsia" w:ascii="宋体" w:hAnsi="宋体" w:cs="宋体"/>
                <w:color w:val="auto"/>
                <w:sz w:val="22"/>
                <w:szCs w:val="22"/>
                <w:lang w:eastAsia="zh-CN"/>
              </w:rPr>
              <w:t>；</w:t>
            </w:r>
          </w:p>
          <w:p>
            <w:pPr>
              <w:widowControl/>
              <w:spacing w:line="400" w:lineRule="exact"/>
              <w:jc w:val="left"/>
              <w:rPr>
                <w:rFonts w:hint="eastAsia" w:ascii="宋体" w:hAnsi="宋体" w:cs="宋体"/>
                <w:color w:val="auto"/>
                <w:sz w:val="22"/>
                <w:szCs w:val="22"/>
                <w:lang w:eastAsia="zh-CN"/>
              </w:rPr>
            </w:pPr>
            <w:r>
              <w:rPr>
                <w:rFonts w:hint="eastAsia" w:ascii="宋体" w:hAnsi="宋体" w:cs="宋体"/>
                <w:color w:val="auto"/>
                <w:sz w:val="22"/>
                <w:szCs w:val="22"/>
              </w:rPr>
              <w:t>5.工作台面度（工作台尺寸≥1000*500mm)，Y轴行程大（≥500mm)，加工苑围广</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6.高刚性高速主轴，最高转速≥8000rpm</w:t>
            </w:r>
            <w:r>
              <w:rPr>
                <w:rFonts w:hint="eastAsia" w:ascii="宋体" w:hAnsi="宋体" w:cs="宋体"/>
                <w:color w:val="auto"/>
                <w:sz w:val="22"/>
                <w:szCs w:val="22"/>
                <w:lang w:eastAsia="zh-CN"/>
              </w:rPr>
              <w:t>；</w:t>
            </w:r>
          </w:p>
          <w:p>
            <w:pPr>
              <w:widowControl/>
              <w:spacing w:line="400" w:lineRule="exact"/>
              <w:jc w:val="left"/>
              <w:rPr>
                <w:rFonts w:hint="eastAsia" w:ascii="宋体" w:hAnsi="宋体" w:cs="宋体"/>
                <w:color w:val="auto"/>
                <w:sz w:val="22"/>
                <w:szCs w:val="22"/>
                <w:lang w:eastAsia="zh-CN"/>
              </w:rPr>
            </w:pPr>
            <w:r>
              <w:rPr>
                <w:rFonts w:hint="eastAsia" w:ascii="宋体" w:hAnsi="宋体" w:cs="宋体"/>
                <w:color w:val="auto"/>
                <w:sz w:val="22"/>
                <w:szCs w:val="22"/>
              </w:rPr>
              <w:t>7.主电机采用大功率AC伺服电机（≥11Kw)，主电机以齿型皮带直接带动主轴，转速准确</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8.Y轴电机后置设计，便于维修</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9</w:t>
            </w:r>
            <w:r>
              <w:rPr>
                <w:rFonts w:hint="eastAsia" w:ascii="宋体" w:hAnsi="宋体" w:cs="宋体"/>
                <w:color w:val="auto"/>
                <w:sz w:val="22"/>
                <w:szCs w:val="22"/>
              </w:rPr>
              <w:t>.全封闭武防护罩，将整台机械包覆，并配备透明式压克力防护窗，视野好，可随时观察机床加工情况确保操作人员作业安全，保持工作环境清洁</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0</w:t>
            </w:r>
            <w:r>
              <w:rPr>
                <w:rFonts w:hint="eastAsia" w:ascii="宋体" w:hAnsi="宋体" w:cs="宋体"/>
                <w:color w:val="auto"/>
                <w:sz w:val="22"/>
                <w:szCs w:val="22"/>
              </w:rPr>
              <w:t>.标配侧排链式排屑机及集屑车，排屑易，减少铁屑清除辅助时间</w:t>
            </w:r>
            <w:r>
              <w:rPr>
                <w:rFonts w:hint="eastAsia" w:ascii="宋体" w:hAnsi="宋体" w:cs="宋体"/>
                <w:color w:val="auto"/>
                <w:sz w:val="22"/>
                <w:szCs w:val="22"/>
                <w:lang w:eastAsia="zh-CN"/>
              </w:rPr>
              <w:t>；</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val="en-US" w:eastAsia="zh-CN"/>
              </w:rPr>
              <w:t>1</w:t>
            </w:r>
            <w:r>
              <w:rPr>
                <w:rFonts w:hint="eastAsia" w:ascii="宋体" w:hAnsi="宋体" w:cs="宋体"/>
                <w:color w:val="auto"/>
                <w:sz w:val="22"/>
                <w:szCs w:val="22"/>
              </w:rPr>
              <w:t>.电气箱配备热交换器，电气元件故障低，寿命长。</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二、技术参数：</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1.X轴行程（工作台左右移动）：≥800mm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2.Y轴行程（工作台左右移动）：≥500mm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3.Z轴行程（主轴箱上下移动）：≥500mm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4.主轴鼻端至工作台面距离：120-650mm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5.主轴中心至立柱滑轨面距离：≥500mm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6.工作台尺寸：≥1000*500mm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7.工作台最大</w:t>
            </w:r>
            <w:r>
              <w:rPr>
                <w:rFonts w:hint="eastAsia" w:ascii="宋体" w:hAnsi="宋体" w:cs="宋体"/>
                <w:color w:val="auto"/>
                <w:sz w:val="22"/>
                <w:szCs w:val="22"/>
                <w:lang w:val="en-US" w:eastAsia="zh-CN"/>
              </w:rPr>
              <w:t>载</w:t>
            </w:r>
            <w:r>
              <w:rPr>
                <w:rFonts w:hint="eastAsia" w:ascii="宋体" w:hAnsi="宋体" w:cs="宋体"/>
                <w:color w:val="auto"/>
                <w:sz w:val="22"/>
                <w:szCs w:val="22"/>
              </w:rPr>
              <w:t>重：≥500kg</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8.T型槽尺寸（槽宽*槽距*槽数）：≥18*80*5mm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9.主轴转速：100-8000rpm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10.主轴锥度：≥BT40</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11.快速</w:t>
            </w:r>
            <w:r>
              <w:rPr>
                <w:rFonts w:hint="eastAsia" w:ascii="宋体" w:hAnsi="宋体" w:cs="宋体"/>
                <w:color w:val="auto"/>
                <w:sz w:val="22"/>
                <w:szCs w:val="22"/>
                <w:lang w:val="en-US" w:eastAsia="zh-CN"/>
              </w:rPr>
              <w:t>进</w:t>
            </w:r>
            <w:r>
              <w:rPr>
                <w:rFonts w:hint="eastAsia" w:ascii="宋体" w:hAnsi="宋体" w:cs="宋体"/>
                <w:color w:val="auto"/>
                <w:sz w:val="22"/>
                <w:szCs w:val="22"/>
              </w:rPr>
              <w:t>给速度(x/y/z)：36/36/36m/min</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12.切削进给速度(x/y/z):1-15000m/min</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13.刀柄形式：≥BT40</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14.主电机功率：≥11kw</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15.冷却液电机功率：≥1kw</w:t>
            </w:r>
          </w:p>
          <w:p>
            <w:pPr>
              <w:widowControl/>
              <w:spacing w:line="400" w:lineRule="exact"/>
              <w:jc w:val="left"/>
              <w:rPr>
                <w:rFonts w:hint="eastAsia" w:ascii="宋体" w:hAnsi="宋体" w:eastAsia="宋体" w:cs="宋体"/>
                <w:color w:val="auto"/>
                <w:sz w:val="22"/>
                <w:szCs w:val="22"/>
                <w:highlight w:val="yellow"/>
                <w:lang w:val="en-US" w:eastAsia="zh-CN"/>
              </w:rPr>
            </w:pPr>
            <w:r>
              <w:rPr>
                <w:rFonts w:hint="eastAsia" w:ascii="宋体" w:hAnsi="宋体" w:cs="宋体"/>
                <w:color w:val="auto"/>
                <w:sz w:val="22"/>
                <w:szCs w:val="22"/>
                <w:highlight w:val="yellow"/>
              </w:rPr>
              <w:t>16.球气压需求：</w:t>
            </w:r>
            <w:r>
              <w:rPr>
                <w:rFonts w:hint="eastAsia" w:ascii="宋体" w:hAnsi="宋体" w:cs="宋体"/>
                <w:color w:val="auto"/>
                <w:sz w:val="22"/>
                <w:szCs w:val="22"/>
                <w:highlight w:val="yellow"/>
                <w:lang w:val="en-US" w:eastAsia="zh-CN"/>
              </w:rPr>
              <w:t>0.5-0.7mpa</w:t>
            </w:r>
          </w:p>
          <w:p>
            <w:pPr>
              <w:widowControl/>
              <w:spacing w:line="400" w:lineRule="exact"/>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17.所需电源容量：30</w:t>
            </w:r>
            <w:r>
              <w:rPr>
                <w:rFonts w:hint="eastAsia" w:ascii="宋体" w:hAnsi="宋体" w:cs="宋体"/>
                <w:color w:val="auto"/>
                <w:sz w:val="22"/>
                <w:szCs w:val="22"/>
                <w:lang w:val="en-US" w:eastAsia="zh-CN"/>
              </w:rPr>
              <w:t>KVA</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18.机床尺寸：≥2500*3400*2550mm</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19.定位度(GB/T20957.4-2007):≥0.008mm/全长</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20.重复定位精度(GB/T20957.4-2007):≥0.006mm</w:t>
            </w:r>
          </w:p>
          <w:p>
            <w:pPr>
              <w:widowControl/>
              <w:spacing w:line="400" w:lineRule="exact"/>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1.</w:t>
            </w:r>
            <w:r>
              <w:rPr>
                <w:rFonts w:hint="eastAsia" w:ascii="宋体" w:hAnsi="宋体" w:cs="宋体"/>
                <w:color w:val="auto"/>
                <w:sz w:val="22"/>
                <w:szCs w:val="22"/>
              </w:rPr>
              <w:t>数控系统：FANUC</w:t>
            </w:r>
            <w:r>
              <w:rPr>
                <w:rFonts w:hint="eastAsia"/>
                <w:color w:val="auto"/>
                <w:lang w:val="en-US" w:eastAsia="zh-CN"/>
              </w:rPr>
              <w:t>等同等主流系统。</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考核系统：</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(a)数控机床电路图绘制：</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对于某台数控设备的电气控制原理图，根据提出的功能要求，在现有电气控制原理图的基础上，设计、绘制电路图，能够实现所要求的功能。支持切削水控制机构电路、液压站控制机构电路、排屑器控制机构电路、刀库电机控制机构电路、伺服三相220</w:t>
            </w:r>
            <w:r>
              <w:rPr>
                <w:rFonts w:hint="eastAsia" w:ascii="宋体" w:hAnsi="宋体" w:cs="宋体"/>
                <w:color w:val="auto"/>
                <w:sz w:val="22"/>
                <w:szCs w:val="22"/>
                <w:lang w:val="en-US" w:eastAsia="zh-CN"/>
              </w:rPr>
              <w:t>V</w:t>
            </w:r>
            <w:r>
              <w:rPr>
                <w:rFonts w:hint="eastAsia" w:ascii="宋体" w:hAnsi="宋体" w:cs="宋体"/>
                <w:color w:val="auto"/>
                <w:sz w:val="22"/>
                <w:szCs w:val="22"/>
              </w:rPr>
              <w:t>电源电路、主轴电机冷却风扇电路、控制柜热交换器电路、主轴敢热风扇功能电路、铣床“润滑功能”电路、机床照明电路三色灯电路的原理图绘制。点、线圈、电磁阀线圈、热交换器、电抗器、驱动器、润滑油泵等。支持对绘回板进行放大缩小，位置的移动，能够将绘制的原理回保存为图片。</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(b)数控机床电气仿直连接：</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在软件仿真平台上，能够根据给出的机床某机构电气原理图，正确地选择元器件，并进行仿真连接。要求元器件选择正确、线路连接逻辑关系正确。支持切削水控制机构电路、液压站控制机构电路、排屑器控制机构电路、刀库电机控制机构电路、伺服三相220</w:t>
            </w:r>
            <w:r>
              <w:rPr>
                <w:rFonts w:hint="eastAsia" w:ascii="宋体" w:hAnsi="宋体" w:cs="宋体"/>
                <w:color w:val="auto"/>
                <w:sz w:val="22"/>
                <w:szCs w:val="22"/>
                <w:lang w:val="en-US" w:eastAsia="zh-CN"/>
              </w:rPr>
              <w:t>V</w:t>
            </w:r>
            <w:r>
              <w:rPr>
                <w:rFonts w:hint="eastAsia" w:ascii="宋体" w:hAnsi="宋体" w:cs="宋体"/>
                <w:color w:val="auto"/>
                <w:sz w:val="22"/>
                <w:szCs w:val="22"/>
              </w:rPr>
              <w:t>电源电路、主轴电机冷却风扇电路、控制柜热交换器电路、主轴散热风扇功能电路、铣床“润滑功能”电路、机床照明电路三色灯电路的电气仿真连接绘制。</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c</w:t>
            </w:r>
            <w:r>
              <w:rPr>
                <w:rFonts w:hint="eastAsia" w:ascii="宋体" w:hAnsi="宋体" w:cs="宋体"/>
                <w:color w:val="auto"/>
                <w:sz w:val="22"/>
                <w:szCs w:val="22"/>
                <w:lang w:eastAsia="zh-CN"/>
              </w:rPr>
              <w:t>）</w:t>
            </w:r>
            <w:r>
              <w:rPr>
                <w:rFonts w:hint="eastAsia" w:ascii="宋体" w:hAnsi="宋体" w:cs="宋体"/>
                <w:color w:val="auto"/>
                <w:sz w:val="22"/>
                <w:szCs w:val="22"/>
              </w:rPr>
              <w:t>元件库包含38O</w:t>
            </w:r>
            <w:r>
              <w:rPr>
                <w:rFonts w:hint="eastAsia" w:ascii="宋体" w:hAnsi="宋体" w:cs="宋体"/>
                <w:color w:val="auto"/>
                <w:sz w:val="22"/>
                <w:szCs w:val="22"/>
                <w:lang w:val="en-US" w:eastAsia="zh-CN"/>
              </w:rPr>
              <w:t>V</w:t>
            </w:r>
            <w:r>
              <w:rPr>
                <w:rFonts w:hint="eastAsia" w:ascii="宋体" w:hAnsi="宋体" w:cs="宋体"/>
                <w:color w:val="auto"/>
                <w:sz w:val="22"/>
                <w:szCs w:val="22"/>
              </w:rPr>
              <w:t>电源、接触器、电机保护断路器、三相电机、继电器、电机保护断路器、开关电源、PLC输入输出、1P断路器、2P断路器、3F断路器、三色灯、照明灯、热交换器、电抗器、驱动器、润滑油泵等。支持对仿真图板进行放大缩小，位置的移动，能够将绘制的仿真连接图保存为图片</w:t>
            </w:r>
            <w:r>
              <w:rPr>
                <w:rFonts w:hint="eastAsia" w:ascii="宋体" w:hAnsi="宋体" w:cs="宋体"/>
                <w:color w:val="auto"/>
                <w:sz w:val="22"/>
                <w:szCs w:val="22"/>
                <w:lang w:eastAsia="zh-CN"/>
              </w:rPr>
              <w:t>。</w:t>
            </w:r>
          </w:p>
        </w:tc>
        <w:tc>
          <w:tcPr>
            <w:tcW w:w="1165" w:type="dxa"/>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2</w:t>
            </w:r>
          </w:p>
        </w:tc>
        <w:tc>
          <w:tcPr>
            <w:tcW w:w="1832"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激光雕刻机</w:t>
            </w:r>
          </w:p>
        </w:tc>
        <w:tc>
          <w:tcPr>
            <w:tcW w:w="6217" w:type="dxa"/>
            <w:vAlign w:val="center"/>
          </w:tcPr>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整体系统规格：≥60W金属射频管，风冷，2.0″分层式聚焦模组，四门全开机箱，探针式自动对焦，打印式驱动激光切割系统，最高分辨率≥4000DPI，电机≥100W无刷伺服电机及驱动器，直线磁栅编码系统，扩束镜，以太网印表伺服器，安全磁环开关，升降平台限位开关，紧急停止按钮，油水分离空气助推系统，提供VR虚拟现实仿真教学系统，提供技术支持和课程支撑；（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2.聚焦镜：标配2.0″聚焦镜，分层式聚焦结构装置可兼容1.5″英寸、2.0″英寸、2.5″英寸、3.0″英寸的聚焦镜片，且可以实现快速切换自动对焦；</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3.★有效加工幅面：≥700×500×230 mm，外形尺寸≤1150 × 802 × 1064 mm；（提供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4. 机箱容纳尺寸：≥1110×640×230mm</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5.精密R轴：精密式旋转辅助器，360°旋转雕刻，雕刻长度≥0-410mm，φ≥260mm</w:t>
            </w:r>
            <w:r>
              <w:rPr>
                <w:rFonts w:hint="eastAsia" w:ascii="宋体" w:hAnsi="宋体" w:cs="宋体"/>
                <w:color w:val="auto"/>
                <w:sz w:val="22"/>
                <w:szCs w:val="22"/>
                <w:lang w:eastAsia="zh-CN"/>
              </w:rPr>
              <w:t>；</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6.加工平台：双平台配置，方格网真空下吸切割平台+金属平板加工平台；</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7.光学反射系统：5个反射镜，1个光斑调节器，1个合束镜，1个视窗防尘镜；</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8.★排风设计：前门需有对流排烟口，平台后需有折弯流道排烟口，真空下吸平台需有排风口，需有双折弯除尘转换箱（提供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9.防尘设计：激光器出光口需设置全密封防尘管道，上方需要设有自动除尘密封防护罩；</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10.★机箱设计：四门全开设计，XY方向均可无限延展以实现无障碍操作。前门采用高强磁性开关设计，配有扩展轴信号端口，便于扩展使用。机身采用3mm加厚钢板，所有连接处均有90°折弯设计，机门设置关联互锁（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11.★人机交互：含电源控制区包含电源开关、激光电源开关、急停开关、系统状态LCD显示区，包含菜单控制区，加工档案调用启动控制区，XY轴移动及原点控制区。机器状态区，设置有READY，LASER，DOOR指示灯，TABLE区可控制Z轴移动及平台自动升降（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12.切割共享模式：局域网打印共享模式，实现多台电脑操作控制</w:t>
            </w:r>
            <w:r>
              <w:rPr>
                <w:rFonts w:hint="eastAsia" w:ascii="宋体" w:hAnsi="宋体" w:cs="宋体"/>
                <w:color w:val="auto"/>
                <w:sz w:val="22"/>
                <w:szCs w:val="22"/>
                <w:lang w:val="en-US" w:eastAsia="zh-CN"/>
              </w:rPr>
              <w:t>激光</w:t>
            </w:r>
            <w:r>
              <w:rPr>
                <w:rFonts w:hint="eastAsia" w:ascii="宋体" w:hAnsi="宋体" w:cs="宋体"/>
                <w:color w:val="auto"/>
                <w:sz w:val="22"/>
                <w:szCs w:val="22"/>
              </w:rPr>
              <w:t>机台；</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13.★排版软件：铭牌二维码排版软件，自动抓取EXCEL内容生成铭牌，包含≥20个具体铭牌库，二维码正方相功能；（提供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14.★具备自动化软件：配备序号生成软件，具有序号生成系统，根据加工信息，自动生成编码，一次性输出≥88组标码，字高≤1mm，字符数1个，序号位置调整，能与MES系统衔接；配备二维码排版软件，能自动抓取EXCEL内容生成铭牌，包含≥20个具体铭牌库；（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15.最大切割速度：≥3600mm/sec，加速度≥5g；</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 xml:space="preserve">16.重复精度：≤0.001mm； </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17.★最小切割线缝：≤30微米，最大切割深度：≥25mm；（提供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18.精确运动控制系统：连续输出电流0.91A，瞬间输出最大电流2.9A。可适合使用环境：温度0~55°C，湿度＜90%RH。抗振动/抗冲击强度：4.9m/s²/19.8m/s²，速度变动率负载变动0~100%，电压变动±10%，温度变动25±25°C：±0.1%以下，缓启动时间：0~10S；</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19.圆弧优化加速度：≥15600/0.1mm/Sec，最大速度≥ 4000/0.1mm/Sec；</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20.★驱动程序：打印式驱动系统（具备3D浮雕、定点打孔并能自定义打孔停留时间和次数设置、探针式自动对焦功能），绘图软件直接打印输出，不需任何软件转换；（提供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21.使用软件：CorelDRAW、</w:t>
            </w:r>
            <w:r>
              <w:rPr>
                <w:rFonts w:hint="eastAsia" w:ascii="宋体" w:hAnsi="宋体" w:cs="宋体"/>
                <w:color w:val="auto"/>
                <w:sz w:val="22"/>
                <w:szCs w:val="22"/>
                <w:lang w:val="en-US" w:eastAsia="zh-CN"/>
              </w:rPr>
              <w:t>Auto</w:t>
            </w:r>
            <w:r>
              <w:rPr>
                <w:rFonts w:hint="eastAsia" w:ascii="宋体" w:hAnsi="宋体" w:cs="宋体"/>
                <w:color w:val="auto"/>
                <w:sz w:val="22"/>
                <w:szCs w:val="22"/>
              </w:rPr>
              <w:t>CAD、Photoshop、Word、Excel等所有与Windows兼容的软件，直接打印输出，不需任何软件转换；</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22.编码系统：采用非接触感应技术设计的直线磁栅编码系统，4000DPI高解析度的encorder 磁性读码器；</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23.其他辅助装置：END SPEED、扩束镜、以太网印表伺服器；</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24.操作保护：漏电断路器、安全磁环开关，升降平台限位开关，紧急停止按钮；</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25.检测功能：激光控制系统自带快速检修功能，可在控制系统上直接插入鼠标、键盘、屏幕、网线进行快速检修问题。机器左右两侧设有翻盖式快速检修防护门；</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26.★特殊功能： 3D浮雕、斜肩、反白、镜射、补正、打点、位置调整、探针式自动对焦、以太网络（远程维护）、切割补偿，按颜色变焦，空气侧吹防燃，COPY N次功能，具备输入输出信号端口--可实现全自动化作业（无需人工上下料），可加装CCD自动定位系统；（提供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27.显示</w:t>
            </w:r>
            <w:r>
              <w:rPr>
                <w:rFonts w:hint="eastAsia" w:ascii="宋体" w:hAnsi="宋体" w:cs="宋体"/>
                <w:color w:val="auto"/>
                <w:sz w:val="22"/>
                <w:szCs w:val="22"/>
                <w:lang w:val="en-US" w:eastAsia="zh-CN"/>
              </w:rPr>
              <w:t>屏</w:t>
            </w:r>
            <w:r>
              <w:rPr>
                <w:rFonts w:hint="eastAsia" w:ascii="宋体" w:hAnsi="宋体" w:cs="宋体"/>
                <w:color w:val="auto"/>
                <w:sz w:val="22"/>
                <w:szCs w:val="22"/>
              </w:rPr>
              <w:t>： LCD显示目前执行档案、激光功率、切割雕刻速度、执行时间、已存储档案内容、系统设定，及自动侦错等多项功能显示；</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28.最高分辨率：≥ 4000×4000 DPI×PPI；</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29.激光能量控制：数位式功率控制可由0.1～100%无段控制；</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 xml:space="preserve">30.★VR虚拟仿真培训系统 </w:t>
            </w:r>
            <w:r>
              <w:rPr>
                <w:rFonts w:hint="eastAsia" w:ascii="宋体" w:hAnsi="宋体" w:cs="宋体"/>
                <w:color w:val="auto"/>
                <w:sz w:val="22"/>
                <w:szCs w:val="22"/>
                <w:lang w:eastAsia="zh-CN"/>
              </w:rPr>
              <w:t>：</w:t>
            </w:r>
            <w:r>
              <w:rPr>
                <w:rFonts w:hint="eastAsia" w:ascii="宋体" w:hAnsi="宋体" w:cs="宋体"/>
                <w:color w:val="auto"/>
                <w:sz w:val="22"/>
                <w:szCs w:val="22"/>
              </w:rPr>
              <w:t>（提供</w:t>
            </w:r>
            <w:r>
              <w:rPr>
                <w:rFonts w:hint="eastAsia" w:ascii="宋体" w:hAnsi="宋体" w:cs="宋体"/>
                <w:color w:val="auto"/>
                <w:sz w:val="22"/>
                <w:szCs w:val="22"/>
                <w:lang w:val="en-US" w:eastAsia="zh-CN"/>
              </w:rPr>
              <w:t>截图</w:t>
            </w:r>
            <w:r>
              <w:rPr>
                <w:rFonts w:hint="eastAsia" w:ascii="宋体" w:hAnsi="宋体" w:cs="宋体"/>
                <w:color w:val="auto"/>
                <w:sz w:val="22"/>
                <w:szCs w:val="22"/>
              </w:rPr>
              <w:t>证明材料）</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①web3D交互培训系统，支持≥100人同时在线，支持pc、移动端同时操作使用。</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②按1：1的比例搭建1个实验环境虚拟3D场景，可提供教学初期对设备的认知、操作使用环节的讲解，以及学生的模拟训练等相关教学活动。</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③ 软件采用虚拟现实技术，虚拟展示实际场景，主要包括安装联机、软硬件配置、功能介绍、软硬件操作流程、安全教育、故障处理、维护保养、常规案例工艺流程等场景。</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④ 教学模块主要内容：对设备的软硬件进行系统介绍，内容包括激光原理、设备功能、硬件配置、软体设置、操作面板、适用材料、适用的绘图软件、安全教育等。</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⑤ 练习模块主要内容：对设备的操作步骤进行全面练习，包括新机软硬件安装、图纸绘制、开机过程、材料放置、雕刻/切割设置、自动对焦、面板操作、作品加工案例解析、日常故障处理方法、维护保养方法等。</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⑥ 考核模块主要内容：以作品制作为案例对操作步骤进行考核，若操作错误程序终止。考核内容包括图纸绘制、开机过程、材料放置、雕刻/切割设置、自动对焦、面板操作等。</w:t>
            </w:r>
          </w:p>
          <w:p>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31.★课程支撑：（提供课程目录）</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① 数字模型制作课程教案</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② 激光技术在建筑设计、景观、城市规划中的应用</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③ 激光技术在艺术设计中的应用</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④ 激光技术在机械机电、工程训练中的应用</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⑤ 激光技术在创新创业空间建设及运营中的应用</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⑥ 激光技术在新材料、新技术科研中的应用</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⑦ 激光技术在生物、医疗、化工中的应用</w:t>
            </w:r>
            <w:r>
              <w:rPr>
                <w:rFonts w:hint="eastAsia" w:ascii="宋体" w:hAnsi="宋体" w:cs="宋体"/>
                <w:color w:val="auto"/>
                <w:sz w:val="22"/>
                <w:szCs w:val="22"/>
                <w:lang w:eastAsia="zh-CN"/>
              </w:rPr>
              <w:t>；</w:t>
            </w:r>
          </w:p>
          <w:p>
            <w:pPr>
              <w:widowControl/>
              <w:spacing w:line="400" w:lineRule="exact"/>
              <w:jc w:val="left"/>
              <w:rPr>
                <w:rFonts w:hint="eastAsia" w:ascii="宋体" w:hAnsi="宋体" w:eastAsia="宋体" w:cs="宋体"/>
                <w:color w:val="auto"/>
                <w:sz w:val="22"/>
                <w:szCs w:val="22"/>
                <w:lang w:eastAsia="zh-CN"/>
              </w:rPr>
            </w:pPr>
            <w:r>
              <w:rPr>
                <w:rFonts w:hint="eastAsia" w:ascii="宋体" w:hAnsi="宋体" w:cs="宋体"/>
                <w:color w:val="auto"/>
                <w:sz w:val="22"/>
                <w:szCs w:val="22"/>
              </w:rPr>
              <w:t>⑧ 激光技术在Die Cut精密模切、FPD平板显示、Wafer半导体、生物医疗、汽车制造、新材料新能源、核电能源等先进制造产业的应用技术讲座</w:t>
            </w:r>
            <w:r>
              <w:rPr>
                <w:rFonts w:hint="eastAsia" w:ascii="宋体" w:hAnsi="宋体" w:cs="宋体"/>
                <w:color w:val="auto"/>
                <w:sz w:val="22"/>
                <w:szCs w:val="22"/>
                <w:lang w:eastAsia="zh-CN"/>
              </w:rPr>
              <w:t>；</w:t>
            </w:r>
          </w:p>
          <w:p>
            <w:pPr>
              <w:widowControl/>
              <w:spacing w:line="400" w:lineRule="exact"/>
              <w:jc w:val="left"/>
              <w:rPr>
                <w:rFonts w:ascii="宋体" w:hAnsi="宋体" w:cs="宋体"/>
                <w:color w:val="auto"/>
                <w:sz w:val="22"/>
                <w:szCs w:val="22"/>
              </w:rPr>
            </w:pPr>
            <w:r>
              <w:rPr>
                <w:rFonts w:hint="eastAsia" w:ascii="宋体" w:hAnsi="宋体" w:cs="宋体"/>
                <w:color w:val="auto"/>
                <w:sz w:val="22"/>
                <w:szCs w:val="22"/>
              </w:rPr>
              <w:t>⑨ 新工科“KAPI”一体化实训应用课程。</w:t>
            </w:r>
          </w:p>
        </w:tc>
        <w:tc>
          <w:tcPr>
            <w:tcW w:w="1165" w:type="dxa"/>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3</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专业安全台锯</w:t>
            </w:r>
          </w:p>
        </w:tc>
        <w:tc>
          <w:tcPr>
            <w:tcW w:w="621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1.★标配安全智能刹车装置，信号接收后快速反应刹车在3-5毫秒（两百分之一秒）内停止锯片，防止手指切伤</w:t>
            </w:r>
            <w:r>
              <w:rPr>
                <w:rFonts w:hint="eastAsia" w:ascii="宋体" w:hAnsi="宋体" w:cs="宋体"/>
                <w:color w:val="auto"/>
                <w:sz w:val="22"/>
                <w:szCs w:val="22"/>
                <w:lang w:eastAsia="zh-CN" w:bidi="ar"/>
              </w:rPr>
              <w:t>，</w:t>
            </w:r>
            <w:r>
              <w:rPr>
                <w:rFonts w:hint="eastAsia" w:ascii="宋体" w:hAnsi="宋体" w:cs="宋体"/>
                <w:color w:val="auto"/>
                <w:sz w:val="22"/>
                <w:szCs w:val="22"/>
                <w:lang w:bidi="ar"/>
              </w:rPr>
              <w:t>外观尺寸:主机：≥1117mm（长）x889mm（宽）×863.5mm（高）</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2.★电机功率：≥5hp/3相/380V/13A/50Hz(TEFC)</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3.铸铁工作台尺寸：:≥609mm（长）×762mm（宽）,1117mm（长）×762mm（宽）（含一对副台板）</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4.延伸铸铁台板尺寸：≥254mm（长）×762mm(宽）</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5.延伸工作台尺寸：≥1117mm（长）×762mm（宽）</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6.锯片：原装镀钛合金锯片≥40齿或原装镀钛合金锯片≥80齿、中心孔直径≥15.875mm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7.锯片直径：≥254mm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8.锯片倾斜方向：左</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9.锯缝宽度：≥3mm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10.锯片厚度：≥2mm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11.90度最大切深：≥79mm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12.45度最大切深：≥57mm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13.锯片右侧最大纵切宽度：≥1333mm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14.锯片左侧最大纵切宽度：≥317mm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15.Dado直径：≥203mm(需要单独安装Dado刀智能刹车装置方可安全使用)</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16.Dado最大开槽宽度：≥20.6mm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17.Dado孔径：≥15.875mm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18.吸尘口直径：≥100mm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19.劈刀板/ 分料器厚度：≥2.33mm</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20.保护板：零间隙保护板、酚醛树脂材料、三聚氰胺板表面</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21.手轮：≥203mm直径，铸铁镀铬处理</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22.传动皮带：≥2根 V型多楔带</w:t>
            </w:r>
            <w:r>
              <w:rPr>
                <w:rFonts w:hint="eastAsia" w:ascii="宋体" w:hAnsi="宋体" w:cs="宋体"/>
                <w:color w:val="auto"/>
                <w:sz w:val="22"/>
                <w:szCs w:val="22"/>
                <w:lang w:eastAsia="zh-CN" w:bidi="ar"/>
              </w:rPr>
              <w:t>；</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23..提供产品详细彩页加盖</w:t>
            </w:r>
            <w:r>
              <w:rPr>
                <w:rFonts w:hint="eastAsia" w:ascii="宋体" w:hAnsi="宋体" w:cs="宋体"/>
                <w:color w:val="auto"/>
                <w:sz w:val="22"/>
                <w:szCs w:val="22"/>
                <w:lang w:val="en-US" w:eastAsia="zh-CN" w:bidi="ar"/>
              </w:rPr>
              <w:t>投标人公章</w:t>
            </w:r>
            <w:r>
              <w:rPr>
                <w:rFonts w:hint="eastAsia" w:ascii="宋体" w:hAnsi="宋体" w:cs="宋体"/>
                <w:color w:val="auto"/>
                <w:sz w:val="22"/>
                <w:szCs w:val="22"/>
                <w:lang w:eastAsia="zh-CN" w:bidi="ar"/>
              </w:rPr>
              <w:t>。</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4</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精密推台锯WA6</w:t>
            </w:r>
          </w:p>
        </w:tc>
        <w:tc>
          <w:tcPr>
            <w:tcW w:w="6217" w:type="dxa"/>
            <w:vAlign w:val="center"/>
          </w:tcPr>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台长度：≥2600mm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可锯切长度：≥2500mm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标准锯切宽度≥1000mm （平行挡板手动调节）</w:t>
            </w:r>
            <w:r>
              <w:rPr>
                <w:rFonts w:hint="eastAsia" w:ascii="宋体" w:hAnsi="宋体" w:cs="宋体"/>
                <w:color w:val="auto"/>
                <w:sz w:val="22"/>
                <w:szCs w:val="22"/>
                <w:lang w:eastAsia="zh-CN" w:bidi="ar"/>
              </w:rPr>
              <w:t>；</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最大锯切宽度：≥2600mm，</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5.</w:t>
            </w:r>
            <w:r>
              <w:rPr>
                <w:rFonts w:hint="eastAsia" w:ascii="宋体" w:hAnsi="宋体" w:cs="宋体"/>
                <w:color w:val="auto"/>
                <w:sz w:val="22"/>
                <w:szCs w:val="22"/>
                <w:lang w:bidi="ar"/>
              </w:rPr>
              <w:t>主锯孔径：≥30mm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6.</w:t>
            </w:r>
            <w:r>
              <w:rPr>
                <w:rFonts w:hint="eastAsia" w:ascii="宋体" w:hAnsi="宋体" w:cs="宋体"/>
                <w:color w:val="auto"/>
                <w:sz w:val="22"/>
                <w:szCs w:val="22"/>
                <w:lang w:bidi="ar"/>
              </w:rPr>
              <w:t>主锯电机：≥4KW（5.5HP）380V-440V；空载转速：4200 转/分</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7.</w:t>
            </w:r>
            <w:r>
              <w:rPr>
                <w:rFonts w:hint="eastAsia" w:ascii="宋体" w:hAnsi="宋体" w:cs="宋体"/>
                <w:color w:val="auto"/>
                <w:sz w:val="22"/>
                <w:szCs w:val="22"/>
                <w:lang w:bidi="ar"/>
              </w:rPr>
              <w:t>高度：≥0-100mm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8.</w:t>
            </w:r>
            <w:r>
              <w:rPr>
                <w:rFonts w:hint="eastAsia" w:ascii="宋体" w:hAnsi="宋体" w:cs="宋体"/>
                <w:color w:val="auto"/>
                <w:sz w:val="22"/>
                <w:szCs w:val="22"/>
                <w:lang w:bidi="ar"/>
              </w:rPr>
              <w:t>手动调节主锯最大锯切高度：≥117.5 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9.</w:t>
            </w:r>
            <w:r>
              <w:rPr>
                <w:rFonts w:hint="eastAsia" w:ascii="宋体" w:hAnsi="宋体" w:cs="宋体"/>
                <w:color w:val="auto"/>
                <w:sz w:val="22"/>
                <w:szCs w:val="22"/>
                <w:lang w:bidi="ar"/>
              </w:rPr>
              <w:t>主锯最大锯片直径：≥350mm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10.</w:t>
            </w:r>
            <w:r>
              <w:rPr>
                <w:rFonts w:hint="eastAsia" w:ascii="宋体" w:hAnsi="宋体" w:cs="宋体"/>
                <w:color w:val="auto"/>
                <w:sz w:val="22"/>
                <w:szCs w:val="22"/>
                <w:lang w:bidi="ar"/>
              </w:rPr>
              <w:t>槽锯电机≥0.37KW（1HP）；空载转速：≥8200 转/分</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11.</w:t>
            </w:r>
            <w:r>
              <w:rPr>
                <w:rFonts w:hint="eastAsia" w:ascii="宋体" w:hAnsi="宋体" w:cs="宋体"/>
                <w:color w:val="auto"/>
                <w:sz w:val="22"/>
                <w:szCs w:val="22"/>
                <w:lang w:bidi="ar"/>
              </w:rPr>
              <w:t>锯片高度手动调节，手动横向调节</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12.</w:t>
            </w:r>
            <w:r>
              <w:rPr>
                <w:rFonts w:hint="eastAsia" w:ascii="宋体" w:hAnsi="宋体" w:cs="宋体"/>
                <w:color w:val="auto"/>
                <w:sz w:val="22"/>
                <w:szCs w:val="22"/>
                <w:lang w:bidi="ar"/>
              </w:rPr>
              <w:t>手动调节横角档锯切宽度2600mm, 角度范围0-49°</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13.</w:t>
            </w:r>
            <w:r>
              <w:rPr>
                <w:rFonts w:hint="eastAsia" w:ascii="宋体" w:hAnsi="宋体" w:cs="宋体"/>
                <w:color w:val="auto"/>
                <w:sz w:val="22"/>
                <w:szCs w:val="22"/>
                <w:lang w:bidi="ar"/>
              </w:rPr>
              <w:t>托盘长度：≥920mm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14.</w:t>
            </w:r>
            <w:r>
              <w:rPr>
                <w:rFonts w:hint="eastAsia" w:ascii="宋体" w:hAnsi="宋体" w:cs="宋体"/>
                <w:color w:val="auto"/>
                <w:sz w:val="22"/>
                <w:szCs w:val="22"/>
                <w:lang w:bidi="ar"/>
              </w:rPr>
              <w:t>配集成主/槽锯开关配套挡尘罩，装在分刀片上的挡尘罩</w:t>
            </w:r>
            <w:r>
              <w:rPr>
                <w:rFonts w:hint="eastAsia" w:ascii="宋体" w:hAnsi="宋体" w:cs="宋体"/>
                <w:color w:val="auto"/>
                <w:sz w:val="22"/>
                <w:szCs w:val="22"/>
                <w:lang w:eastAsia="zh-CN" w:bidi="ar"/>
              </w:rPr>
              <w:t>。</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5</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多功能磨刀机</w:t>
            </w:r>
          </w:p>
        </w:tc>
        <w:tc>
          <w:tcPr>
            <w:tcW w:w="6217" w:type="dxa"/>
            <w:vAlign w:val="center"/>
          </w:tcPr>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无级调速，可正反转，打磨抛光，静音不烧机</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电压：≥220V-50Hz</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功率：≥200W</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空载转速：≥30-180r/min</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5.</w:t>
            </w:r>
            <w:r>
              <w:rPr>
                <w:rFonts w:hint="eastAsia" w:ascii="宋体" w:hAnsi="宋体" w:cs="宋体"/>
                <w:color w:val="auto"/>
                <w:sz w:val="22"/>
                <w:szCs w:val="22"/>
                <w:lang w:bidi="ar"/>
              </w:rPr>
              <w:t>砂轮目数：≥220目</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6.</w:t>
            </w:r>
            <w:r>
              <w:rPr>
                <w:rFonts w:hint="eastAsia" w:ascii="宋体" w:hAnsi="宋体" w:cs="宋体"/>
                <w:color w:val="auto"/>
                <w:sz w:val="22"/>
                <w:szCs w:val="22"/>
                <w:lang w:bidi="ar"/>
              </w:rPr>
              <w:t>主轴直径：≥12mm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7.</w:t>
            </w:r>
            <w:r>
              <w:rPr>
                <w:rFonts w:hint="eastAsia" w:ascii="宋体" w:hAnsi="宋体" w:cs="宋体"/>
                <w:color w:val="auto"/>
                <w:sz w:val="22"/>
                <w:szCs w:val="22"/>
                <w:lang w:bidi="ar"/>
              </w:rPr>
              <w:t>砂轮规格：≥直径200mm*宽40mm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8.</w:t>
            </w:r>
            <w:r>
              <w:rPr>
                <w:rFonts w:hint="eastAsia" w:ascii="宋体" w:hAnsi="宋体" w:cs="宋体"/>
                <w:color w:val="auto"/>
                <w:sz w:val="22"/>
                <w:szCs w:val="22"/>
                <w:lang w:bidi="ar"/>
              </w:rPr>
              <w:t>牛皮轮规格：≥直径200mm*宽30mm</w:t>
            </w:r>
            <w:r>
              <w:rPr>
                <w:rFonts w:hint="eastAsia" w:ascii="宋体" w:hAnsi="宋体" w:cs="宋体"/>
                <w:color w:val="auto"/>
                <w:sz w:val="22"/>
                <w:szCs w:val="22"/>
                <w:lang w:eastAsia="zh-CN" w:bidi="ar"/>
              </w:rPr>
              <w:t>。</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ascii="宋体" w:hAnsi="宋体" w:cs="宋体"/>
                <w:color w:val="auto"/>
                <w:sz w:val="22"/>
                <w:szCs w:val="22"/>
                <w:lang w:bidi="ar"/>
              </w:rPr>
              <w:t>6</w:t>
            </w:r>
          </w:p>
        </w:tc>
        <w:tc>
          <w:tcPr>
            <w:tcW w:w="1832" w:type="dxa"/>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平刨</w:t>
            </w:r>
          </w:p>
        </w:tc>
        <w:tc>
          <w:tcPr>
            <w:tcW w:w="6217" w:type="dxa"/>
            <w:vAlign w:val="center"/>
          </w:tcPr>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1.功率:≥2200瓦；</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2.进料速度≥7m/min；</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3.刨刀转速:≥5500转/分；</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4.刀轴直径：≥70mm；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5.最大刨削范围：≥310x200mm；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6.最大平刨宽度：≥310mm；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7.最大刨削量：≥3mm刀轴刨刀数量: ≥52pcs（螺旋刀轴）；</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8.平刨靠山角度调整范围:≥0-45°；</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9.平刨工作台总长度: ≥1409mm；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10.压刨工作台长度：≥545mm；</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11.吸尘口直径:≥100mm。</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ascii="宋体" w:hAnsi="宋体" w:cs="宋体"/>
                <w:color w:val="auto"/>
                <w:sz w:val="22"/>
                <w:szCs w:val="22"/>
                <w:lang w:bidi="ar"/>
              </w:rPr>
              <w:t>7</w:t>
            </w:r>
          </w:p>
        </w:tc>
        <w:tc>
          <w:tcPr>
            <w:tcW w:w="1832" w:type="dxa"/>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自动压刨</w:t>
            </w:r>
          </w:p>
        </w:tc>
        <w:tc>
          <w:tcPr>
            <w:tcW w:w="6217" w:type="dxa"/>
            <w:vAlign w:val="center"/>
          </w:tcPr>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1.进料速度：≥4-16m/min无级调速；</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2.刀轴转速：≥5500rpm；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3.刀轴直径：≥120mm；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4.刨削厚度：≥5-300mm；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5.最大刨削宽度：≥630mm；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6.最大刨削量：≥8mm；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7.刀轴刨刀数量：≥108pcs；</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8.压刨工作台尺寸：≥1050×630mm；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9.吸尘口直径：≥150mm；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10.主电机输出功率：≥5.5KW；</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11.升降电机输出功率：≥0.25KW；</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12送给电机输出功率：≥0.55KW。</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ascii="宋体" w:hAnsi="宋体" w:cs="宋体"/>
                <w:color w:val="auto"/>
                <w:sz w:val="22"/>
                <w:szCs w:val="22"/>
                <w:lang w:bidi="ar"/>
              </w:rPr>
              <w:t>8</w:t>
            </w:r>
          </w:p>
        </w:tc>
        <w:tc>
          <w:tcPr>
            <w:tcW w:w="1832"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中央集成器</w:t>
            </w:r>
          </w:p>
        </w:tc>
        <w:tc>
          <w:tcPr>
            <w:tcW w:w="6217" w:type="dxa"/>
            <w:vAlign w:val="center"/>
          </w:tcPr>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技术参数：</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1.电源（V/Hz）：380/50；</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2.功率：≥11KW ;(双机组5.5kw*2）；</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3.处理风量：≥9000-12000m3/h；</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4.风压：≥3000-5000Pa；</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5.过滤面积：≥41m²；</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6.过滤桶数量：≥6个；</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7.过滤精度：0.3-1μm；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8.过滤效率：99%；</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9.环境温度：+ 5</w:t>
            </w:r>
            <w:r>
              <w:rPr>
                <w:rFonts w:hint="eastAsia" w:ascii="宋体" w:hAnsi="宋体" w:cs="宋体"/>
                <w:color w:val="auto"/>
                <w:sz w:val="22"/>
                <w:szCs w:val="22"/>
                <w:lang w:eastAsia="zh-CN" w:bidi="ar"/>
              </w:rPr>
              <w:t>—</w:t>
            </w:r>
            <w:r>
              <w:rPr>
                <w:rFonts w:hint="eastAsia" w:ascii="宋体" w:hAnsi="宋体" w:cs="宋体"/>
                <w:color w:val="auto"/>
                <w:sz w:val="22"/>
                <w:szCs w:val="22"/>
                <w:lang w:val="en-US" w:eastAsia="zh-CN" w:bidi="ar"/>
              </w:rPr>
              <w:t>+ 40 °C ；</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10.滤芯材质：聚脂纤维PTFE覆膜；</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11.压缩空气压力：0.4-0.6Mpa；</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12.压缩空气气缸：≥20L/个；</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13.集成箱容量：≥200L；</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14.噪音等级：≤85dB；（配消音器）</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15.过滤方式：负压外滤式；</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16.清灰方式：脉冲反吹+抽屉集尘；</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17.进风口口径：φ200mm*2；</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18.排风口口径：φ200mm；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19.尺寸：≤1300*930*2100mm；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20.重量：≤480kg；</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21.可移动性：工业万向脚轮（带刹车），带叉车底角；</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22.防护等级：IP55；</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23.机器外观喷漆：碳钢2.0㎜喷塑涂装，桔纹白。</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ascii="宋体" w:hAnsi="宋体" w:cs="宋体"/>
                <w:color w:val="auto"/>
                <w:sz w:val="22"/>
                <w:szCs w:val="22"/>
                <w:lang w:bidi="ar"/>
              </w:rPr>
              <w:t>9</w:t>
            </w:r>
          </w:p>
        </w:tc>
        <w:tc>
          <w:tcPr>
            <w:tcW w:w="1832"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吸臂</w:t>
            </w:r>
          </w:p>
        </w:tc>
        <w:tc>
          <w:tcPr>
            <w:tcW w:w="6217" w:type="dxa"/>
            <w:vAlign w:val="center"/>
          </w:tcPr>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吸尘臂可以360度旋转，自由定位</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标准口径：160mm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罩口形式：圆形翻边罩口</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弹性柔性臂，移动定位容易，定位后不偏移，可自由悬停</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5.</w:t>
            </w:r>
            <w:r>
              <w:rPr>
                <w:rFonts w:hint="eastAsia" w:ascii="宋体" w:hAnsi="宋体" w:cs="宋体"/>
                <w:color w:val="auto"/>
                <w:sz w:val="22"/>
                <w:szCs w:val="22"/>
                <w:lang w:bidi="ar"/>
              </w:rPr>
              <w:t>所有方向均可灵活转动并定位</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6.</w:t>
            </w:r>
            <w:r>
              <w:rPr>
                <w:rFonts w:hint="eastAsia" w:ascii="宋体" w:hAnsi="宋体" w:cs="宋体"/>
                <w:color w:val="auto"/>
                <w:sz w:val="22"/>
                <w:szCs w:val="22"/>
                <w:lang w:bidi="ar"/>
              </w:rPr>
              <w:t>墙壁式安装或工程管路式安装</w:t>
            </w:r>
            <w:r>
              <w:rPr>
                <w:rFonts w:hint="eastAsia" w:ascii="宋体" w:hAnsi="宋体" w:cs="宋体"/>
                <w:color w:val="auto"/>
                <w:sz w:val="22"/>
                <w:szCs w:val="22"/>
                <w:lang w:eastAsia="zh-CN" w:bidi="ar"/>
              </w:rPr>
              <w:t>；</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7.</w:t>
            </w:r>
            <w:r>
              <w:rPr>
                <w:rFonts w:hint="eastAsia" w:ascii="宋体" w:hAnsi="宋体" w:cs="宋体"/>
                <w:color w:val="auto"/>
                <w:sz w:val="22"/>
                <w:szCs w:val="22"/>
                <w:lang w:bidi="ar"/>
              </w:rPr>
              <w:t>软管为PVC与玻璃纤维合成材料，内衬螺旋支撑钢丝。</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ascii="宋体" w:hAnsi="宋体" w:cs="宋体"/>
                <w:color w:val="auto"/>
                <w:sz w:val="22"/>
                <w:szCs w:val="22"/>
                <w:lang w:bidi="ar"/>
              </w:rPr>
              <w:t>10</w:t>
            </w:r>
          </w:p>
        </w:tc>
        <w:tc>
          <w:tcPr>
            <w:tcW w:w="1832"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管道及材料</w:t>
            </w:r>
          </w:p>
        </w:tc>
        <w:tc>
          <w:tcPr>
            <w:tcW w:w="6217" w:type="dxa"/>
            <w:vAlign w:val="center"/>
          </w:tcPr>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highlight w:val="yellow"/>
                <w:lang w:eastAsia="zh-CN" w:bidi="ar"/>
              </w:rPr>
              <w:t>采用</w:t>
            </w:r>
            <w:r>
              <w:rPr>
                <w:rFonts w:hint="eastAsia" w:ascii="宋体" w:hAnsi="宋体" w:cs="宋体"/>
                <w:color w:val="auto"/>
                <w:sz w:val="22"/>
                <w:szCs w:val="22"/>
                <w:highlight w:val="yellow"/>
                <w:lang w:val="en-US" w:eastAsia="zh-CN" w:bidi="ar"/>
              </w:rPr>
              <w:t>防锈</w:t>
            </w:r>
            <w:r>
              <w:rPr>
                <w:rFonts w:hint="eastAsia" w:ascii="宋体" w:hAnsi="宋体" w:cs="宋体"/>
                <w:color w:val="auto"/>
                <w:sz w:val="22"/>
                <w:szCs w:val="22"/>
                <w:highlight w:val="yellow"/>
                <w:lang w:eastAsia="zh-CN" w:bidi="ar"/>
              </w:rPr>
              <w:t>镀锌板</w:t>
            </w:r>
            <w:r>
              <w:rPr>
                <w:rFonts w:hint="eastAsia" w:ascii="宋体" w:hAnsi="宋体" w:cs="宋体"/>
                <w:color w:val="auto"/>
                <w:sz w:val="22"/>
                <w:szCs w:val="22"/>
                <w:lang w:eastAsia="zh-CN" w:bidi="ar"/>
              </w:rPr>
              <w:t>制作厚≥0.6mm；吸风口≥20个；集中集尘器桥架定制；包含所有管材、网线、电源线及配套材料。</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w:t>
            </w:r>
            <w:r>
              <w:rPr>
                <w:rFonts w:ascii="宋体" w:hAnsi="宋体" w:cs="宋体"/>
                <w:color w:val="auto"/>
                <w:sz w:val="22"/>
                <w:szCs w:val="22"/>
                <w:lang w:bidi="ar"/>
              </w:rPr>
              <w:t>1</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数显角度仪</w:t>
            </w:r>
          </w:p>
        </w:tc>
        <w:tc>
          <w:tcPr>
            <w:tcW w:w="6217" w:type="dxa"/>
            <w:vAlign w:val="center"/>
          </w:tcPr>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1.三面带有强力钕铁硼磁石；</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2.角度（°）和倾斜度（%）可以切换显示；</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3.测定范围：≥90°*4方向（360°）；</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4.最小表示：≥角度：0.1°、倾斜度：0.1%；</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5.精度：≥±0.2°（±3.5mm/m）；</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6.使用温度：≥0-40℃；</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7.电源：9V电池1个；</w:t>
            </w:r>
          </w:p>
          <w:p>
            <w:pPr>
              <w:widowControl/>
              <w:spacing w:line="400" w:lineRule="exact"/>
              <w:jc w:val="left"/>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8.自动关机：约5分；</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9.材料：本体：锌合金，面板：聚碳酸酯。</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w:t>
            </w:r>
            <w:r>
              <w:rPr>
                <w:rFonts w:ascii="宋体" w:hAnsi="宋体" w:cs="宋体"/>
                <w:color w:val="auto"/>
                <w:sz w:val="22"/>
                <w:szCs w:val="22"/>
                <w:lang w:bidi="ar"/>
              </w:rPr>
              <w:t>2</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木工手动工具（刨切及相关辅件）</w:t>
            </w:r>
          </w:p>
        </w:tc>
        <w:tc>
          <w:tcPr>
            <w:tcW w:w="6217" w:type="dxa"/>
            <w:vAlign w:val="center"/>
          </w:tcPr>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欧刨1把，铸铁款，≥4号;迷你台虎钳1个，夹口距离≥60mm;双面油石2块，目数区间600-8000；划线器1个，最短画线距离≥10mm;锯锉1个,刃长250mm 刃宽29mm；胶锤等组装用工具耗材。</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13</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夹具支架</w:t>
            </w:r>
          </w:p>
        </w:tc>
        <w:tc>
          <w:tcPr>
            <w:tcW w:w="6217" w:type="dxa"/>
            <w:vAlign w:val="center"/>
          </w:tcPr>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整体尺寸：≥800*400*1300mm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框架材质：榉木</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挂架材质：实木多层板</w:t>
            </w:r>
            <w:r>
              <w:rPr>
                <w:rFonts w:hint="eastAsia" w:ascii="宋体" w:hAnsi="宋体" w:cs="宋体"/>
                <w:color w:val="auto"/>
                <w:sz w:val="22"/>
                <w:szCs w:val="22"/>
                <w:lang w:eastAsia="zh-CN" w:bidi="ar"/>
              </w:rPr>
              <w:t>；</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结构：可拆卸，方便运输。</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14</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水旋式喷漆柜</w:t>
            </w:r>
          </w:p>
        </w:tc>
        <w:tc>
          <w:tcPr>
            <w:tcW w:w="6217" w:type="dxa"/>
            <w:vAlign w:val="center"/>
          </w:tcPr>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水帘板采用≥1.0mm不锈钢304制作，</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水箱采用≥304不锈钢板厚1.8mm，</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上体采用≥304不锈钢板厚1.5mm，</w:t>
            </w:r>
          </w:p>
          <w:p>
            <w:pPr>
              <w:widowControl/>
              <w:spacing w:line="400" w:lineRule="exact"/>
              <w:jc w:val="left"/>
              <w:rPr>
                <w:rFonts w:hint="eastAsia" w:ascii="宋体" w:hAnsi="宋体" w:cs="宋体"/>
                <w:color w:val="auto"/>
                <w:sz w:val="22"/>
                <w:szCs w:val="22"/>
                <w:highlight w:val="yellow"/>
                <w:lang w:bidi="ar"/>
              </w:rPr>
            </w:pPr>
            <w:r>
              <w:rPr>
                <w:rFonts w:hint="eastAsia" w:ascii="宋体" w:hAnsi="宋体" w:cs="宋体"/>
                <w:color w:val="auto"/>
                <w:sz w:val="22"/>
                <w:szCs w:val="22"/>
                <w:highlight w:val="yellow"/>
                <w:lang w:val="en-US" w:eastAsia="zh-CN" w:bidi="ar"/>
              </w:rPr>
              <w:t>2.</w:t>
            </w:r>
            <w:r>
              <w:rPr>
                <w:rFonts w:hint="eastAsia" w:ascii="宋体" w:hAnsi="宋体" w:cs="宋体"/>
                <w:color w:val="auto"/>
                <w:sz w:val="22"/>
                <w:szCs w:val="22"/>
                <w:highlight w:val="yellow"/>
                <w:lang w:bidi="ar"/>
              </w:rPr>
              <w:t>配防爆管道水泵0.75kw壹台，</w:t>
            </w:r>
            <w:r>
              <w:rPr>
                <w:rFonts w:hint="eastAsia" w:ascii="宋体" w:hAnsi="宋体" w:cs="宋体"/>
                <w:color w:val="auto"/>
                <w:sz w:val="22"/>
                <w:szCs w:val="22"/>
                <w:highlight w:val="yellow"/>
                <w:lang w:val="en-US" w:eastAsia="zh-CN" w:bidi="ar"/>
              </w:rPr>
              <w:t>水泵电压：380V</w:t>
            </w:r>
            <w:r>
              <w:rPr>
                <w:rFonts w:hint="eastAsia" w:ascii="宋体" w:hAnsi="宋体" w:cs="宋体"/>
                <w:color w:val="auto"/>
                <w:sz w:val="22"/>
                <w:szCs w:val="22"/>
                <w:highlight w:val="yellow"/>
                <w:lang w:bidi="ar"/>
              </w:rPr>
              <w:t>配防爆风机0.75kw壹台</w:t>
            </w:r>
            <w:r>
              <w:rPr>
                <w:rFonts w:hint="eastAsia" w:ascii="宋体" w:hAnsi="宋体" w:cs="宋体"/>
                <w:color w:val="auto"/>
                <w:sz w:val="22"/>
                <w:szCs w:val="22"/>
                <w:highlight w:val="yellow"/>
                <w:lang w:eastAsia="zh-CN" w:bidi="ar"/>
              </w:rPr>
              <w:t>（</w:t>
            </w:r>
            <w:r>
              <w:rPr>
                <w:rFonts w:hint="eastAsia" w:ascii="宋体" w:hAnsi="宋体" w:cs="宋体"/>
                <w:color w:val="auto"/>
                <w:sz w:val="22"/>
                <w:szCs w:val="22"/>
                <w:highlight w:val="yellow"/>
                <w:lang w:val="en-US" w:eastAsia="zh-CN" w:bidi="ar"/>
              </w:rPr>
              <w:t>低压</w:t>
            </w:r>
            <w:r>
              <w:rPr>
                <w:rFonts w:hint="eastAsia" w:ascii="宋体" w:hAnsi="宋体" w:cs="宋体"/>
                <w:color w:val="auto"/>
                <w:sz w:val="22"/>
                <w:szCs w:val="22"/>
                <w:highlight w:val="yellow"/>
                <w:lang w:eastAsia="zh-CN" w:bidi="ar"/>
              </w:rPr>
              <w:t>）</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防爆电控系统壹套，用电电压≥380V；</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防爆照明灯≥1支，喷漆转盘≥1个。</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15</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安全管理系统</w:t>
            </w:r>
          </w:p>
        </w:tc>
        <w:tc>
          <w:tcPr>
            <w:tcW w:w="6217" w:type="dxa"/>
            <w:vAlign w:val="center"/>
          </w:tcPr>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原安全管理系统及设备拆装调试；</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新增至少4台危险设备权限，含配套软件系统对实训室装备维护、保养、点检内容进行定义分级，通过物联网技术， 实现硬件联网、设备在网。管理者通过该模块可以实时唤醒对在线设备 进行有组织、有管控的维护保养。</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16</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空压机</w:t>
            </w:r>
          </w:p>
        </w:tc>
        <w:tc>
          <w:tcPr>
            <w:tcW w:w="6217" w:type="dxa"/>
            <w:vAlign w:val="center"/>
          </w:tcPr>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bidi="ar"/>
              </w:rPr>
              <w:t>90L四管无油静音，转速2850r/min</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17</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电脑仿样机</w:t>
            </w:r>
          </w:p>
        </w:tc>
        <w:tc>
          <w:tcPr>
            <w:tcW w:w="6217" w:type="dxa"/>
            <w:vAlign w:val="center"/>
          </w:tcPr>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1.四轴数控系统,手轮控制</w:t>
            </w:r>
            <w:r>
              <w:rPr>
                <w:rFonts w:hint="eastAsia" w:ascii="宋体" w:hAnsi="宋体" w:cs="宋体"/>
                <w:color w:val="auto"/>
                <w:sz w:val="22"/>
                <w:szCs w:val="22"/>
                <w:lang w:eastAsia="zh-CN" w:bidi="ar"/>
              </w:rPr>
              <w:t>；</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2.★精密整面铸铁床身，铸铁厚度3公分以上，铸铁床身连到台面，保证机器的刚性</w:t>
            </w:r>
            <w:r>
              <w:rPr>
                <w:rFonts w:hint="eastAsia" w:ascii="宋体" w:hAnsi="宋体" w:cs="宋体"/>
                <w:color w:val="auto"/>
                <w:sz w:val="22"/>
                <w:szCs w:val="22"/>
                <w:lang w:eastAsia="zh-CN" w:bidi="ar"/>
              </w:rPr>
              <w:t>；</w:t>
            </w:r>
            <w:r>
              <w:rPr>
                <w:rFonts w:hint="eastAsia" w:ascii="宋体" w:hAnsi="宋体" w:cs="宋体"/>
                <w:color w:val="auto"/>
                <w:sz w:val="22"/>
                <w:szCs w:val="22"/>
                <w:lang w:bidi="ar"/>
              </w:rPr>
              <w:t>（提供</w:t>
            </w:r>
            <w:r>
              <w:rPr>
                <w:rFonts w:hint="eastAsia" w:ascii="宋体" w:hAnsi="宋体" w:cs="宋体"/>
                <w:color w:val="auto"/>
                <w:sz w:val="22"/>
                <w:szCs w:val="22"/>
                <w:lang w:val="en-US" w:eastAsia="zh-CN" w:bidi="ar"/>
              </w:rPr>
              <w:t>截图</w:t>
            </w:r>
            <w:r>
              <w:rPr>
                <w:rFonts w:hint="eastAsia" w:ascii="宋体" w:hAnsi="宋体" w:cs="宋体"/>
                <w:color w:val="auto"/>
                <w:sz w:val="22"/>
                <w:szCs w:val="22"/>
                <w:lang w:bidi="ar"/>
              </w:rPr>
              <w:t>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3.★为了保证刚性，横梁铝铸件精加工而成，中间有镂空两侧有斜波加强设计</w:t>
            </w:r>
            <w:r>
              <w:rPr>
                <w:rFonts w:hint="eastAsia" w:ascii="宋体" w:hAnsi="宋体" w:cs="宋体"/>
                <w:color w:val="auto"/>
                <w:sz w:val="22"/>
                <w:szCs w:val="22"/>
                <w:lang w:eastAsia="zh-CN" w:bidi="ar"/>
              </w:rPr>
              <w:t>，</w:t>
            </w:r>
            <w:r>
              <w:rPr>
                <w:rFonts w:hint="eastAsia" w:ascii="宋体" w:hAnsi="宋体" w:cs="宋体"/>
                <w:color w:val="auto"/>
                <w:sz w:val="22"/>
                <w:szCs w:val="22"/>
                <w:lang w:bidi="ar"/>
              </w:rPr>
              <w:t>铸造厚度为不低于100mm，高度为不低于250mm，长度不低于1100mm</w:t>
            </w:r>
            <w:r>
              <w:rPr>
                <w:rFonts w:hint="eastAsia" w:ascii="宋体" w:hAnsi="宋体" w:cs="宋体"/>
                <w:color w:val="auto"/>
                <w:sz w:val="22"/>
                <w:szCs w:val="22"/>
                <w:lang w:eastAsia="zh-CN" w:bidi="ar"/>
              </w:rPr>
              <w:t>；</w:t>
            </w:r>
            <w:r>
              <w:rPr>
                <w:rFonts w:hint="eastAsia" w:ascii="宋体" w:hAnsi="宋体" w:cs="宋体"/>
                <w:color w:val="auto"/>
                <w:sz w:val="22"/>
                <w:szCs w:val="22"/>
                <w:lang w:bidi="ar"/>
              </w:rPr>
              <w:t>（提供</w:t>
            </w:r>
            <w:r>
              <w:rPr>
                <w:rFonts w:hint="eastAsia" w:ascii="宋体" w:hAnsi="宋体" w:cs="宋体"/>
                <w:color w:val="auto"/>
                <w:sz w:val="22"/>
                <w:szCs w:val="22"/>
                <w:lang w:val="en-US" w:eastAsia="zh-CN" w:bidi="ar"/>
              </w:rPr>
              <w:t>截图</w:t>
            </w:r>
            <w:r>
              <w:rPr>
                <w:rFonts w:hint="eastAsia" w:ascii="宋体" w:hAnsi="宋体" w:cs="宋体"/>
                <w:color w:val="auto"/>
                <w:sz w:val="22"/>
                <w:szCs w:val="22"/>
                <w:lang w:bidi="ar"/>
              </w:rPr>
              <w:t>证明材料）</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4.工业冷却机，保证正常的主轴冷却</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4.交流伺服电机和驱动器</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5.≥1.5KW精密水冷主轴电机（24000转/分钟），4个</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6.保证足够的切削量</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7.进口柔性联轴器</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8.大功率矢量四方变频器</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9.X/Y/Z轴为精密丝杆传动</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10.X/Y/Z轴为四排钢珠直线导轨</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11.行程大小：≥400*300*80mm</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12.工作台负重≥200公斤</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13.空程速度≥20米/分钟</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14.最大加工速度≥6米/分钟</w:t>
            </w:r>
            <w:r>
              <w:rPr>
                <w:rFonts w:hint="eastAsia" w:ascii="宋体" w:hAnsi="宋体" w:cs="宋体"/>
                <w:color w:val="auto"/>
                <w:sz w:val="22"/>
                <w:szCs w:val="22"/>
                <w:lang w:eastAsia="zh-CN" w:bidi="ar"/>
              </w:rPr>
              <w:t>；</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15.★重复定位精度≤±0.02毫米</w:t>
            </w:r>
            <w:r>
              <w:rPr>
                <w:rFonts w:hint="eastAsia" w:ascii="宋体" w:hAnsi="宋体" w:cs="宋体"/>
                <w:color w:val="auto"/>
                <w:sz w:val="22"/>
                <w:szCs w:val="22"/>
                <w:lang w:eastAsia="zh-CN" w:bidi="ar"/>
              </w:rPr>
              <w:t>；</w:t>
            </w:r>
            <w:r>
              <w:rPr>
                <w:rFonts w:hint="eastAsia" w:ascii="宋体" w:hAnsi="宋体" w:cs="宋体"/>
                <w:color w:val="auto"/>
                <w:sz w:val="22"/>
                <w:szCs w:val="22"/>
                <w:lang w:bidi="ar"/>
              </w:rPr>
              <w:t>（提供</w:t>
            </w:r>
            <w:r>
              <w:rPr>
                <w:rFonts w:hint="eastAsia" w:ascii="宋体" w:hAnsi="宋体" w:cs="宋体"/>
                <w:color w:val="auto"/>
                <w:sz w:val="22"/>
                <w:szCs w:val="22"/>
                <w:lang w:val="en-US" w:eastAsia="zh-CN" w:bidi="ar"/>
              </w:rPr>
              <w:t>截图</w:t>
            </w:r>
            <w:r>
              <w:rPr>
                <w:rFonts w:hint="eastAsia" w:ascii="宋体" w:hAnsi="宋体" w:cs="宋体"/>
                <w:color w:val="auto"/>
                <w:sz w:val="22"/>
                <w:szCs w:val="22"/>
                <w:lang w:bidi="ar"/>
              </w:rPr>
              <w:t>证明材料）</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16.电源总功率≥12千瓦，380V用电</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17.机床总重量≥800公斤</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18.自动供油系统</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19.开粗、精雕流程无需人工记忆加工起点，自动对齐。圆雕数据生成快捷简便</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20.配置平面雕刻机台面</w:t>
            </w:r>
            <w:r>
              <w:rPr>
                <w:rFonts w:hint="eastAsia" w:ascii="宋体" w:hAnsi="宋体" w:cs="宋体"/>
                <w:color w:val="auto"/>
                <w:sz w:val="22"/>
                <w:szCs w:val="22"/>
                <w:lang w:eastAsia="zh-CN" w:bidi="ar"/>
              </w:rPr>
              <w:t>；</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21.★软件可兼容立体式产品三维扫描采集软件，三维扫描立体成像系统以及雕刻机加工远程辅助系统，并提供相关案列</w:t>
            </w:r>
            <w:r>
              <w:rPr>
                <w:rFonts w:hint="eastAsia" w:ascii="宋体" w:hAnsi="宋体" w:cs="宋体"/>
                <w:color w:val="auto"/>
                <w:sz w:val="22"/>
                <w:szCs w:val="22"/>
                <w:lang w:eastAsia="zh-CN" w:bidi="ar"/>
              </w:rPr>
              <w:t>。</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18</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储存展示柜体组</w:t>
            </w:r>
          </w:p>
        </w:tc>
        <w:tc>
          <w:tcPr>
            <w:tcW w:w="6217" w:type="dxa"/>
            <w:vAlign w:val="center"/>
          </w:tcPr>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柜体高度：2900mm</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柜体宽度：1000-1220mm（定制尺寸）</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柜体深度：约600mm</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柜体材料厚度：18mm</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5.</w:t>
            </w:r>
            <w:r>
              <w:rPr>
                <w:rFonts w:hint="eastAsia" w:ascii="宋体" w:hAnsi="宋体" w:cs="宋体"/>
                <w:color w:val="auto"/>
                <w:sz w:val="22"/>
                <w:szCs w:val="22"/>
                <w:lang w:bidi="ar"/>
              </w:rPr>
              <w:t>柜体功能：存放安置储物收纳箱</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6.</w:t>
            </w:r>
            <w:r>
              <w:rPr>
                <w:rFonts w:hint="eastAsia" w:ascii="宋体" w:hAnsi="宋体" w:cs="宋体"/>
                <w:color w:val="auto"/>
                <w:sz w:val="22"/>
                <w:szCs w:val="22"/>
                <w:lang w:bidi="ar"/>
              </w:rPr>
              <w:t>所有木制品表面处理木蜡油工艺</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val="en-US" w:eastAsia="zh-CN" w:bidi="ar"/>
              </w:rPr>
              <w:t>7.</w:t>
            </w:r>
            <w:r>
              <w:rPr>
                <w:rFonts w:hint="eastAsia" w:ascii="宋体" w:hAnsi="宋体" w:cs="宋体"/>
                <w:color w:val="auto"/>
                <w:sz w:val="22"/>
                <w:szCs w:val="22"/>
                <w:lang w:bidi="ar"/>
              </w:rPr>
              <w:t>柜体后背使用透明板</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19</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三维扫描仪</w:t>
            </w:r>
          </w:p>
        </w:tc>
        <w:tc>
          <w:tcPr>
            <w:tcW w:w="6217" w:type="dxa"/>
            <w:vAlign w:val="center"/>
          </w:tcPr>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三维光学扫描系统配置与功能要求</w:t>
            </w:r>
            <w:r>
              <w:rPr>
                <w:rFonts w:hint="eastAsia" w:ascii="宋体" w:hAnsi="宋体" w:cs="宋体"/>
                <w:color w:val="auto"/>
                <w:sz w:val="22"/>
                <w:szCs w:val="22"/>
                <w:lang w:eastAsia="zh-CN" w:bidi="ar"/>
              </w:rPr>
              <w:t>：</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★数据采集传感器：原装进口，高速、高精密工业级相机≥ 5,000,000像素（提供证明材料）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★光栅发生装置：采用可更换镜头的蓝光高速高精密数字型投影模块（提供证明材料）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提供便携式三角架，云台最大承重10KG</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需配套计算机系统要求为：支持windows 7，windows 10，64位操作系统，支持内存32G以上（配置要求：Intel I7及以上处理器、32G及以上内存、NVIDIA 1G及以上显卡，推荐Quadro系列专业显卡、100G以上硬盘）</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5.</w:t>
            </w:r>
            <w:r>
              <w:rPr>
                <w:rFonts w:hint="eastAsia" w:ascii="宋体" w:hAnsi="宋体" w:cs="宋体"/>
                <w:color w:val="auto"/>
                <w:sz w:val="22"/>
                <w:szCs w:val="22"/>
                <w:lang w:bidi="ar"/>
              </w:rPr>
              <w:t xml:space="preserve">★扫描速度：高速扫描、单幅测量时间≤1.5秒 </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6.</w:t>
            </w:r>
            <w:r>
              <w:rPr>
                <w:rFonts w:hint="eastAsia" w:ascii="宋体" w:hAnsi="宋体" w:cs="宋体"/>
                <w:color w:val="auto"/>
                <w:sz w:val="22"/>
                <w:szCs w:val="22"/>
                <w:lang w:bidi="ar"/>
              </w:rPr>
              <w:t>★光栅输出：内置光栅、USB3.0接口控制、光栅无需双显卡设置输出（提供证明材料）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7.</w:t>
            </w:r>
            <w:r>
              <w:rPr>
                <w:rFonts w:hint="eastAsia" w:ascii="宋体" w:hAnsi="宋体" w:cs="宋体"/>
                <w:color w:val="auto"/>
                <w:sz w:val="22"/>
                <w:szCs w:val="22"/>
                <w:lang w:bidi="ar"/>
              </w:rPr>
              <w:t>拼接方式：系统整合“一键式”全自动标志点拼接模块</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8.</w:t>
            </w:r>
            <w:r>
              <w:rPr>
                <w:rFonts w:hint="eastAsia" w:ascii="宋体" w:hAnsi="宋体" w:cs="宋体"/>
                <w:color w:val="auto"/>
                <w:sz w:val="22"/>
                <w:szCs w:val="22"/>
                <w:lang w:bidi="ar"/>
              </w:rPr>
              <w:t>★全局误差控制方式：系统整合GREC全局误差控制模块（提供证明材料）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9.</w:t>
            </w:r>
            <w:r>
              <w:rPr>
                <w:rFonts w:hint="eastAsia" w:ascii="宋体" w:hAnsi="宋体" w:cs="宋体"/>
                <w:color w:val="auto"/>
                <w:sz w:val="22"/>
                <w:szCs w:val="22"/>
                <w:lang w:bidi="ar"/>
              </w:rPr>
              <w:t>★激光点对中，方便工作距离调节（提供证明材料）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10.</w:t>
            </w:r>
            <w:r>
              <w:rPr>
                <w:rFonts w:hint="eastAsia" w:ascii="宋体" w:hAnsi="宋体" w:cs="宋体"/>
                <w:color w:val="auto"/>
                <w:sz w:val="22"/>
                <w:szCs w:val="22"/>
                <w:lang w:bidi="ar"/>
              </w:rPr>
              <w:t>测量头控制高度集成，设备只需一根高速USB3.0线传输数据</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11.</w:t>
            </w:r>
            <w:r>
              <w:rPr>
                <w:rFonts w:hint="eastAsia" w:ascii="宋体" w:hAnsi="宋体" w:cs="宋体"/>
                <w:color w:val="auto"/>
                <w:sz w:val="22"/>
                <w:szCs w:val="22"/>
                <w:lang w:bidi="ar"/>
              </w:rPr>
              <w:t>采用窄带蓝光光源，抗干扰性强，可有效避免外部环境影响，适用范围更广</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12.</w:t>
            </w:r>
            <w:r>
              <w:rPr>
                <w:rFonts w:hint="eastAsia" w:ascii="宋体" w:hAnsi="宋体" w:cs="宋体"/>
                <w:color w:val="auto"/>
                <w:sz w:val="22"/>
                <w:szCs w:val="22"/>
                <w:lang w:bidi="ar"/>
              </w:rPr>
              <w:t>多扫描范围：系统搭配3组9个高分辨率工业镜头，通过换镜头切换扫描型号范围，切换扫描型号范围不需要调节工作距离，保证最佳的扫描效果。</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13.</w:t>
            </w:r>
            <w:r>
              <w:rPr>
                <w:rFonts w:hint="eastAsia" w:ascii="宋体" w:hAnsi="宋体" w:cs="宋体"/>
                <w:color w:val="auto"/>
                <w:sz w:val="22"/>
                <w:szCs w:val="22"/>
                <w:lang w:bidi="ar"/>
              </w:rPr>
              <w:t>环境震动检测功能，有效保证数据的质量和稳定性</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14.</w:t>
            </w:r>
            <w:r>
              <w:rPr>
                <w:rFonts w:hint="eastAsia" w:ascii="宋体" w:hAnsi="宋体" w:cs="宋体"/>
                <w:color w:val="auto"/>
                <w:sz w:val="22"/>
                <w:szCs w:val="22"/>
                <w:lang w:bidi="ar"/>
              </w:rPr>
              <w:t>自动多曝光：在扫描过程自动调节曝光曝光参数及光栅机亮度，极大的提高了扫描反光物体的性能</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15.</w:t>
            </w:r>
            <w:r>
              <w:rPr>
                <w:rFonts w:hint="eastAsia" w:ascii="宋体" w:hAnsi="宋体" w:cs="宋体"/>
                <w:color w:val="auto"/>
                <w:sz w:val="22"/>
                <w:szCs w:val="22"/>
                <w:lang w:bidi="ar"/>
              </w:rPr>
              <w:t>★支持与摄影测量系统配合使用</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16.</w:t>
            </w:r>
            <w:r>
              <w:rPr>
                <w:rFonts w:hint="eastAsia" w:ascii="宋体" w:hAnsi="宋体" w:cs="宋体"/>
                <w:color w:val="auto"/>
                <w:sz w:val="22"/>
                <w:szCs w:val="22"/>
                <w:lang w:bidi="ar"/>
              </w:rPr>
              <w:t>支持一维自动化转台扫描，支持转台无标志点拼接</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17.</w:t>
            </w:r>
            <w:r>
              <w:rPr>
                <w:rFonts w:hint="eastAsia" w:ascii="宋体" w:hAnsi="宋体" w:cs="宋体"/>
                <w:color w:val="auto"/>
                <w:sz w:val="22"/>
                <w:szCs w:val="22"/>
                <w:lang w:bidi="ar"/>
              </w:rPr>
              <w:t>校准模块：通过系统指示帮助操作者完成设备的调节设置，减少人为操作带来的误差影响</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18.</w:t>
            </w:r>
            <w:r>
              <w:rPr>
                <w:rFonts w:hint="eastAsia" w:ascii="宋体" w:hAnsi="宋体" w:cs="宋体"/>
                <w:color w:val="auto"/>
                <w:sz w:val="22"/>
                <w:szCs w:val="22"/>
                <w:lang w:bidi="ar"/>
              </w:rPr>
              <w:t>★使用正交多频相位外差条纹法，精度更高，抗噪声能力更强（提供证明材料）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19.</w:t>
            </w:r>
            <w:r>
              <w:rPr>
                <w:rFonts w:hint="eastAsia" w:ascii="宋体" w:hAnsi="宋体" w:cs="宋体"/>
                <w:color w:val="auto"/>
                <w:sz w:val="22"/>
                <w:szCs w:val="22"/>
                <w:lang w:bidi="ar"/>
              </w:rPr>
              <w:t>★支持多个工程合并，可使用手动或公共标志点对多个工程进行合并拼接。（提供证明材料）</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20.</w:t>
            </w:r>
            <w:r>
              <w:rPr>
                <w:rFonts w:hint="eastAsia" w:ascii="宋体" w:hAnsi="宋体" w:cs="宋体"/>
                <w:color w:val="auto"/>
                <w:sz w:val="22"/>
                <w:szCs w:val="22"/>
                <w:lang w:bidi="ar"/>
              </w:rPr>
              <w:t>支持黑白纹理贴图功能</w:t>
            </w:r>
          </w:p>
          <w:p>
            <w:pPr>
              <w:widowControl/>
              <w:spacing w:line="400" w:lineRule="exact"/>
              <w:jc w:val="left"/>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21.</w:t>
            </w:r>
            <w:r>
              <w:rPr>
                <w:rFonts w:hint="eastAsia" w:ascii="宋体" w:hAnsi="宋体" w:cs="宋体"/>
                <w:color w:val="auto"/>
                <w:sz w:val="22"/>
                <w:szCs w:val="22"/>
                <w:lang w:bidi="ar"/>
              </w:rPr>
              <w:t>单面测量范围：≥400×300</w:t>
            </w:r>
            <w:r>
              <w:rPr>
                <w:rFonts w:hint="eastAsia" w:ascii="宋体" w:hAnsi="宋体" w:cs="宋体"/>
                <w:color w:val="auto"/>
                <w:sz w:val="22"/>
                <w:szCs w:val="22"/>
                <w:lang w:val="en-US" w:eastAsia="zh-CN" w:bidi="ar"/>
              </w:rPr>
              <w:t>平方毫米</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22.</w:t>
            </w:r>
            <w:r>
              <w:rPr>
                <w:rFonts w:hint="eastAsia" w:ascii="宋体" w:hAnsi="宋体" w:cs="宋体"/>
                <w:color w:val="auto"/>
                <w:sz w:val="22"/>
                <w:szCs w:val="22"/>
                <w:lang w:bidi="ar"/>
              </w:rPr>
              <w:t>测量精度：≤0.015mm</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23.</w:t>
            </w:r>
            <w:r>
              <w:rPr>
                <w:rFonts w:hint="eastAsia" w:ascii="宋体" w:hAnsi="宋体" w:cs="宋体"/>
                <w:color w:val="auto"/>
                <w:sz w:val="22"/>
                <w:szCs w:val="22"/>
                <w:lang w:bidi="ar"/>
              </w:rPr>
              <w:t>平均采样点距：≤0.16mm</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三维光学扫描系统软件功能要求</w:t>
            </w:r>
            <w:r>
              <w:rPr>
                <w:rFonts w:hint="eastAsia" w:ascii="宋体" w:hAnsi="宋体" w:cs="宋体"/>
                <w:color w:val="auto"/>
                <w:sz w:val="22"/>
                <w:szCs w:val="22"/>
                <w:lang w:eastAsia="zh-CN" w:bidi="ar"/>
              </w:rPr>
              <w:t>：</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1.</w:t>
            </w:r>
            <w:r>
              <w:rPr>
                <w:rFonts w:hint="eastAsia" w:ascii="宋体" w:hAnsi="宋体" w:cs="宋体"/>
                <w:color w:val="auto"/>
                <w:sz w:val="22"/>
                <w:szCs w:val="22"/>
                <w:lang w:bidi="ar"/>
              </w:rPr>
              <w:t>自动拼接模块</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(1)功能强大的中文扫描软件中整合“一键式”标志点全自动拼接模块，不需要使用外部软件进行数据拼接</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(2)系统精度实时检测功能，每次扫描拼接后自动报告拼接质量的好坏，并可实时查看对应的标志点精度</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(3)系统软件整合GREC全局误差控制模块，可对拼接后的误差进行全局控制</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(4)特征拼接，可利用物体的特征不贴标志点进行拼接</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2.</w:t>
            </w:r>
            <w:r>
              <w:rPr>
                <w:rFonts w:hint="eastAsia" w:ascii="宋体" w:hAnsi="宋体" w:cs="宋体"/>
                <w:color w:val="auto"/>
                <w:sz w:val="22"/>
                <w:szCs w:val="22"/>
                <w:lang w:bidi="ar"/>
              </w:rPr>
              <w:t>点云处理模块</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(1)扫描数据后，可进行点云噪声处理及修剪</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(2)基于曲率的点云精简功能</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(3)自动生成三角面</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数据输入输出</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(1) ★导出结果为ASC，STL，OBJ等格式数据输出接口广泛,测量结果可与CATIA、Geomagic Studio、Imageware等逆向工程软件自由交换数据</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val="en-US" w:eastAsia="zh-CN" w:bidi="ar"/>
              </w:rPr>
              <w:t>4.</w:t>
            </w:r>
            <w:r>
              <w:rPr>
                <w:rFonts w:hint="eastAsia" w:ascii="宋体" w:hAnsi="宋体" w:cs="宋体"/>
                <w:color w:val="auto"/>
                <w:sz w:val="22"/>
                <w:szCs w:val="22"/>
                <w:lang w:bidi="ar"/>
              </w:rPr>
              <w:t>其他要求：</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 xml:space="preserve"> （1）提供设备的软硬件安装调试。</w:t>
            </w:r>
          </w:p>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bidi="ar"/>
              </w:rPr>
              <w:t xml:space="preserve"> （2）配置30节点正版三维设计软件：进行草图设计，零件三维建模，逆向造型设计、零件装配，钣金设计，出二维工程图等，支持弧形及复杂钣金的展开，具有曲面设计能力，以及曲面的动态编辑能力，实体与曲面还能进行混合设计；产生装配爆  炸图，能制作真实渲染效果图，将动画文件保存为AVI格式，脱离CAD系统后独立运行，三维设计软件具有在三维装配模型上直接增加尺寸标注、公差、形位公差、表面粗糙度、注释等的能力，要符合国际标准，并且能被工程图直接利用，能够利用来自异种CAD的模型数据，并能编辑修改。</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20</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大师工作区桌</w:t>
            </w:r>
          </w:p>
        </w:tc>
        <w:tc>
          <w:tcPr>
            <w:tcW w:w="6217" w:type="dxa"/>
            <w:vAlign w:val="center"/>
          </w:tcPr>
          <w:p>
            <w:pPr>
              <w:widowControl/>
              <w:spacing w:line="400" w:lineRule="exact"/>
              <w:jc w:val="left"/>
              <w:rPr>
                <w:rFonts w:ascii="宋体" w:hAnsi="宋体" w:cs="宋体"/>
                <w:color w:val="auto"/>
                <w:sz w:val="22"/>
                <w:szCs w:val="22"/>
                <w:lang w:bidi="ar"/>
              </w:rPr>
            </w:pPr>
            <w:r>
              <w:rPr>
                <w:rFonts w:hint="eastAsia" w:ascii="宋体" w:hAnsi="宋体" w:cs="宋体"/>
                <w:color w:val="auto"/>
                <w:sz w:val="22"/>
                <w:szCs w:val="22"/>
                <w:lang w:bidi="ar"/>
              </w:rPr>
              <w:t>定制整桌尺寸：700*600*800mm，台面5cm厚；桌面下用四根5*5cm方木料为支撑柱，桌面下一个抽屉；桌面为榉木材质，桌面下为松木。</w:t>
            </w:r>
          </w:p>
        </w:tc>
        <w:tc>
          <w:tcPr>
            <w:tcW w:w="1165" w:type="dxa"/>
            <w:vAlign w:val="center"/>
          </w:tcPr>
          <w:p>
            <w:pPr>
              <w:widowControl/>
              <w:spacing w:line="400" w:lineRule="exact"/>
              <w:jc w:val="center"/>
              <w:rPr>
                <w:rFonts w:ascii="宋体" w:hAnsi="宋体" w:cs="宋体"/>
                <w:color w:val="auto"/>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pPr>
              <w:widowControl/>
              <w:spacing w:line="400" w:lineRule="exact"/>
              <w:jc w:val="center"/>
              <w:textAlignment w:val="center"/>
              <w:rPr>
                <w:rFonts w:hint="default"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21</w:t>
            </w:r>
          </w:p>
        </w:tc>
        <w:tc>
          <w:tcPr>
            <w:tcW w:w="1832" w:type="dxa"/>
            <w:vAlign w:val="center"/>
          </w:tcPr>
          <w:p>
            <w:pPr>
              <w:widowControl/>
              <w:jc w:val="center"/>
              <w:rPr>
                <w:rFonts w:ascii="宋体" w:hAnsi="宋体" w:cs="宋体"/>
                <w:color w:val="auto"/>
                <w:sz w:val="22"/>
                <w:szCs w:val="22"/>
              </w:rPr>
            </w:pPr>
            <w:r>
              <w:rPr>
                <w:rFonts w:hint="eastAsia" w:ascii="宋体" w:hAnsi="宋体" w:cs="宋体"/>
                <w:color w:val="auto"/>
                <w:sz w:val="22"/>
                <w:szCs w:val="22"/>
              </w:rPr>
              <w:t>双人教学桌</w:t>
            </w:r>
          </w:p>
        </w:tc>
        <w:tc>
          <w:tcPr>
            <w:tcW w:w="6217" w:type="dxa"/>
            <w:vAlign w:val="center"/>
          </w:tcPr>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规格:1500×600×750mm；</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材质与加工工艺：</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（1）桌面板材采用25mm厚双贴面优质三聚氰胺贴面板，E1级环保板芯，2.00mm厚优质PVC截面封边，周边圆弧过渡；</w:t>
            </w:r>
          </w:p>
          <w:p>
            <w:pPr>
              <w:widowControl/>
              <w:spacing w:line="400" w:lineRule="exact"/>
              <w:jc w:val="left"/>
              <w:rPr>
                <w:rFonts w:hint="eastAsia" w:ascii="宋体" w:hAnsi="宋体" w:cs="宋体"/>
                <w:color w:val="auto"/>
                <w:sz w:val="22"/>
                <w:szCs w:val="22"/>
                <w:lang w:bidi="ar"/>
              </w:rPr>
            </w:pPr>
            <w:r>
              <w:rPr>
                <w:rFonts w:hint="eastAsia" w:ascii="宋体" w:hAnsi="宋体" w:cs="宋体"/>
                <w:color w:val="auto"/>
                <w:sz w:val="22"/>
                <w:szCs w:val="22"/>
                <w:lang w:bidi="ar"/>
              </w:rPr>
              <w:t>（2）桌体左右脚架采用20*40mm方管，钢管厚度1.2mm，脚架中间及后背板部分采用方格形冲孔钢板制作钢板厚度1.0mm，脚下配防滑可调节脚垫；</w:t>
            </w:r>
          </w:p>
          <w:p>
            <w:pPr>
              <w:widowControl/>
              <w:spacing w:line="400" w:lineRule="exact"/>
              <w:jc w:val="left"/>
              <w:rPr>
                <w:rFonts w:hint="eastAsia" w:ascii="宋体" w:hAnsi="宋体" w:eastAsia="宋体" w:cs="宋体"/>
                <w:color w:val="auto"/>
                <w:sz w:val="22"/>
                <w:szCs w:val="22"/>
                <w:lang w:eastAsia="zh-CN" w:bidi="ar"/>
              </w:rPr>
            </w:pPr>
            <w:r>
              <w:rPr>
                <w:rFonts w:hint="eastAsia" w:ascii="宋体" w:hAnsi="宋体" w:cs="宋体"/>
                <w:color w:val="auto"/>
                <w:sz w:val="22"/>
                <w:szCs w:val="22"/>
                <w:lang w:bidi="ar"/>
              </w:rPr>
              <w:t>（3）中空悬挂式双排主机柜采用1.0mm厚冲孔钢板弯制成型并配防滑底座板及入线孔，左右两侧及后面冲有方孔方便主机散热,左右两侧及后面配有走线盒方便两侧上线，隐藏式线盒更安全美观，线盒采用1.0mm厚钢板冲压成型有入线孔及出线孔等</w:t>
            </w:r>
            <w:r>
              <w:rPr>
                <w:rFonts w:hint="eastAsia" w:ascii="宋体" w:hAnsi="宋体" w:cs="宋体"/>
                <w:color w:val="auto"/>
                <w:sz w:val="22"/>
                <w:szCs w:val="22"/>
                <w:lang w:eastAsia="zh-CN" w:bidi="ar"/>
              </w:rPr>
              <w:t>。</w:t>
            </w:r>
          </w:p>
        </w:tc>
        <w:tc>
          <w:tcPr>
            <w:tcW w:w="1165" w:type="dxa"/>
            <w:vAlign w:val="center"/>
          </w:tcPr>
          <w:p>
            <w:pPr>
              <w:widowControl/>
              <w:spacing w:line="400" w:lineRule="exact"/>
              <w:jc w:val="center"/>
              <w:rPr>
                <w:rFonts w:ascii="宋体" w:hAnsi="宋体" w:cs="宋体"/>
                <w:color w:val="auto"/>
                <w:sz w:val="22"/>
                <w:szCs w:val="22"/>
                <w:lang w:bidi="ar"/>
              </w:rPr>
            </w:pPr>
          </w:p>
        </w:tc>
      </w:tr>
    </w:tbl>
    <w:p>
      <w:pPr>
        <w:rPr>
          <w:color w:val="auto"/>
        </w:rPr>
        <w:sectPr>
          <w:headerReference r:id="rId12" w:type="default"/>
          <w:footerReference r:id="rId13" w:type="default"/>
          <w:pgSz w:w="11906" w:h="16838"/>
          <w:pgMar w:top="1134" w:right="1134" w:bottom="1134" w:left="1134" w:header="851" w:footer="992" w:gutter="0"/>
          <w:cols w:space="720" w:num="1"/>
          <w:docGrid w:linePitch="312" w:charSpace="0"/>
        </w:sectPr>
      </w:pPr>
    </w:p>
    <w:bookmarkEnd w:id="94"/>
    <w:p>
      <w:pPr>
        <w:spacing w:line="440" w:lineRule="exact"/>
        <w:rPr>
          <w:rFonts w:ascii="宋体" w:hAnsi="宋体" w:cs="宋体"/>
          <w:b/>
          <w:color w:val="auto"/>
          <w:sz w:val="22"/>
          <w:szCs w:val="22"/>
        </w:rPr>
      </w:pPr>
      <w:r>
        <w:rPr>
          <w:rFonts w:hint="eastAsia" w:ascii="宋体" w:hAnsi="宋体" w:cs="宋体"/>
          <w:b/>
          <w:color w:val="auto"/>
          <w:sz w:val="22"/>
          <w:szCs w:val="22"/>
          <w:lang w:val="en-US" w:eastAsia="zh-CN"/>
        </w:rPr>
        <w:t>3</w:t>
      </w:r>
      <w:r>
        <w:rPr>
          <w:rFonts w:hint="eastAsia" w:ascii="宋体" w:hAnsi="宋体" w:cs="宋体"/>
          <w:b/>
          <w:color w:val="auto"/>
          <w:sz w:val="22"/>
          <w:szCs w:val="22"/>
        </w:rPr>
        <w:t xml:space="preserve">.  </w:t>
      </w:r>
      <w:r>
        <w:rPr>
          <w:rFonts w:hint="eastAsia" w:ascii="宋体" w:hAnsi="宋体" w:cs="宋体"/>
          <w:b/>
          <w:bCs/>
          <w:color w:val="auto"/>
          <w:sz w:val="22"/>
          <w:szCs w:val="28"/>
        </w:rPr>
        <w:t>商务要求（技术参数里另有注明的以技术参数为准）</w:t>
      </w:r>
    </w:p>
    <w:tbl>
      <w:tblPr>
        <w:tblStyle w:val="36"/>
        <w:tblW w:w="10357"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6"/>
        <w:gridCol w:w="8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rPr>
            </w:pPr>
            <w:bookmarkStart w:id="98" w:name="_Hlk51759376"/>
            <w:r>
              <w:rPr>
                <w:rFonts w:hint="eastAsia" w:ascii="宋体" w:hAnsi="宋体" w:cs="宋体"/>
                <w:b/>
                <w:bCs/>
                <w:color w:val="auto"/>
                <w:szCs w:val="22"/>
              </w:rPr>
              <w:t>支付方式</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exact"/>
              <w:jc w:val="left"/>
              <w:rPr>
                <w:rFonts w:ascii="宋体" w:hAnsi="宋体" w:cs="宋体"/>
                <w:color w:val="auto"/>
                <w:szCs w:val="22"/>
                <w:u w:val="single"/>
                <w:lang w:val="zh-CN"/>
              </w:rPr>
            </w:pPr>
            <w:r>
              <w:rPr>
                <w:rFonts w:hint="eastAsia" w:ascii="宋体" w:hAnsi="宋体" w:cs="宋体"/>
                <w:color w:val="auto"/>
                <w:szCs w:val="22"/>
              </w:rPr>
              <w:t>合同签订后7个工作日内，甲方向乙方支付合同总额的40%合同款作为预付款；全部设备供货完成后7个工作日内，甲方向乙方支付合同总额的50%合同款；设备安装、调试、验收合格后，甲方待收到乙方开具的正式发票后7</w:t>
            </w:r>
            <w:r>
              <w:rPr>
                <w:rFonts w:hint="eastAsia" w:ascii="宋体" w:hAnsi="宋体" w:cs="宋体"/>
                <w:color w:val="auto"/>
                <w:szCs w:val="22"/>
                <w:lang w:val="en-US" w:eastAsia="zh-CN"/>
              </w:rPr>
              <w:t>个</w:t>
            </w:r>
            <w:r>
              <w:rPr>
                <w:rFonts w:hint="eastAsia" w:ascii="宋体" w:hAnsi="宋体" w:cs="宋体"/>
                <w:color w:val="auto"/>
                <w:szCs w:val="22"/>
              </w:rPr>
              <w:t>工作日内向乙方支付剩余全部合同款。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质保期</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left"/>
              <w:rPr>
                <w:rFonts w:ascii="宋体" w:hAnsi="宋体" w:cs="宋体"/>
                <w:color w:val="auto"/>
                <w:sz w:val="22"/>
                <w:szCs w:val="22"/>
              </w:rPr>
            </w:pPr>
            <w:r>
              <w:rPr>
                <w:rFonts w:hint="eastAsia" w:ascii="宋体" w:hAnsi="宋体" w:cs="宋体"/>
                <w:color w:val="auto"/>
                <w:sz w:val="22"/>
              </w:rPr>
              <w:t>自验收合格之日起3年。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交付时间</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360" w:lineRule="exact"/>
              <w:rPr>
                <w:rFonts w:ascii="宋体" w:hAnsi="宋体" w:cs="宋体"/>
                <w:color w:val="auto"/>
                <w:sz w:val="22"/>
                <w:szCs w:val="22"/>
              </w:rPr>
            </w:pPr>
            <w:r>
              <w:rPr>
                <w:rFonts w:hint="eastAsia" w:ascii="宋体" w:hAnsi="宋体" w:cs="宋体"/>
                <w:color w:val="auto"/>
                <w:sz w:val="22"/>
                <w:szCs w:val="22"/>
              </w:rPr>
              <w:t>合同签订起30天内完成交付使用。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交付地点</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360" w:lineRule="exact"/>
              <w:rPr>
                <w:rFonts w:ascii="宋体" w:hAnsi="宋体" w:cs="宋体"/>
                <w:color w:val="auto"/>
                <w:sz w:val="22"/>
                <w:szCs w:val="22"/>
              </w:rPr>
            </w:pPr>
            <w:r>
              <w:rPr>
                <w:rFonts w:hint="eastAsia" w:ascii="宋体" w:hAnsi="宋体" w:cs="宋体"/>
                <w:color w:val="auto"/>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服务标准</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质保期内，所有故障维护服务均为上门(远程)服务。投标人须对整个系统至少提供3年免费的升级更新以及其他的支持服务，并提供永久性7*24小时技术支持，包括各种软件系统故障及对各种突发事件采取应急措施等，服务响应时间为1小时。</w:t>
            </w:r>
          </w:p>
          <w:p>
            <w:pPr>
              <w:spacing w:line="360" w:lineRule="exact"/>
              <w:rPr>
                <w:rFonts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2.超过保修期的软件实行终身维护，维护只收成本费，提供所有软件备份，提供不少于3年的软件免费升级。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服务效率</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投标人须通过电话提供解决方案，或者利用远程维护方式解决问题。若不能在2小时内解决故障问题或采购人需要投标人现场服务的，须在12小时内赶到现场解决。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验收标准</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pPr>
              <w:spacing w:line="400" w:lineRule="exact"/>
              <w:rPr>
                <w:rFonts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pPr>
              <w:spacing w:line="400" w:lineRule="exact"/>
              <w:rPr>
                <w:rFonts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pPr>
              <w:pStyle w:val="15"/>
              <w:widowControl/>
              <w:adjustRightInd w:val="0"/>
              <w:snapToGrid w:val="0"/>
              <w:spacing w:line="400" w:lineRule="exact"/>
              <w:rPr>
                <w:rFonts w:ascii="宋体" w:hAnsi="宋体" w:cs="宋体"/>
                <w:color w:val="auto"/>
                <w:sz w:val="22"/>
                <w:szCs w:val="22"/>
              </w:rPr>
            </w:pPr>
            <w:r>
              <w:rPr>
                <w:rFonts w:hint="eastAsia" w:ascii="宋体" w:hAnsi="宋体"/>
                <w:color w:val="auto"/>
                <w:sz w:val="22"/>
                <w:szCs w:val="22"/>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其他技术、服务要求</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1.培训：</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1.1 对采购人的操作人员、维修人员每年定期免费进行培训。</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1.2 提供完整详细的实施、培训和运维计划方案，并得到采购人的批准。实施过程严格按照批准后的计划进行，如有变更需再次得到采购人的批准。</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2.技术支持：</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中标人应及时免费提供合同货物软件的升级，免费提供合同货物新功能和应用的资料。</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3.安装调试（若需要安装调试）：</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3.1 安装地点：采购人指定地点。</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3.2 安装完成时间：接到采购人通知后在规定时间内完成安装和调试，如在规定的时间内由于中标人的原因不能完成安装和调试，中标人应承担由此给采购人造成的损失。</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3.3 安装标准：符合我国国家有关技术规范要求和技术标准，所有的软件和硬件必须保证同时安装到位。</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3.4 中标人免费提供合同货物的安装服务。</w:t>
            </w:r>
          </w:p>
          <w:p>
            <w:pPr>
              <w:pStyle w:val="15"/>
              <w:widowControl/>
              <w:adjustRightInd w:val="0"/>
              <w:snapToGrid w:val="0"/>
              <w:spacing w:line="400" w:lineRule="exact"/>
              <w:rPr>
                <w:rFonts w:ascii="宋体" w:hAnsi="宋体"/>
                <w:color w:val="auto"/>
                <w:sz w:val="22"/>
                <w:szCs w:val="22"/>
              </w:rPr>
            </w:pPr>
            <w:r>
              <w:rPr>
                <w:rFonts w:hint="eastAsia" w:ascii="宋体" w:hAnsi="宋体" w:cs="宋体"/>
                <w:color w:val="auto"/>
                <w:sz w:val="22"/>
              </w:rPr>
              <w:t>3.5 供应商在响应文件中应提供安装调试计划、对安装场地和环境的要求。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hint="default" w:ascii="宋体" w:hAnsi="宋体" w:eastAsia="宋体" w:cs="宋体"/>
                <w:b/>
                <w:bCs/>
                <w:color w:val="auto"/>
                <w:sz w:val="22"/>
                <w:lang w:val="en-US" w:eastAsia="zh-CN"/>
              </w:rPr>
            </w:pPr>
            <w:r>
              <w:rPr>
                <w:rFonts w:hint="eastAsia" w:ascii="宋体" w:hAnsi="宋体" w:cs="宋体"/>
                <w:b/>
                <w:bCs/>
                <w:color w:val="auto"/>
                <w:sz w:val="22"/>
                <w:lang w:val="en-US" w:eastAsia="zh-CN"/>
              </w:rPr>
              <w:t>其他说明</w:t>
            </w:r>
          </w:p>
        </w:tc>
        <w:tc>
          <w:tcPr>
            <w:tcW w:w="86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widowControl/>
              <w:adjustRightInd w:val="0"/>
              <w:snapToGrid w:val="0"/>
              <w:spacing w:line="400" w:lineRule="exact"/>
              <w:rPr>
                <w:rFonts w:hint="default" w:ascii="宋体" w:hAnsi="宋体" w:eastAsia="宋体" w:cs="宋体"/>
                <w:color w:val="auto"/>
                <w:sz w:val="22"/>
                <w:lang w:val="en-US" w:eastAsia="zh-CN"/>
              </w:rPr>
            </w:pPr>
          </w:p>
        </w:tc>
      </w:tr>
      <w:bookmarkEnd w:id="98"/>
    </w:tbl>
    <w:p>
      <w:pPr>
        <w:rPr>
          <w:rFonts w:ascii="宋体" w:hAnsi="宋体" w:cs="宋体"/>
          <w:b/>
          <w:bCs/>
          <w:color w:val="auto"/>
          <w:szCs w:val="22"/>
        </w:rPr>
      </w:pPr>
    </w:p>
    <w:p>
      <w:pPr>
        <w:rPr>
          <w:color w:val="auto"/>
        </w:rPr>
      </w:pPr>
    </w:p>
    <w:p>
      <w:pPr>
        <w:pStyle w:val="3"/>
        <w:spacing w:line="600" w:lineRule="exact"/>
        <w:jc w:val="center"/>
        <w:rPr>
          <w:rFonts w:ascii="黑体" w:hAnsi="黑体"/>
          <w:bCs/>
          <w:color w:val="auto"/>
          <w:sz w:val="36"/>
          <w:szCs w:val="36"/>
        </w:rPr>
      </w:pPr>
      <w:r>
        <w:rPr>
          <w:rFonts w:hint="eastAsia" w:ascii="黑体" w:hAnsi="黑体" w:cs="黑体"/>
          <w:b w:val="0"/>
          <w:bCs/>
          <w:color w:val="auto"/>
          <w:sz w:val="22"/>
          <w:szCs w:val="22"/>
        </w:rPr>
        <w:br w:type="page"/>
      </w:r>
      <w:bookmarkStart w:id="99" w:name="_Toc9343395"/>
      <w:bookmarkStart w:id="100" w:name="_Toc29313"/>
      <w:r>
        <w:rPr>
          <w:rFonts w:hint="eastAsia" w:ascii="黑体" w:hAnsi="黑体" w:eastAsia="黑体"/>
          <w:bCs/>
          <w:color w:val="auto"/>
          <w:sz w:val="36"/>
          <w:szCs w:val="36"/>
        </w:rPr>
        <w:t>第六部分  评标原则及方法</w:t>
      </w:r>
      <w:bookmarkEnd w:id="95"/>
      <w:bookmarkEnd w:id="99"/>
      <w:bookmarkEnd w:id="100"/>
    </w:p>
    <w:p>
      <w:pPr>
        <w:pStyle w:val="17"/>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w:t>
      </w:r>
      <w:r>
        <w:rPr>
          <w:rFonts w:ascii="宋体" w:hAnsi="宋体" w:cs="宋体"/>
          <w:color w:val="auto"/>
          <w:sz w:val="22"/>
          <w:szCs w:val="22"/>
        </w:rPr>
        <w:t>70</w:t>
      </w:r>
      <w:r>
        <w:rPr>
          <w:rFonts w:hint="eastAsia" w:ascii="宋体" w:hAnsi="宋体" w:cs="宋体"/>
          <w:color w:val="auto"/>
          <w:sz w:val="22"/>
          <w:szCs w:val="22"/>
        </w:rPr>
        <w:t>分（商务技术权值</w:t>
      </w:r>
      <w:r>
        <w:rPr>
          <w:rFonts w:ascii="宋体" w:hAnsi="宋体" w:cs="宋体"/>
          <w:color w:val="auto"/>
          <w:sz w:val="22"/>
          <w:szCs w:val="22"/>
        </w:rPr>
        <w:t>70</w:t>
      </w:r>
      <w:r>
        <w:rPr>
          <w:rFonts w:hint="eastAsia" w:ascii="宋体" w:hAnsi="宋体" w:cs="宋体"/>
          <w:color w:val="auto"/>
          <w:sz w:val="22"/>
          <w:szCs w:val="22"/>
        </w:rPr>
        <w:t>%），价格3</w:t>
      </w:r>
      <w:r>
        <w:rPr>
          <w:rFonts w:ascii="宋体" w:hAnsi="宋体" w:cs="宋体"/>
          <w:color w:val="auto"/>
          <w:sz w:val="22"/>
          <w:szCs w:val="22"/>
        </w:rPr>
        <w:t>0</w:t>
      </w:r>
      <w:r>
        <w:rPr>
          <w:rFonts w:hint="eastAsia" w:ascii="宋体" w:hAnsi="宋体" w:cs="宋体"/>
          <w:color w:val="auto"/>
          <w:sz w:val="22"/>
          <w:szCs w:val="22"/>
        </w:rPr>
        <w:t>分（价格权值3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pPr>
        <w:spacing w:line="440" w:lineRule="exact"/>
        <w:rPr>
          <w:rFonts w:ascii="宋体" w:hAnsi="宋体" w:cs="宋体"/>
          <w:color w:val="auto"/>
          <w:sz w:val="22"/>
          <w:szCs w:val="22"/>
        </w:rPr>
      </w:pPr>
      <w:r>
        <w:rPr>
          <w:rFonts w:hint="eastAsia" w:ascii="宋体" w:hAnsi="宋体" w:cs="宋体"/>
          <w:color w:val="auto"/>
          <w:sz w:val="22"/>
          <w:szCs w:val="22"/>
        </w:rPr>
        <w:t>1.   商务技术分的评定（</w:t>
      </w:r>
      <w:r>
        <w:rPr>
          <w:rFonts w:ascii="宋体" w:hAnsi="宋体" w:cs="宋体"/>
          <w:color w:val="auto"/>
          <w:sz w:val="22"/>
          <w:szCs w:val="22"/>
        </w:rPr>
        <w:t>70</w:t>
      </w:r>
      <w:r>
        <w:rPr>
          <w:rFonts w:hint="eastAsia" w:ascii="宋体" w:hAnsi="宋体" w:cs="宋体"/>
          <w:color w:val="auto"/>
          <w:sz w:val="22"/>
          <w:szCs w:val="22"/>
        </w:rPr>
        <w:t>分）</w:t>
      </w:r>
    </w:p>
    <w:p>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pPr>
        <w:spacing w:line="440" w:lineRule="exact"/>
        <w:rPr>
          <w:rFonts w:ascii="宋体" w:hAnsi="宋体"/>
          <w:color w:val="auto"/>
          <w:sz w:val="22"/>
          <w:szCs w:val="22"/>
        </w:rPr>
      </w:pPr>
      <w:r>
        <w:rPr>
          <w:rFonts w:hint="eastAsia" w:ascii="宋体" w:hAnsi="宋体" w:cs="宋体"/>
          <w:b/>
          <w:color w:val="auto"/>
          <w:szCs w:val="22"/>
        </w:rPr>
        <w:t>商务技术70分</w:t>
      </w:r>
    </w:p>
    <w:tbl>
      <w:tblPr>
        <w:tblStyle w:val="36"/>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00"/>
        <w:gridCol w:w="6857"/>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7" w:type="dxa"/>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600" w:type="dxa"/>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评分内容</w:t>
            </w:r>
          </w:p>
        </w:tc>
        <w:tc>
          <w:tcPr>
            <w:tcW w:w="6857" w:type="dxa"/>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评分标准</w:t>
            </w:r>
          </w:p>
        </w:tc>
        <w:tc>
          <w:tcPr>
            <w:tcW w:w="620" w:type="dxa"/>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7"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同类业绩</w:t>
            </w:r>
          </w:p>
        </w:tc>
        <w:tc>
          <w:tcPr>
            <w:tcW w:w="6857" w:type="dxa"/>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投标人提供（2019年1月1日至今）已完成同类项目业绩，每项类似业绩得1分，最多得3分。（提供合同原件扫描件并加盖电子签章）</w:t>
            </w:r>
          </w:p>
        </w:tc>
        <w:tc>
          <w:tcPr>
            <w:tcW w:w="62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57"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产品功能及技术要求</w:t>
            </w:r>
          </w:p>
        </w:tc>
        <w:tc>
          <w:tcPr>
            <w:tcW w:w="6857" w:type="dxa"/>
            <w:vAlign w:val="center"/>
          </w:tcPr>
          <w:p>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根据所投产品技术指标与招标文件参数要求的响应程度</w:t>
            </w:r>
            <w:r>
              <w:rPr>
                <w:rFonts w:hint="eastAsia" w:ascii="宋体" w:hAnsi="宋体" w:cs="宋体"/>
                <w:color w:val="auto"/>
                <w:sz w:val="22"/>
                <w:szCs w:val="22"/>
                <w:lang w:eastAsia="zh-CN"/>
              </w:rPr>
              <w:t>：</w:t>
            </w:r>
          </w:p>
          <w:p>
            <w:pPr>
              <w:widowControl/>
              <w:adjustRightInd w:val="0"/>
              <w:snapToGrid w:val="0"/>
              <w:spacing w:line="360" w:lineRule="exact"/>
              <w:textAlignment w:val="baseline"/>
              <w:rPr>
                <w:rFonts w:hint="eastAsia" w:ascii="宋体" w:hAnsi="宋体" w:cs="宋体"/>
                <w:color w:val="auto"/>
                <w:sz w:val="22"/>
                <w:szCs w:val="22"/>
                <w:lang w:eastAsia="zh-CN"/>
              </w:rPr>
            </w:pPr>
            <w:r>
              <w:rPr>
                <w:rFonts w:hint="eastAsia" w:ascii="宋体" w:hAnsi="宋体" w:cs="宋体"/>
                <w:color w:val="auto"/>
                <w:sz w:val="22"/>
                <w:szCs w:val="22"/>
              </w:rPr>
              <w:t>1）完全满足（无负偏离）得</w:t>
            </w:r>
            <w:r>
              <w:rPr>
                <w:rFonts w:hint="eastAsia" w:ascii="宋体" w:hAnsi="宋体" w:cs="宋体"/>
                <w:color w:val="auto"/>
                <w:sz w:val="22"/>
                <w:szCs w:val="22"/>
                <w:lang w:val="en-US" w:eastAsia="zh-CN"/>
              </w:rPr>
              <w:t>40</w:t>
            </w:r>
            <w:r>
              <w:rPr>
                <w:rFonts w:hint="eastAsia" w:ascii="宋体" w:hAnsi="宋体" w:cs="宋体"/>
                <w:color w:val="auto"/>
                <w:sz w:val="22"/>
                <w:szCs w:val="22"/>
              </w:rPr>
              <w:t>分</w:t>
            </w:r>
            <w:r>
              <w:rPr>
                <w:rFonts w:hint="eastAsia" w:ascii="宋体" w:hAnsi="宋体" w:cs="宋体"/>
                <w:color w:val="auto"/>
                <w:sz w:val="22"/>
                <w:szCs w:val="22"/>
                <w:lang w:eastAsia="zh-CN"/>
              </w:rPr>
              <w:t>；</w:t>
            </w:r>
          </w:p>
          <w:p>
            <w:pPr>
              <w:widowControl/>
              <w:adjustRightInd w:val="0"/>
              <w:snapToGrid w:val="0"/>
              <w:spacing w:line="360" w:lineRule="exact"/>
              <w:textAlignment w:val="baseline"/>
              <w:rPr>
                <w:rFonts w:hint="eastAsia" w:ascii="宋体" w:hAnsi="宋体" w:cs="宋体"/>
                <w:color w:val="auto"/>
                <w:sz w:val="22"/>
                <w:szCs w:val="22"/>
                <w:lang w:eastAsia="zh-CN"/>
              </w:rPr>
            </w:pPr>
            <w:r>
              <w:rPr>
                <w:rFonts w:hint="eastAsia" w:ascii="宋体" w:hAnsi="宋体" w:cs="宋体"/>
                <w:color w:val="auto"/>
                <w:sz w:val="22"/>
                <w:szCs w:val="22"/>
              </w:rPr>
              <w:t>2）一般技术参数要求，不满足或负偏离的每项扣</w:t>
            </w:r>
            <w:r>
              <w:rPr>
                <w:rFonts w:hint="eastAsia" w:ascii="宋体" w:hAnsi="宋体" w:cs="宋体"/>
                <w:color w:val="auto"/>
                <w:sz w:val="22"/>
                <w:szCs w:val="22"/>
                <w:lang w:val="en-US" w:eastAsia="zh-CN"/>
              </w:rPr>
              <w:t>0.5</w:t>
            </w:r>
            <w:r>
              <w:rPr>
                <w:rFonts w:hint="eastAsia" w:ascii="宋体" w:hAnsi="宋体" w:cs="宋体"/>
                <w:color w:val="auto"/>
                <w:sz w:val="22"/>
                <w:szCs w:val="22"/>
              </w:rPr>
              <w:t>分</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共计16分</w:t>
            </w:r>
            <w:r>
              <w:rPr>
                <w:rFonts w:hint="eastAsia" w:ascii="宋体" w:hAnsi="宋体" w:cs="宋体"/>
                <w:color w:val="auto"/>
                <w:sz w:val="22"/>
                <w:szCs w:val="22"/>
              </w:rPr>
              <w:t>，扣完为止</w:t>
            </w:r>
            <w:r>
              <w:rPr>
                <w:rFonts w:hint="eastAsia" w:ascii="宋体" w:hAnsi="宋体" w:cs="宋体"/>
                <w:color w:val="auto"/>
                <w:sz w:val="22"/>
                <w:szCs w:val="22"/>
                <w:lang w:eastAsia="zh-CN"/>
              </w:rPr>
              <w:t>；</w:t>
            </w:r>
          </w:p>
          <w:p>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3）标★的重要参数（共</w:t>
            </w:r>
            <w:r>
              <w:rPr>
                <w:rFonts w:hint="eastAsia" w:ascii="宋体" w:hAnsi="宋体" w:cs="宋体"/>
                <w:color w:val="auto"/>
                <w:sz w:val="22"/>
                <w:szCs w:val="22"/>
                <w:lang w:val="en-US" w:eastAsia="zh-CN"/>
              </w:rPr>
              <w:t>24</w:t>
            </w:r>
            <w:r>
              <w:rPr>
                <w:rFonts w:hint="eastAsia" w:ascii="宋体" w:hAnsi="宋体" w:cs="宋体"/>
                <w:color w:val="auto"/>
                <w:sz w:val="22"/>
                <w:szCs w:val="22"/>
              </w:rPr>
              <w:t>条），不满足或负偏离的每项扣</w:t>
            </w:r>
            <w:r>
              <w:rPr>
                <w:rFonts w:hint="eastAsia" w:ascii="宋体" w:hAnsi="宋体" w:cs="宋体"/>
                <w:color w:val="auto"/>
                <w:sz w:val="22"/>
                <w:szCs w:val="22"/>
                <w:lang w:val="en-US" w:eastAsia="zh-CN"/>
              </w:rPr>
              <w:t>1</w:t>
            </w:r>
            <w:r>
              <w:rPr>
                <w:rFonts w:hint="eastAsia" w:ascii="宋体" w:hAnsi="宋体" w:cs="宋体"/>
                <w:color w:val="auto"/>
                <w:sz w:val="22"/>
                <w:szCs w:val="22"/>
              </w:rPr>
              <w:t>分，</w:t>
            </w:r>
            <w:r>
              <w:rPr>
                <w:rFonts w:hint="eastAsia" w:ascii="宋体" w:hAnsi="宋体" w:cs="宋体"/>
                <w:color w:val="auto"/>
                <w:sz w:val="22"/>
                <w:szCs w:val="22"/>
                <w:lang w:val="en-US" w:eastAsia="zh-CN"/>
              </w:rPr>
              <w:t>共计24分</w:t>
            </w:r>
            <w:r>
              <w:rPr>
                <w:rFonts w:hint="eastAsia" w:ascii="宋体" w:hAnsi="宋体" w:cs="宋体"/>
                <w:color w:val="auto"/>
                <w:sz w:val="22"/>
                <w:szCs w:val="22"/>
              </w:rPr>
              <w:t>，扣完为止。</w:t>
            </w:r>
          </w:p>
          <w:p>
            <w:pPr>
              <w:widowControl/>
              <w:adjustRightInd w:val="0"/>
              <w:snapToGrid w:val="0"/>
              <w:spacing w:line="360" w:lineRule="exact"/>
              <w:textAlignment w:val="baseline"/>
              <w:rPr>
                <w:rFonts w:hint="eastAsia" w:eastAsia="宋体"/>
                <w:color w:val="auto"/>
                <w:lang w:val="en-US" w:eastAsia="zh-CN"/>
              </w:rPr>
            </w:pPr>
            <w:r>
              <w:rPr>
                <w:rFonts w:hint="eastAsia" w:ascii="宋体" w:hAnsi="宋体" w:cs="宋体"/>
                <w:color w:val="auto"/>
                <w:sz w:val="22"/>
                <w:szCs w:val="22"/>
                <w:lang w:val="en-US" w:eastAsia="zh-CN"/>
              </w:rPr>
              <w:t>注：不能按照招标文件要求提供截图、证书等证明文件视为负偏离</w:t>
            </w:r>
          </w:p>
        </w:tc>
        <w:tc>
          <w:tcPr>
            <w:tcW w:w="620" w:type="dxa"/>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57"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 xml:space="preserve"> 产品功能及配置</w:t>
            </w:r>
          </w:p>
        </w:tc>
        <w:tc>
          <w:tcPr>
            <w:tcW w:w="6857" w:type="dxa"/>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投标产品的总体配置和功能的先进性、完整性和适用性情况。</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1)能贴合采购人需求，完整性、适用性强的得</w:t>
            </w:r>
            <w:r>
              <w:rPr>
                <w:rFonts w:hint="eastAsia" w:ascii="宋体" w:hAnsi="宋体" w:cs="宋体"/>
                <w:color w:val="auto"/>
                <w:lang w:val="en-US" w:eastAsia="zh-CN"/>
              </w:rPr>
              <w:t>3</w:t>
            </w:r>
            <w:r>
              <w:rPr>
                <w:rFonts w:hint="eastAsia" w:ascii="宋体" w:hAnsi="宋体" w:cs="宋体"/>
                <w:color w:val="auto"/>
                <w:sz w:val="22"/>
                <w:szCs w:val="22"/>
              </w:rPr>
              <w:t>分；</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2)能比较贴合采购人需求，完整性、适用性较强的得</w:t>
            </w:r>
            <w:r>
              <w:rPr>
                <w:rFonts w:hint="eastAsia" w:ascii="宋体" w:hAnsi="宋体" w:cs="宋体"/>
                <w:color w:val="auto"/>
                <w:sz w:val="22"/>
                <w:szCs w:val="22"/>
                <w:lang w:val="en-US" w:eastAsia="zh-CN"/>
              </w:rPr>
              <w:t>2</w:t>
            </w:r>
            <w:r>
              <w:rPr>
                <w:rFonts w:hint="eastAsia" w:ascii="宋体" w:hAnsi="宋体" w:cs="宋体"/>
                <w:color w:val="auto"/>
                <w:sz w:val="22"/>
                <w:szCs w:val="22"/>
              </w:rPr>
              <w:t>分；</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3)能基本贴合采购人需求，完整性、适用性一般的得</w:t>
            </w:r>
            <w:r>
              <w:rPr>
                <w:rFonts w:hint="eastAsia" w:ascii="宋体" w:hAnsi="宋体" w:cs="宋体"/>
                <w:color w:val="auto"/>
                <w:sz w:val="22"/>
                <w:szCs w:val="22"/>
                <w:lang w:val="en-US" w:eastAsia="zh-CN"/>
              </w:rPr>
              <w:t>1</w:t>
            </w:r>
            <w:r>
              <w:rPr>
                <w:rFonts w:hint="eastAsia" w:ascii="宋体" w:hAnsi="宋体" w:cs="宋体"/>
                <w:color w:val="auto"/>
                <w:sz w:val="22"/>
                <w:szCs w:val="22"/>
              </w:rPr>
              <w:t>分；</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4)完整性、适用性差的或不提供不得分。</w:t>
            </w:r>
          </w:p>
        </w:tc>
        <w:tc>
          <w:tcPr>
            <w:tcW w:w="620" w:type="dxa"/>
            <w:vAlign w:val="center"/>
          </w:tcPr>
          <w:p>
            <w:pPr>
              <w:widowControl/>
              <w:adjustRightInd w:val="0"/>
              <w:snapToGrid w:val="0"/>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57"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1600" w:type="dxa"/>
            <w:vAlign w:val="center"/>
          </w:tcPr>
          <w:p>
            <w:pPr>
              <w:pStyle w:val="17"/>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实施方案</w:t>
            </w:r>
          </w:p>
        </w:tc>
        <w:tc>
          <w:tcPr>
            <w:tcW w:w="6857"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根据投标人提供的实施方案</w:t>
            </w:r>
            <w:r>
              <w:rPr>
                <w:rFonts w:hint="eastAsia" w:ascii="宋体" w:hAnsi="宋体" w:cs="宋体"/>
                <w:color w:val="auto"/>
                <w:szCs w:val="21"/>
                <w:lang w:val="en-US" w:eastAsia="zh-CN"/>
              </w:rPr>
              <w:t>的</w:t>
            </w:r>
            <w:r>
              <w:rPr>
                <w:rFonts w:hint="eastAsia" w:ascii="宋体" w:hAnsi="宋体" w:cs="宋体"/>
                <w:color w:val="auto"/>
                <w:szCs w:val="21"/>
              </w:rPr>
              <w:t>进度安排以及产品的供货</w:t>
            </w:r>
            <w:r>
              <w:rPr>
                <w:rFonts w:hint="eastAsia" w:ascii="宋体" w:hAnsi="宋体" w:cs="宋体"/>
                <w:color w:val="auto"/>
                <w:szCs w:val="21"/>
                <w:lang w:eastAsia="zh-CN"/>
              </w:rPr>
              <w:t>、</w:t>
            </w:r>
            <w:r>
              <w:rPr>
                <w:rFonts w:hint="eastAsia" w:ascii="宋体" w:hAnsi="宋体" w:cs="宋体"/>
                <w:color w:val="auto"/>
                <w:szCs w:val="21"/>
              </w:rPr>
              <w:t>验收标准等内容综合评审打分。</w:t>
            </w:r>
          </w:p>
          <w:p>
            <w:pPr>
              <w:widowControl/>
              <w:spacing w:line="360" w:lineRule="exact"/>
              <w:rPr>
                <w:rFonts w:ascii="宋体" w:hAnsi="宋体" w:cs="宋体"/>
                <w:color w:val="auto"/>
                <w:szCs w:val="21"/>
              </w:rPr>
            </w:pPr>
            <w:r>
              <w:rPr>
                <w:rFonts w:hint="eastAsia" w:ascii="宋体" w:hAnsi="宋体" w:cs="宋体"/>
                <w:color w:val="auto"/>
                <w:szCs w:val="21"/>
              </w:rPr>
              <w:t>(1)实施方案、措施科学、合理、规范：</w:t>
            </w:r>
            <w:r>
              <w:rPr>
                <w:rFonts w:hint="eastAsia" w:ascii="宋体" w:hAnsi="宋体" w:cs="宋体"/>
                <w:color w:val="auto"/>
                <w:lang w:val="en-US" w:eastAsia="zh-CN"/>
              </w:rPr>
              <w:t>3</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(2)实施方案、措施较科学、合理、规范：</w:t>
            </w:r>
            <w:r>
              <w:rPr>
                <w:rFonts w:hint="eastAsia" w:ascii="宋体" w:hAnsi="宋体" w:cs="宋体"/>
                <w:color w:val="auto"/>
                <w:sz w:val="22"/>
                <w:szCs w:val="22"/>
                <w:lang w:val="en-US" w:eastAsia="zh-CN"/>
              </w:rPr>
              <w:t>2</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(3)实施方案、措施一般科学、合理、规范：</w:t>
            </w:r>
            <w:r>
              <w:rPr>
                <w:rFonts w:hint="eastAsia" w:ascii="宋体" w:hAnsi="宋体" w:cs="宋体"/>
                <w:color w:val="auto"/>
                <w:sz w:val="22"/>
                <w:szCs w:val="22"/>
                <w:lang w:val="en-US" w:eastAsia="zh-CN"/>
              </w:rPr>
              <w:t>1</w:t>
            </w:r>
            <w:r>
              <w:rPr>
                <w:rFonts w:hint="eastAsia" w:ascii="宋体" w:hAnsi="宋体" w:cs="宋体"/>
                <w:color w:val="auto"/>
                <w:szCs w:val="21"/>
              </w:rPr>
              <w:t>分；</w:t>
            </w:r>
          </w:p>
          <w:p>
            <w:pPr>
              <w:pStyle w:val="17"/>
              <w:adjustRightInd w:val="0"/>
              <w:snapToGrid w:val="0"/>
              <w:spacing w:after="0" w:line="360" w:lineRule="exact"/>
              <w:rPr>
                <w:rFonts w:ascii="宋体" w:hAnsi="宋体" w:cs="宋体"/>
                <w:color w:val="auto"/>
                <w:sz w:val="22"/>
                <w:szCs w:val="22"/>
              </w:rPr>
            </w:pPr>
            <w:r>
              <w:rPr>
                <w:rFonts w:hint="eastAsia" w:ascii="宋体" w:hAnsi="宋体" w:cs="宋体"/>
                <w:color w:val="auto"/>
                <w:kern w:val="0"/>
                <w:szCs w:val="21"/>
              </w:rPr>
              <w:t>(4)无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620"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57" w:type="dxa"/>
            <w:vAlign w:val="center"/>
          </w:tcPr>
          <w:p>
            <w:pPr>
              <w:pStyle w:val="17"/>
              <w:adjustRightInd w:val="0"/>
              <w:snapToGrid w:val="0"/>
              <w:spacing w:after="0" w:line="360" w:lineRule="exact"/>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5</w:t>
            </w:r>
          </w:p>
        </w:tc>
        <w:tc>
          <w:tcPr>
            <w:tcW w:w="1600" w:type="dxa"/>
            <w:vAlign w:val="center"/>
          </w:tcPr>
          <w:p>
            <w:pPr>
              <w:pStyle w:val="17"/>
              <w:adjustRightInd w:val="0"/>
              <w:snapToGrid w:val="0"/>
              <w:spacing w:after="0" w:line="360" w:lineRule="exact"/>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安装调试方案</w:t>
            </w:r>
          </w:p>
        </w:tc>
        <w:tc>
          <w:tcPr>
            <w:tcW w:w="6857"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根据投标人提供的安装调试、试运行、测试、调优等内容综合评审打分。</w:t>
            </w:r>
          </w:p>
          <w:p>
            <w:pPr>
              <w:widowControl/>
              <w:spacing w:line="360" w:lineRule="exact"/>
              <w:rPr>
                <w:rFonts w:ascii="宋体" w:hAnsi="宋体" w:cs="宋体"/>
                <w:color w:val="auto"/>
                <w:szCs w:val="21"/>
              </w:rPr>
            </w:pPr>
            <w:r>
              <w:rPr>
                <w:rFonts w:hint="eastAsia" w:ascii="宋体" w:hAnsi="宋体" w:cs="宋体"/>
                <w:color w:val="auto"/>
                <w:szCs w:val="21"/>
              </w:rPr>
              <w:t>(1)实施方案、措施科学、合理、规范：</w:t>
            </w:r>
            <w:r>
              <w:rPr>
                <w:rFonts w:hint="eastAsia" w:ascii="宋体" w:hAnsi="宋体" w:cs="宋体"/>
                <w:color w:val="auto"/>
                <w:lang w:val="en-US" w:eastAsia="zh-CN"/>
              </w:rPr>
              <w:t>3</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(2)实施方案、措施较科学、合理、规范：</w:t>
            </w:r>
            <w:r>
              <w:rPr>
                <w:rFonts w:hint="eastAsia" w:ascii="宋体" w:hAnsi="宋体" w:cs="宋体"/>
                <w:color w:val="auto"/>
                <w:sz w:val="22"/>
                <w:szCs w:val="22"/>
                <w:lang w:val="en-US" w:eastAsia="zh-CN"/>
              </w:rPr>
              <w:t>2</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(3)实施方案、措施一般科学、合理、规范：</w:t>
            </w:r>
            <w:r>
              <w:rPr>
                <w:rFonts w:hint="eastAsia" w:ascii="宋体" w:hAnsi="宋体" w:cs="宋体"/>
                <w:color w:val="auto"/>
                <w:sz w:val="22"/>
                <w:szCs w:val="22"/>
                <w:lang w:val="en-US" w:eastAsia="zh-CN"/>
              </w:rPr>
              <w:t>1</w:t>
            </w:r>
            <w:r>
              <w:rPr>
                <w:rFonts w:hint="eastAsia" w:ascii="宋体" w:hAnsi="宋体" w:cs="宋体"/>
                <w:color w:val="auto"/>
                <w:szCs w:val="21"/>
              </w:rPr>
              <w:t>分；</w:t>
            </w:r>
          </w:p>
          <w:p>
            <w:pPr>
              <w:pStyle w:val="17"/>
              <w:adjustRightInd w:val="0"/>
              <w:snapToGrid w:val="0"/>
              <w:spacing w:after="0" w:line="360" w:lineRule="exact"/>
              <w:rPr>
                <w:rFonts w:hint="eastAsia" w:ascii="宋体" w:hAnsi="宋体" w:cs="宋体"/>
                <w:color w:val="auto"/>
                <w:kern w:val="0"/>
                <w:szCs w:val="21"/>
              </w:rPr>
            </w:pPr>
            <w:r>
              <w:rPr>
                <w:rFonts w:hint="eastAsia" w:ascii="宋体" w:hAnsi="宋体" w:cs="宋体"/>
                <w:color w:val="auto"/>
                <w:kern w:val="0"/>
                <w:szCs w:val="21"/>
              </w:rPr>
              <w:t>(4)无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620" w:type="dxa"/>
            <w:vAlign w:val="center"/>
          </w:tcPr>
          <w:p>
            <w:pPr>
              <w:pStyle w:val="17"/>
              <w:adjustRightInd w:val="0"/>
              <w:snapToGrid w:val="0"/>
              <w:spacing w:after="0" w:line="36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7"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6</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服务团队保障</w:t>
            </w:r>
          </w:p>
        </w:tc>
        <w:tc>
          <w:tcPr>
            <w:tcW w:w="6857" w:type="dxa"/>
            <w:vAlign w:val="center"/>
          </w:tcPr>
          <w:p>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1.项目负责人情况：项目负责人需同时具备信息系统项目管理师证书、项目经理证书。（注：项目负责人同时具备上述所有证书，得3分，只具备一项证书得1.5分，不提供不得分。）</w:t>
            </w:r>
          </w:p>
          <w:p>
            <w:pPr>
              <w:widowControl/>
              <w:adjustRightInd w:val="0"/>
              <w:snapToGrid w:val="0"/>
              <w:spacing w:line="360" w:lineRule="exact"/>
              <w:textAlignment w:val="baseline"/>
              <w:rPr>
                <w:rFonts w:hint="eastAsia" w:ascii="宋体" w:hAnsi="宋体" w:cs="宋体"/>
                <w:color w:val="auto"/>
                <w:szCs w:val="21"/>
              </w:rPr>
            </w:pPr>
            <w:r>
              <w:rPr>
                <w:rFonts w:hint="eastAsia" w:ascii="宋体" w:hAnsi="宋体" w:cs="宋体"/>
                <w:color w:val="auto"/>
                <w:szCs w:val="21"/>
              </w:rPr>
              <w:t>2.技术负责人具备高级系统架构设计师证书，得2分；</w:t>
            </w:r>
          </w:p>
          <w:p>
            <w:pPr>
              <w:widowControl/>
              <w:adjustRightInd w:val="0"/>
              <w:snapToGrid w:val="0"/>
              <w:spacing w:line="360" w:lineRule="exact"/>
              <w:textAlignment w:val="baseline"/>
              <w:rPr>
                <w:rFonts w:hint="eastAsia" w:ascii="宋体" w:hAnsi="宋体" w:eastAsia="宋体" w:cs="宋体"/>
                <w:color w:val="auto"/>
                <w:szCs w:val="21"/>
                <w:lang w:eastAsia="zh-CN"/>
              </w:rPr>
            </w:pPr>
            <w:r>
              <w:rPr>
                <w:rFonts w:hint="eastAsia" w:ascii="宋体" w:hAnsi="宋体" w:cs="宋体"/>
                <w:color w:val="auto"/>
                <w:szCs w:val="21"/>
              </w:rPr>
              <w:t>3.项目组其他成员（除项目负责人、技术负责人外）拥有PMP证书、安防人员证书，每人次得0.5分，累计最多得1分</w:t>
            </w:r>
            <w:r>
              <w:rPr>
                <w:rFonts w:hint="eastAsia" w:ascii="宋体" w:hAnsi="宋体" w:cs="宋体"/>
                <w:color w:val="auto"/>
                <w:szCs w:val="21"/>
                <w:lang w:eastAsia="zh-CN"/>
              </w:rPr>
              <w:t>。</w:t>
            </w:r>
          </w:p>
        </w:tc>
        <w:tc>
          <w:tcPr>
            <w:tcW w:w="620"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7"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7</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培训方案</w:t>
            </w:r>
          </w:p>
        </w:tc>
        <w:tc>
          <w:tcPr>
            <w:tcW w:w="6857" w:type="dxa"/>
            <w:vAlign w:val="center"/>
          </w:tcPr>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针对本次项目提供培训方案，包括培训</w:t>
            </w:r>
            <w:r>
              <w:rPr>
                <w:rFonts w:hint="eastAsia" w:ascii="宋体" w:hAnsi="宋体" w:cs="宋体"/>
                <w:color w:val="auto"/>
                <w:sz w:val="22"/>
                <w:szCs w:val="22"/>
                <w:lang w:val="en-GB"/>
              </w:rPr>
              <w:t>目的</w:t>
            </w:r>
            <w:r>
              <w:rPr>
                <w:rFonts w:hint="eastAsia" w:ascii="宋体" w:hAnsi="宋体" w:cs="宋体"/>
                <w:color w:val="auto"/>
                <w:sz w:val="22"/>
                <w:szCs w:val="22"/>
              </w:rPr>
              <w:t>、培训内容、培训时间、地点、</w:t>
            </w:r>
            <w:r>
              <w:rPr>
                <w:rFonts w:hint="eastAsia" w:ascii="宋体" w:hAnsi="宋体" w:cs="宋体"/>
                <w:color w:val="auto"/>
                <w:sz w:val="22"/>
                <w:szCs w:val="22"/>
                <w:lang w:val="en-GB"/>
              </w:rPr>
              <w:t>频次</w:t>
            </w:r>
            <w:r>
              <w:rPr>
                <w:rFonts w:hint="eastAsia" w:ascii="宋体" w:hAnsi="宋体" w:cs="宋体"/>
                <w:color w:val="auto"/>
                <w:sz w:val="22"/>
                <w:szCs w:val="22"/>
              </w:rPr>
              <w:t>等综合评审打分。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(1)方案能贴合采购人需求，合理可行、针对性强的得</w:t>
            </w:r>
            <w:r>
              <w:rPr>
                <w:rFonts w:hint="eastAsia" w:ascii="宋体" w:hAnsi="宋体" w:cs="宋体"/>
                <w:color w:val="auto"/>
                <w:lang w:val="en-US" w:eastAsia="zh-CN"/>
              </w:rPr>
              <w:t>3</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(2)方案能比较贴合采购人需求，较合理可行、针对性较强的得</w:t>
            </w:r>
            <w:r>
              <w:rPr>
                <w:rFonts w:hint="eastAsia" w:ascii="宋体" w:hAnsi="宋体" w:cs="宋体"/>
                <w:color w:val="auto"/>
                <w:lang w:val="en-US" w:eastAsia="zh-CN"/>
              </w:rPr>
              <w:t>2</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(3)方案能基本贴合采购人需求，合理性、可行性、针对性一般的得</w:t>
            </w:r>
            <w:r>
              <w:rPr>
                <w:rFonts w:hint="eastAsia" w:ascii="宋体" w:hAnsi="宋体" w:cs="宋体"/>
                <w:color w:val="auto"/>
                <w:lang w:val="en-US" w:eastAsia="zh-CN"/>
              </w:rPr>
              <w:t>1</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Cs w:val="21"/>
              </w:rPr>
            </w:pPr>
            <w:r>
              <w:rPr>
                <w:rFonts w:hint="eastAsia" w:ascii="宋体" w:hAnsi="宋体" w:cs="宋体"/>
                <w:color w:val="auto"/>
                <w:sz w:val="22"/>
                <w:szCs w:val="22"/>
              </w:rPr>
              <w:t>(4)不提供不得分。</w:t>
            </w:r>
          </w:p>
        </w:tc>
        <w:tc>
          <w:tcPr>
            <w:tcW w:w="620"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7"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8</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质保期</w:t>
            </w:r>
          </w:p>
        </w:tc>
        <w:tc>
          <w:tcPr>
            <w:tcW w:w="6857" w:type="dxa"/>
            <w:vAlign w:val="center"/>
          </w:tcPr>
          <w:p>
            <w:pPr>
              <w:pStyle w:val="90"/>
              <w:adjustRightInd w:val="0"/>
              <w:snapToGrid w:val="0"/>
              <w:spacing w:line="360" w:lineRule="exact"/>
              <w:jc w:val="both"/>
              <w:rPr>
                <w:rFonts w:ascii="宋体" w:hAnsi="宋体" w:cs="宋体"/>
                <w:color w:val="auto"/>
              </w:rPr>
            </w:pPr>
            <w:r>
              <w:rPr>
                <w:rFonts w:hint="eastAsia" w:ascii="宋体" w:hAnsi="宋体" w:cs="宋体"/>
                <w:color w:val="auto"/>
              </w:rPr>
              <w:t>满足招标文件要求的3年免费质保不得分，</w:t>
            </w:r>
            <w:r>
              <w:rPr>
                <w:rFonts w:hint="eastAsia" w:ascii="宋体" w:hAnsi="宋体" w:cs="宋体"/>
                <w:bCs/>
                <w:color w:val="auto"/>
                <w:kern w:val="2"/>
              </w:rPr>
              <w:t>每增加1年得2分，最高得4分，不足1年的不计入加分。</w:t>
            </w:r>
          </w:p>
        </w:tc>
        <w:tc>
          <w:tcPr>
            <w:tcW w:w="62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7"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9</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售后服务</w:t>
            </w:r>
          </w:p>
        </w:tc>
        <w:tc>
          <w:tcPr>
            <w:tcW w:w="6857" w:type="dxa"/>
            <w:vAlign w:val="center"/>
          </w:tcPr>
          <w:p>
            <w:pPr>
              <w:spacing w:line="360" w:lineRule="exact"/>
              <w:jc w:val="left"/>
              <w:rPr>
                <w:rFonts w:ascii="宋体" w:hAnsi="宋体" w:cs="宋体"/>
                <w:color w:val="auto"/>
                <w:sz w:val="22"/>
                <w:szCs w:val="22"/>
              </w:rPr>
            </w:pPr>
            <w:r>
              <w:rPr>
                <w:rFonts w:hint="eastAsia" w:ascii="宋体" w:hAnsi="宋体" w:cs="宋体"/>
                <w:color w:val="auto"/>
                <w:sz w:val="22"/>
                <w:szCs w:val="22"/>
              </w:rPr>
              <w:t>根据投标人提供的售后服务承诺、质保期外的后续技术支持和维护能力情况、配件、附件、备品备件的准备和保障措施，由评审小组综合打分。</w:t>
            </w:r>
          </w:p>
          <w:p>
            <w:pPr>
              <w:spacing w:line="360" w:lineRule="exact"/>
              <w:jc w:val="left"/>
              <w:rPr>
                <w:rFonts w:ascii="宋体" w:hAnsi="宋体" w:cs="宋体"/>
                <w:color w:val="auto"/>
                <w:sz w:val="22"/>
                <w:szCs w:val="22"/>
              </w:rPr>
            </w:pPr>
            <w:r>
              <w:rPr>
                <w:rFonts w:hint="eastAsia" w:ascii="宋体" w:hAnsi="宋体" w:cs="宋体"/>
                <w:color w:val="auto"/>
                <w:sz w:val="22"/>
                <w:szCs w:val="22"/>
              </w:rPr>
              <w:t>(1)能贴合采购人需求，合理可行、针对性强的得</w:t>
            </w:r>
            <w:r>
              <w:rPr>
                <w:rFonts w:hint="eastAsia" w:ascii="宋体" w:hAnsi="宋体" w:cs="宋体"/>
                <w:color w:val="auto"/>
              </w:rPr>
              <w:t>3-4</w:t>
            </w:r>
            <w:r>
              <w:rPr>
                <w:rFonts w:hint="eastAsia" w:ascii="宋体" w:hAnsi="宋体" w:cs="宋体"/>
                <w:color w:val="auto"/>
                <w:sz w:val="22"/>
                <w:szCs w:val="22"/>
              </w:rPr>
              <w:t>分；</w:t>
            </w:r>
          </w:p>
          <w:p>
            <w:pPr>
              <w:spacing w:line="360" w:lineRule="exact"/>
              <w:jc w:val="left"/>
              <w:rPr>
                <w:rFonts w:ascii="宋体" w:hAnsi="宋体" w:cs="宋体"/>
                <w:color w:val="auto"/>
                <w:sz w:val="22"/>
                <w:szCs w:val="22"/>
              </w:rPr>
            </w:pPr>
            <w:r>
              <w:rPr>
                <w:rFonts w:hint="eastAsia" w:ascii="宋体" w:hAnsi="宋体" w:cs="宋体"/>
                <w:color w:val="auto"/>
                <w:sz w:val="22"/>
                <w:szCs w:val="22"/>
              </w:rPr>
              <w:t>(2)能比较贴合采购人需求，较合理可行、针对性较强的得2-</w:t>
            </w:r>
            <w:r>
              <w:rPr>
                <w:rFonts w:hint="eastAsia" w:ascii="宋体" w:hAnsi="宋体" w:cs="宋体"/>
                <w:color w:val="auto"/>
                <w:sz w:val="22"/>
                <w:szCs w:val="22"/>
                <w:lang w:val="en-US" w:eastAsia="zh-CN"/>
              </w:rPr>
              <w:t>3</w:t>
            </w:r>
            <w:r>
              <w:rPr>
                <w:rFonts w:hint="eastAsia" w:ascii="宋体" w:hAnsi="宋体" w:cs="宋体"/>
                <w:color w:val="auto"/>
                <w:sz w:val="22"/>
                <w:szCs w:val="22"/>
              </w:rPr>
              <w:t>分；</w:t>
            </w:r>
          </w:p>
          <w:p>
            <w:pPr>
              <w:spacing w:line="360" w:lineRule="exact"/>
              <w:jc w:val="left"/>
              <w:rPr>
                <w:rFonts w:ascii="宋体" w:hAnsi="宋体" w:cs="宋体"/>
                <w:color w:val="auto"/>
              </w:rPr>
            </w:pPr>
            <w:r>
              <w:rPr>
                <w:rFonts w:hint="eastAsia" w:ascii="宋体" w:hAnsi="宋体" w:cs="宋体"/>
                <w:color w:val="auto"/>
                <w:sz w:val="22"/>
                <w:szCs w:val="22"/>
              </w:rPr>
              <w:t>(3)能基本贴合采购人需求，合理性、可行性、针对性一般的得1-2分。</w:t>
            </w:r>
          </w:p>
          <w:p>
            <w:pPr>
              <w:pStyle w:val="90"/>
              <w:adjustRightInd w:val="0"/>
              <w:snapToGrid w:val="0"/>
              <w:spacing w:line="360" w:lineRule="exact"/>
              <w:jc w:val="both"/>
              <w:rPr>
                <w:rFonts w:ascii="宋体" w:hAnsi="宋体" w:cs="宋体"/>
                <w:color w:val="auto"/>
                <w:sz w:val="22"/>
                <w:szCs w:val="22"/>
              </w:rPr>
            </w:pPr>
            <w:r>
              <w:rPr>
                <w:rFonts w:hint="eastAsia" w:ascii="宋体" w:hAnsi="宋体" w:cs="宋体"/>
                <w:color w:val="auto"/>
                <w:sz w:val="22"/>
                <w:szCs w:val="22"/>
              </w:rPr>
              <w:t>(4)不能贴合采购人需求，合理性、可行性、针对性差的或者不提供的均不得分。</w:t>
            </w:r>
          </w:p>
        </w:tc>
        <w:tc>
          <w:tcPr>
            <w:tcW w:w="620" w:type="dxa"/>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7" w:type="dxa"/>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10</w:t>
            </w:r>
          </w:p>
        </w:tc>
        <w:tc>
          <w:tcPr>
            <w:tcW w:w="160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环保节能产品</w:t>
            </w:r>
          </w:p>
        </w:tc>
        <w:tc>
          <w:tcPr>
            <w:tcW w:w="6857" w:type="dxa"/>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p>
        </w:tc>
        <w:tc>
          <w:tcPr>
            <w:tcW w:w="620" w:type="dxa"/>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r>
    </w:tbl>
    <w:p>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（1）有效投标人的投标报价等于评标基准价时其价格分为满分3</w:t>
      </w:r>
      <w:r>
        <w:rPr>
          <w:rFonts w:ascii="宋体" w:hAnsi="宋体" w:cs="宋体"/>
          <w:color w:val="auto"/>
          <w:sz w:val="22"/>
          <w:szCs w:val="22"/>
        </w:rPr>
        <w:t>0</w:t>
      </w:r>
      <w:r>
        <w:rPr>
          <w:rFonts w:hint="eastAsia" w:ascii="宋体" w:hAnsi="宋体" w:cs="宋体"/>
          <w:color w:val="auto"/>
          <w:sz w:val="22"/>
          <w:szCs w:val="22"/>
        </w:rPr>
        <w:t>分；</w:t>
      </w:r>
    </w:p>
    <w:p>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pPr>
        <w:rPr>
          <w:color w:val="auto"/>
        </w:rPr>
      </w:pPr>
    </w:p>
    <w:sectPr>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宋体"/>
    <w:panose1 w:val="00000000000000000000"/>
    <w:charset w:val="86"/>
    <w:family w:val="auto"/>
    <w:pitch w:val="default"/>
    <w:sig w:usb0="00000000" w:usb1="00000000" w:usb2="00000010" w:usb3="00000000" w:csb0="0004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rPr>
        <w:rStyle w:val="40"/>
      </w:rPr>
      <w:t>23</w: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19</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w:t>
    </w:r>
    <w:r>
      <w:rPr>
        <w:lang w:val="zh-CN"/>
      </w:rP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107</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40A2E9F"/>
    <w:multiLevelType w:val="singleLevel"/>
    <w:tmpl w:val="240A2E9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3FD"/>
    <w:rsid w:val="002C1B47"/>
    <w:rsid w:val="002C2353"/>
    <w:rsid w:val="002C2D2B"/>
    <w:rsid w:val="002C2DB8"/>
    <w:rsid w:val="002C33C6"/>
    <w:rsid w:val="002C376F"/>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886"/>
    <w:rsid w:val="00414B47"/>
    <w:rsid w:val="00414D6C"/>
    <w:rsid w:val="00415CA2"/>
    <w:rsid w:val="0041653F"/>
    <w:rsid w:val="00416BE2"/>
    <w:rsid w:val="00416E89"/>
    <w:rsid w:val="00416FEF"/>
    <w:rsid w:val="004171AD"/>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505A"/>
    <w:rsid w:val="00805857"/>
    <w:rsid w:val="00806A00"/>
    <w:rsid w:val="00806BEF"/>
    <w:rsid w:val="00807133"/>
    <w:rsid w:val="0080752A"/>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85E"/>
    <w:rsid w:val="00CA0E3E"/>
    <w:rsid w:val="00CA0F09"/>
    <w:rsid w:val="00CA1334"/>
    <w:rsid w:val="00CA160F"/>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600"/>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F68"/>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B979B4"/>
    <w:rsid w:val="01D950F6"/>
    <w:rsid w:val="0259157D"/>
    <w:rsid w:val="039A3ED8"/>
    <w:rsid w:val="03BA2CC2"/>
    <w:rsid w:val="047B4ECF"/>
    <w:rsid w:val="05612CD8"/>
    <w:rsid w:val="06634739"/>
    <w:rsid w:val="06662DE7"/>
    <w:rsid w:val="06E3363B"/>
    <w:rsid w:val="08311597"/>
    <w:rsid w:val="08BA07A0"/>
    <w:rsid w:val="09073675"/>
    <w:rsid w:val="098E15D7"/>
    <w:rsid w:val="0A301A70"/>
    <w:rsid w:val="0A41496A"/>
    <w:rsid w:val="0B6A63C6"/>
    <w:rsid w:val="0DC82AB8"/>
    <w:rsid w:val="0DE20392"/>
    <w:rsid w:val="0E3D12C7"/>
    <w:rsid w:val="0F2759E5"/>
    <w:rsid w:val="0F7E3778"/>
    <w:rsid w:val="0FB071DF"/>
    <w:rsid w:val="10914FFE"/>
    <w:rsid w:val="11592BC4"/>
    <w:rsid w:val="11CD1C9B"/>
    <w:rsid w:val="11DF3786"/>
    <w:rsid w:val="11E3348A"/>
    <w:rsid w:val="11F30DC5"/>
    <w:rsid w:val="12EF27DA"/>
    <w:rsid w:val="12F57DD8"/>
    <w:rsid w:val="13F65EC0"/>
    <w:rsid w:val="14105EB0"/>
    <w:rsid w:val="14894E98"/>
    <w:rsid w:val="15087518"/>
    <w:rsid w:val="15A1686E"/>
    <w:rsid w:val="161E3CC0"/>
    <w:rsid w:val="16214089"/>
    <w:rsid w:val="169436BB"/>
    <w:rsid w:val="16DF1C51"/>
    <w:rsid w:val="17FE7CDB"/>
    <w:rsid w:val="186F5470"/>
    <w:rsid w:val="1A665F59"/>
    <w:rsid w:val="1A6B04CE"/>
    <w:rsid w:val="1D5369D2"/>
    <w:rsid w:val="1EA145F0"/>
    <w:rsid w:val="1EC23455"/>
    <w:rsid w:val="1F371C2F"/>
    <w:rsid w:val="1F940C3D"/>
    <w:rsid w:val="1FAF0BB3"/>
    <w:rsid w:val="20F6344B"/>
    <w:rsid w:val="20FC53CE"/>
    <w:rsid w:val="22573150"/>
    <w:rsid w:val="22DB1410"/>
    <w:rsid w:val="24652BDE"/>
    <w:rsid w:val="247A0118"/>
    <w:rsid w:val="24B4D623"/>
    <w:rsid w:val="259D1F7B"/>
    <w:rsid w:val="260D3FC7"/>
    <w:rsid w:val="26E14B4D"/>
    <w:rsid w:val="270B22EB"/>
    <w:rsid w:val="27A67A03"/>
    <w:rsid w:val="289E23F3"/>
    <w:rsid w:val="29BEB437"/>
    <w:rsid w:val="2AFA1016"/>
    <w:rsid w:val="2B354727"/>
    <w:rsid w:val="2B8D3A26"/>
    <w:rsid w:val="2D0D05FE"/>
    <w:rsid w:val="2DA28150"/>
    <w:rsid w:val="2F217151"/>
    <w:rsid w:val="2F4C3D05"/>
    <w:rsid w:val="2FA72EEA"/>
    <w:rsid w:val="31C2432A"/>
    <w:rsid w:val="33593A3B"/>
    <w:rsid w:val="33DE36C7"/>
    <w:rsid w:val="341674CA"/>
    <w:rsid w:val="342F4D61"/>
    <w:rsid w:val="350D02F0"/>
    <w:rsid w:val="355E0668"/>
    <w:rsid w:val="37882F80"/>
    <w:rsid w:val="37C154C4"/>
    <w:rsid w:val="38AE3570"/>
    <w:rsid w:val="38C33ED6"/>
    <w:rsid w:val="39213309"/>
    <w:rsid w:val="3A25250F"/>
    <w:rsid w:val="3B256C4E"/>
    <w:rsid w:val="3CF230F2"/>
    <w:rsid w:val="3E2E7433"/>
    <w:rsid w:val="3E5C6C61"/>
    <w:rsid w:val="3E8C7A26"/>
    <w:rsid w:val="3F055894"/>
    <w:rsid w:val="406D7300"/>
    <w:rsid w:val="41E10C70"/>
    <w:rsid w:val="429A0303"/>
    <w:rsid w:val="43511F37"/>
    <w:rsid w:val="43888190"/>
    <w:rsid w:val="45F44B43"/>
    <w:rsid w:val="46635283"/>
    <w:rsid w:val="46ED3878"/>
    <w:rsid w:val="47385A50"/>
    <w:rsid w:val="47AA25C2"/>
    <w:rsid w:val="47BE31A6"/>
    <w:rsid w:val="47F2C001"/>
    <w:rsid w:val="4891428A"/>
    <w:rsid w:val="489F0449"/>
    <w:rsid w:val="49151ABE"/>
    <w:rsid w:val="4B103655"/>
    <w:rsid w:val="4B5725DE"/>
    <w:rsid w:val="4B8C2A00"/>
    <w:rsid w:val="4C9E19C0"/>
    <w:rsid w:val="4D51587D"/>
    <w:rsid w:val="4DC71B74"/>
    <w:rsid w:val="4E387C78"/>
    <w:rsid w:val="4F5C75FB"/>
    <w:rsid w:val="4FAE11FC"/>
    <w:rsid w:val="4FBA6DB9"/>
    <w:rsid w:val="4FCF53F6"/>
    <w:rsid w:val="516C4956"/>
    <w:rsid w:val="516D28EF"/>
    <w:rsid w:val="51710677"/>
    <w:rsid w:val="51722FF6"/>
    <w:rsid w:val="528B6F1A"/>
    <w:rsid w:val="53106DAB"/>
    <w:rsid w:val="536F1A94"/>
    <w:rsid w:val="5396417F"/>
    <w:rsid w:val="54224EA2"/>
    <w:rsid w:val="545F6C51"/>
    <w:rsid w:val="54ED1452"/>
    <w:rsid w:val="5571600D"/>
    <w:rsid w:val="56A50CDA"/>
    <w:rsid w:val="571C7430"/>
    <w:rsid w:val="596C3E25"/>
    <w:rsid w:val="598C5645"/>
    <w:rsid w:val="5A0F25CF"/>
    <w:rsid w:val="5B966789"/>
    <w:rsid w:val="5C574AC3"/>
    <w:rsid w:val="5C7F6ACD"/>
    <w:rsid w:val="5D4347C0"/>
    <w:rsid w:val="5D4A4C0E"/>
    <w:rsid w:val="5D857A38"/>
    <w:rsid w:val="5E4D7F51"/>
    <w:rsid w:val="5E6847AF"/>
    <w:rsid w:val="5FC41C75"/>
    <w:rsid w:val="5FDD42D4"/>
    <w:rsid w:val="60606896"/>
    <w:rsid w:val="60EB1C49"/>
    <w:rsid w:val="610B690B"/>
    <w:rsid w:val="620333B0"/>
    <w:rsid w:val="627C6F22"/>
    <w:rsid w:val="62B96FE1"/>
    <w:rsid w:val="634963E7"/>
    <w:rsid w:val="63702777"/>
    <w:rsid w:val="63A10E0E"/>
    <w:rsid w:val="63CF7B03"/>
    <w:rsid w:val="64571E7C"/>
    <w:rsid w:val="64B809E2"/>
    <w:rsid w:val="65E2470D"/>
    <w:rsid w:val="65E669EC"/>
    <w:rsid w:val="67157A1D"/>
    <w:rsid w:val="68581B13"/>
    <w:rsid w:val="686102B9"/>
    <w:rsid w:val="6AC53691"/>
    <w:rsid w:val="6B173EB2"/>
    <w:rsid w:val="6B824E99"/>
    <w:rsid w:val="6C414AB2"/>
    <w:rsid w:val="6DF6BB41"/>
    <w:rsid w:val="6E365989"/>
    <w:rsid w:val="6E570E90"/>
    <w:rsid w:val="6E6733CC"/>
    <w:rsid w:val="6EA501C4"/>
    <w:rsid w:val="6EEC6DFC"/>
    <w:rsid w:val="6FE767F1"/>
    <w:rsid w:val="701D3DDF"/>
    <w:rsid w:val="71642515"/>
    <w:rsid w:val="71AC4B85"/>
    <w:rsid w:val="71EA5B48"/>
    <w:rsid w:val="71F159DB"/>
    <w:rsid w:val="72C13030"/>
    <w:rsid w:val="72C42A56"/>
    <w:rsid w:val="72D30D83"/>
    <w:rsid w:val="72F02B78"/>
    <w:rsid w:val="73A60330"/>
    <w:rsid w:val="73A612D7"/>
    <w:rsid w:val="747316A8"/>
    <w:rsid w:val="7561438C"/>
    <w:rsid w:val="75897D5B"/>
    <w:rsid w:val="75913708"/>
    <w:rsid w:val="75C5050B"/>
    <w:rsid w:val="766053DD"/>
    <w:rsid w:val="76CC2CFF"/>
    <w:rsid w:val="771865D2"/>
    <w:rsid w:val="77846810"/>
    <w:rsid w:val="77961932"/>
    <w:rsid w:val="78EB68CB"/>
    <w:rsid w:val="7942768C"/>
    <w:rsid w:val="7966337A"/>
    <w:rsid w:val="79CB5C60"/>
    <w:rsid w:val="7A3562E6"/>
    <w:rsid w:val="7A4B32C7"/>
    <w:rsid w:val="7A9143A5"/>
    <w:rsid w:val="7AD4482E"/>
    <w:rsid w:val="7BF51EAC"/>
    <w:rsid w:val="7C7C32C3"/>
    <w:rsid w:val="7D4742B8"/>
    <w:rsid w:val="7D5F1FA6"/>
    <w:rsid w:val="7DC160A2"/>
    <w:rsid w:val="7E717A18"/>
    <w:rsid w:val="7E7C6352"/>
    <w:rsid w:val="7E89142D"/>
    <w:rsid w:val="7F572AE8"/>
    <w:rsid w:val="7F96532A"/>
    <w:rsid w:val="812E654B"/>
    <w:rsid w:val="E807B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4"/>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1"/>
    <w:next w:val="1"/>
    <w:link w:val="55"/>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56"/>
    <w:qFormat/>
    <w:uiPriority w:val="0"/>
    <w:pPr>
      <w:keepNext/>
      <w:keepLines/>
      <w:spacing w:before="260" w:after="260" w:line="413" w:lineRule="auto"/>
      <w:outlineLvl w:val="2"/>
    </w:pPr>
    <w:rPr>
      <w:b/>
      <w:bCs/>
      <w:kern w:val="2"/>
      <w:sz w:val="32"/>
      <w:szCs w:val="32"/>
    </w:rPr>
  </w:style>
  <w:style w:type="paragraph" w:styleId="5">
    <w:name w:val="heading 4"/>
    <w:basedOn w:val="1"/>
    <w:next w:val="1"/>
    <w:link w:val="57"/>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58"/>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59"/>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60"/>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61"/>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62"/>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4"/>
    <w:qFormat/>
    <w:uiPriority w:val="0"/>
    <w:pPr>
      <w:adjustRightInd w:val="0"/>
      <w:spacing w:line="312" w:lineRule="atLeast"/>
      <w:ind w:firstLine="420"/>
      <w:textAlignment w:val="baseline"/>
    </w:pPr>
    <w:rPr>
      <w:szCs w:val="20"/>
    </w:rPr>
  </w:style>
  <w:style w:type="paragraph" w:styleId="12">
    <w:name w:val="caption"/>
    <w:basedOn w:val="1"/>
    <w:next w:val="1"/>
    <w:qFormat/>
    <w:uiPriority w:val="0"/>
    <w:rPr>
      <w:rFonts w:ascii="Calibri Light" w:hAnsi="Calibri Light" w:eastAsia="黑体"/>
      <w:sz w:val="20"/>
      <w:szCs w:val="20"/>
    </w:rPr>
  </w:style>
  <w:style w:type="paragraph" w:styleId="13">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link w:val="65"/>
    <w:qFormat/>
    <w:uiPriority w:val="0"/>
    <w:pPr>
      <w:shd w:val="clear" w:color="auto" w:fill="000080"/>
    </w:pPr>
    <w:rPr>
      <w:kern w:val="2"/>
    </w:rPr>
  </w:style>
  <w:style w:type="paragraph" w:styleId="15">
    <w:name w:val="annotation text"/>
    <w:basedOn w:val="1"/>
    <w:link w:val="66"/>
    <w:qFormat/>
    <w:uiPriority w:val="0"/>
    <w:pPr>
      <w:jc w:val="left"/>
    </w:pPr>
    <w:rPr>
      <w:kern w:val="2"/>
    </w:rPr>
  </w:style>
  <w:style w:type="paragraph" w:styleId="16">
    <w:name w:val="Salutation"/>
    <w:basedOn w:val="1"/>
    <w:next w:val="1"/>
    <w:link w:val="67"/>
    <w:qFormat/>
    <w:uiPriority w:val="0"/>
    <w:rPr>
      <w:kern w:val="2"/>
      <w:sz w:val="24"/>
    </w:rPr>
  </w:style>
  <w:style w:type="paragraph" w:styleId="17">
    <w:name w:val="Body Text"/>
    <w:basedOn w:val="1"/>
    <w:next w:val="18"/>
    <w:link w:val="68"/>
    <w:qFormat/>
    <w:uiPriority w:val="99"/>
    <w:pPr>
      <w:spacing w:after="120"/>
    </w:pPr>
    <w:rPr>
      <w:kern w:val="2"/>
    </w:rPr>
  </w:style>
  <w:style w:type="paragraph" w:styleId="18">
    <w:name w:val="Body Text First Indent"/>
    <w:basedOn w:val="17"/>
    <w:next w:val="19"/>
    <w:qFormat/>
    <w:uiPriority w:val="0"/>
    <w:pPr>
      <w:ind w:firstLine="420" w:firstLineChars="100"/>
    </w:pPr>
  </w:style>
  <w:style w:type="paragraph" w:styleId="19">
    <w:name w:val="toc 6"/>
    <w:basedOn w:val="1"/>
    <w:next w:val="1"/>
    <w:semiHidden/>
    <w:qFormat/>
    <w:uiPriority w:val="0"/>
    <w:pPr>
      <w:ind w:left="1050"/>
      <w:jc w:val="left"/>
    </w:pPr>
    <w:rPr>
      <w:sz w:val="18"/>
      <w:szCs w:val="18"/>
    </w:rPr>
  </w:style>
  <w:style w:type="paragraph" w:styleId="20">
    <w:name w:val="Body Text Indent"/>
    <w:basedOn w:val="1"/>
    <w:next w:val="1"/>
    <w:link w:val="52"/>
    <w:qFormat/>
    <w:uiPriority w:val="0"/>
    <w:pPr>
      <w:ind w:left="480" w:hanging="480" w:hangingChars="200"/>
    </w:pPr>
    <w:rPr>
      <w:kern w:val="2"/>
      <w:sz w:val="24"/>
    </w:rPr>
  </w:style>
  <w:style w:type="paragraph" w:styleId="21">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2">
    <w:name w:val="List Bullet 2"/>
    <w:basedOn w:val="1"/>
    <w:qFormat/>
    <w:uiPriority w:val="0"/>
    <w:pPr>
      <w:tabs>
        <w:tab w:val="left" w:pos="780"/>
      </w:tabs>
      <w:ind w:left="780" w:hanging="360"/>
    </w:pPr>
    <w:rPr>
      <w:szCs w:val="20"/>
    </w:rPr>
  </w:style>
  <w:style w:type="paragraph" w:styleId="23">
    <w:name w:val="Plain Text"/>
    <w:basedOn w:val="1"/>
    <w:next w:val="1"/>
    <w:link w:val="71"/>
    <w:qFormat/>
    <w:uiPriority w:val="0"/>
    <w:pPr>
      <w:widowControl/>
      <w:overflowPunct w:val="0"/>
      <w:autoSpaceDE w:val="0"/>
      <w:autoSpaceDN w:val="0"/>
      <w:adjustRightInd w:val="0"/>
      <w:jc w:val="left"/>
      <w:textAlignment w:val="baseline"/>
    </w:pPr>
    <w:rPr>
      <w:rFonts w:ascii="宋体" w:hAnsi="Courier New"/>
      <w:szCs w:val="21"/>
    </w:rPr>
  </w:style>
  <w:style w:type="paragraph" w:styleId="24">
    <w:name w:val="Date"/>
    <w:basedOn w:val="1"/>
    <w:next w:val="1"/>
    <w:link w:val="73"/>
    <w:qFormat/>
    <w:uiPriority w:val="0"/>
    <w:pPr>
      <w:ind w:left="100" w:leftChars="2500"/>
    </w:pPr>
    <w:rPr>
      <w:kern w:val="2"/>
      <w:szCs w:val="20"/>
    </w:rPr>
  </w:style>
  <w:style w:type="paragraph" w:styleId="25">
    <w:name w:val="Body Text Indent 2"/>
    <w:basedOn w:val="1"/>
    <w:link w:val="74"/>
    <w:qFormat/>
    <w:uiPriority w:val="0"/>
    <w:pPr>
      <w:spacing w:line="500" w:lineRule="exact"/>
      <w:ind w:firstLine="511" w:firstLineChars="213"/>
    </w:pPr>
    <w:rPr>
      <w:kern w:val="2"/>
      <w:sz w:val="24"/>
    </w:rPr>
  </w:style>
  <w:style w:type="paragraph" w:styleId="26">
    <w:name w:val="Balloon Text"/>
    <w:basedOn w:val="1"/>
    <w:link w:val="75"/>
    <w:qFormat/>
    <w:uiPriority w:val="0"/>
    <w:rPr>
      <w:kern w:val="2"/>
      <w:sz w:val="18"/>
      <w:szCs w:val="18"/>
    </w:rPr>
  </w:style>
  <w:style w:type="paragraph" w:styleId="27">
    <w:name w:val="footer"/>
    <w:basedOn w:val="1"/>
    <w:link w:val="76"/>
    <w:qFormat/>
    <w:uiPriority w:val="99"/>
    <w:pPr>
      <w:tabs>
        <w:tab w:val="center" w:pos="4153"/>
        <w:tab w:val="right" w:pos="8306"/>
      </w:tabs>
      <w:snapToGrid w:val="0"/>
      <w:jc w:val="left"/>
    </w:pPr>
    <w:rPr>
      <w:kern w:val="2"/>
      <w:sz w:val="18"/>
      <w:szCs w:val="18"/>
    </w:rPr>
  </w:style>
  <w:style w:type="paragraph" w:styleId="28">
    <w:name w:val="header"/>
    <w:basedOn w:val="1"/>
    <w:link w:val="77"/>
    <w:qFormat/>
    <w:uiPriority w:val="99"/>
    <w:pPr>
      <w:pBdr>
        <w:bottom w:val="single" w:color="auto" w:sz="6" w:space="1"/>
      </w:pBdr>
      <w:tabs>
        <w:tab w:val="center" w:pos="4153"/>
        <w:tab w:val="right" w:pos="8306"/>
      </w:tabs>
      <w:snapToGrid w:val="0"/>
      <w:jc w:val="center"/>
    </w:pPr>
    <w:rPr>
      <w:kern w:val="2"/>
      <w:sz w:val="18"/>
      <w:szCs w:val="18"/>
    </w:rPr>
  </w:style>
  <w:style w:type="paragraph" w:styleId="29">
    <w:name w:val="toc 1"/>
    <w:basedOn w:val="1"/>
    <w:next w:val="1"/>
    <w:unhideWhenUsed/>
    <w:qFormat/>
    <w:uiPriority w:val="39"/>
    <w:pPr>
      <w:tabs>
        <w:tab w:val="right" w:leader="dot" w:pos="9628"/>
      </w:tabs>
    </w:pPr>
  </w:style>
  <w:style w:type="paragraph" w:styleId="30">
    <w:name w:val="Body Text Indent 3"/>
    <w:basedOn w:val="1"/>
    <w:link w:val="81"/>
    <w:qFormat/>
    <w:uiPriority w:val="0"/>
    <w:pPr>
      <w:spacing w:line="500" w:lineRule="exact"/>
      <w:ind w:left="511" w:hanging="511" w:hangingChars="213"/>
    </w:pPr>
    <w:rPr>
      <w:kern w:val="2"/>
      <w:sz w:val="24"/>
    </w:rPr>
  </w:style>
  <w:style w:type="paragraph" w:styleId="31">
    <w:name w:val="toc 2"/>
    <w:basedOn w:val="1"/>
    <w:next w:val="1"/>
    <w:unhideWhenUsed/>
    <w:qFormat/>
    <w:uiPriority w:val="39"/>
    <w:pPr>
      <w:ind w:left="420" w:leftChars="200"/>
    </w:pPr>
  </w:style>
  <w:style w:type="paragraph" w:styleId="32">
    <w:name w:val="Normal (Web)"/>
    <w:basedOn w:val="1"/>
    <w:qFormat/>
    <w:uiPriority w:val="0"/>
    <w:pPr>
      <w:widowControl/>
      <w:spacing w:before="100" w:beforeAutospacing="1" w:after="100" w:afterAutospacing="1"/>
      <w:jc w:val="left"/>
    </w:pPr>
    <w:rPr>
      <w:rFonts w:ascii="宋体" w:hAnsi="宋体" w:cs="宋体"/>
      <w:sz w:val="24"/>
    </w:rPr>
  </w:style>
  <w:style w:type="paragraph" w:styleId="33">
    <w:name w:val="Title"/>
    <w:basedOn w:val="1"/>
    <w:next w:val="1"/>
    <w:link w:val="84"/>
    <w:qFormat/>
    <w:uiPriority w:val="0"/>
    <w:pPr>
      <w:spacing w:before="240" w:after="60" w:line="460" w:lineRule="exact"/>
      <w:jc w:val="center"/>
      <w:outlineLvl w:val="0"/>
    </w:pPr>
    <w:rPr>
      <w:rFonts w:ascii="Arial" w:hAnsi="Arial"/>
      <w:b/>
      <w:spacing w:val="14"/>
      <w:kern w:val="24"/>
      <w:sz w:val="32"/>
      <w:szCs w:val="20"/>
    </w:rPr>
  </w:style>
  <w:style w:type="paragraph" w:styleId="34">
    <w:name w:val="annotation subject"/>
    <w:basedOn w:val="15"/>
    <w:next w:val="15"/>
    <w:link w:val="85"/>
    <w:qFormat/>
    <w:uiPriority w:val="0"/>
    <w:rPr>
      <w:b/>
      <w:bCs/>
    </w:rPr>
  </w:style>
  <w:style w:type="paragraph" w:styleId="35">
    <w:name w:val="Body Text First Indent 2"/>
    <w:basedOn w:val="20"/>
    <w:next w:val="18"/>
    <w:qFormat/>
    <w:uiPriority w:val="0"/>
    <w:pPr>
      <w:ind w:left="200" w:leftChars="200"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Emphasis"/>
    <w:qFormat/>
    <w:uiPriority w:val="0"/>
    <w:rPr>
      <w:rFonts w:ascii="Times New Roman" w:hAnsi="Times New Roman" w:eastAsia="宋体" w:cs="Times New Roman"/>
      <w:b/>
    </w:rPr>
  </w:style>
  <w:style w:type="character" w:styleId="42">
    <w:name w:val="HTML Definition"/>
    <w:qFormat/>
    <w:uiPriority w:val="0"/>
    <w:rPr>
      <w:rFonts w:ascii="Times New Roman" w:hAnsi="Times New Roman" w:eastAsia="宋体" w:cs="Times New Roman"/>
    </w:rPr>
  </w:style>
  <w:style w:type="character" w:styleId="43">
    <w:name w:val="HTML Variable"/>
    <w:qFormat/>
    <w:uiPriority w:val="0"/>
    <w:rPr>
      <w:rFonts w:ascii="Times New Roman" w:hAnsi="Times New Roman" w:eastAsia="宋体" w:cs="Times New Roman"/>
    </w:rPr>
  </w:style>
  <w:style w:type="character" w:styleId="44">
    <w:name w:val="Hyperlink"/>
    <w:qFormat/>
    <w:uiPriority w:val="99"/>
    <w:rPr>
      <w:rFonts w:ascii="Times New Roman" w:hAnsi="Times New Roman" w:eastAsia="宋体" w:cs="Times New Roman"/>
      <w:color w:val="000000"/>
      <w:sz w:val="21"/>
      <w:szCs w:val="21"/>
      <w:u w:val="none"/>
    </w:rPr>
  </w:style>
  <w:style w:type="character" w:styleId="45">
    <w:name w:val="HTML Code"/>
    <w:qFormat/>
    <w:uiPriority w:val="0"/>
    <w:rPr>
      <w:rFonts w:ascii="Courier New" w:hAnsi="Courier New" w:eastAsia="宋体" w:cs="Times New Roman"/>
      <w:sz w:val="20"/>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Cite"/>
    <w:qFormat/>
    <w:uiPriority w:val="0"/>
    <w:rPr>
      <w:rFonts w:ascii="Times New Roman" w:hAnsi="Times New Roman" w:eastAsia="宋体" w:cs="Times New Roman"/>
    </w:rPr>
  </w:style>
  <w:style w:type="character" w:styleId="48">
    <w:name w:val="HTML Keyboard"/>
    <w:qFormat/>
    <w:uiPriority w:val="0"/>
    <w:rPr>
      <w:rFonts w:ascii="Courier New" w:hAnsi="Courier New" w:eastAsia="宋体" w:cs="Times New Roman"/>
      <w:sz w:val="20"/>
    </w:rPr>
  </w:style>
  <w:style w:type="character" w:styleId="49">
    <w:name w:val="HTML Sample"/>
    <w:qFormat/>
    <w:uiPriority w:val="0"/>
    <w:rPr>
      <w:rFonts w:ascii="Courier New" w:hAnsi="Courier New" w:eastAsia="宋体" w:cs="Times New Roman"/>
    </w:rPr>
  </w:style>
  <w:style w:type="paragraph" w:customStyle="1" w:styleId="50">
    <w:name w:val="正文文本首行缩进1"/>
    <w:basedOn w:val="17"/>
    <w:qFormat/>
    <w:uiPriority w:val="0"/>
    <w:pPr>
      <w:ind w:firstLine="420"/>
    </w:pPr>
  </w:style>
  <w:style w:type="paragraph" w:customStyle="1" w:styleId="51">
    <w:name w:val="正文文本首行缩进 21"/>
    <w:basedOn w:val="20"/>
    <w:link w:val="53"/>
    <w:qFormat/>
    <w:uiPriority w:val="0"/>
    <w:pPr>
      <w:spacing w:after="120"/>
      <w:ind w:left="420" w:leftChars="200" w:firstLine="420" w:firstLineChars="200"/>
    </w:pPr>
    <w:rPr>
      <w:rFonts w:ascii="仿宋_GB2312" w:eastAsia="仿宋_GB2312"/>
      <w:sz w:val="28"/>
      <w:szCs w:val="28"/>
    </w:rPr>
  </w:style>
  <w:style w:type="character" w:customStyle="1" w:styleId="52">
    <w:name w:val="正文文本缩进 字符"/>
    <w:link w:val="20"/>
    <w:qFormat/>
    <w:uiPriority w:val="0"/>
    <w:rPr>
      <w:rFonts w:ascii="Times New Roman" w:hAnsi="Times New Roman" w:eastAsia="宋体" w:cs="Times New Roman"/>
      <w:kern w:val="2"/>
      <w:sz w:val="24"/>
      <w:szCs w:val="24"/>
    </w:rPr>
  </w:style>
  <w:style w:type="character" w:customStyle="1" w:styleId="53">
    <w:name w:val="正文文本首行缩进 2 字符"/>
    <w:link w:val="51"/>
    <w:qFormat/>
    <w:uiPriority w:val="0"/>
    <w:rPr>
      <w:rFonts w:ascii="仿宋_GB2312" w:hAnsi="Times New Roman" w:eastAsia="仿宋_GB2312" w:cs="Times New Roman"/>
      <w:kern w:val="2"/>
      <w:sz w:val="28"/>
      <w:szCs w:val="28"/>
      <w:lang w:val="en-US" w:eastAsia="zh-CN" w:bidi="ar-SA"/>
    </w:rPr>
  </w:style>
  <w:style w:type="character" w:customStyle="1" w:styleId="54">
    <w:name w:val="标题 1 字符"/>
    <w:link w:val="3"/>
    <w:qFormat/>
    <w:uiPriority w:val="0"/>
    <w:rPr>
      <w:rFonts w:ascii="宋体" w:hAnsi="Times New Roman" w:eastAsia="宋体" w:cs="Times New Roman"/>
      <w:b/>
      <w:kern w:val="44"/>
      <w:sz w:val="24"/>
    </w:rPr>
  </w:style>
  <w:style w:type="character" w:customStyle="1" w:styleId="55">
    <w:name w:val="标题 2 字符"/>
    <w:link w:val="2"/>
    <w:qFormat/>
    <w:uiPriority w:val="9"/>
    <w:rPr>
      <w:rFonts w:ascii="Arial" w:hAnsi="Arial" w:eastAsia="黑体" w:cs="Times New Roman"/>
      <w:b/>
      <w:bCs/>
      <w:kern w:val="2"/>
      <w:sz w:val="32"/>
      <w:szCs w:val="32"/>
    </w:rPr>
  </w:style>
  <w:style w:type="character" w:customStyle="1" w:styleId="56">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57">
    <w:name w:val="标题 4 字符"/>
    <w:link w:val="5"/>
    <w:qFormat/>
    <w:uiPriority w:val="9"/>
    <w:rPr>
      <w:rFonts w:ascii="Arial" w:hAnsi="Arial" w:eastAsia="Times New Roman" w:cs="Times New Roman"/>
      <w:b/>
      <w:bCs/>
      <w:kern w:val="2"/>
      <w:sz w:val="28"/>
      <w:szCs w:val="28"/>
    </w:rPr>
  </w:style>
  <w:style w:type="character" w:customStyle="1" w:styleId="58">
    <w:name w:val="标题 5 字符"/>
    <w:link w:val="6"/>
    <w:qFormat/>
    <w:uiPriority w:val="0"/>
    <w:rPr>
      <w:rFonts w:ascii="Times New Roman" w:hAnsi="Times New Roman" w:eastAsia="宋体" w:cs="Times New Roman"/>
      <w:b/>
      <w:bCs/>
      <w:kern w:val="2"/>
      <w:sz w:val="28"/>
      <w:szCs w:val="28"/>
      <w:lang w:bidi="ar-SA"/>
    </w:rPr>
  </w:style>
  <w:style w:type="character" w:customStyle="1" w:styleId="59">
    <w:name w:val="标题 6 字符"/>
    <w:link w:val="7"/>
    <w:qFormat/>
    <w:uiPriority w:val="0"/>
    <w:rPr>
      <w:rFonts w:ascii="Arial" w:hAnsi="Arial" w:eastAsia="黑体" w:cs="Times New Roman"/>
      <w:b/>
      <w:bCs/>
      <w:kern w:val="2"/>
      <w:sz w:val="24"/>
      <w:szCs w:val="24"/>
    </w:rPr>
  </w:style>
  <w:style w:type="character" w:customStyle="1" w:styleId="60">
    <w:name w:val="标题 7 字符"/>
    <w:link w:val="8"/>
    <w:qFormat/>
    <w:uiPriority w:val="0"/>
    <w:rPr>
      <w:rFonts w:ascii="Times New Roman" w:hAnsi="Times New Roman" w:eastAsia="仿宋_GB2312" w:cs="Times New Roman"/>
      <w:b/>
      <w:bCs/>
      <w:kern w:val="2"/>
      <w:sz w:val="24"/>
      <w:szCs w:val="24"/>
    </w:rPr>
  </w:style>
  <w:style w:type="character" w:customStyle="1" w:styleId="61">
    <w:name w:val="标题 8 字符"/>
    <w:link w:val="9"/>
    <w:qFormat/>
    <w:uiPriority w:val="0"/>
    <w:rPr>
      <w:rFonts w:ascii="Arial" w:hAnsi="Arial" w:eastAsia="黑体" w:cs="Times New Roman"/>
      <w:kern w:val="2"/>
      <w:sz w:val="24"/>
      <w:szCs w:val="24"/>
    </w:rPr>
  </w:style>
  <w:style w:type="character" w:customStyle="1" w:styleId="62">
    <w:name w:val="标题 9 字符"/>
    <w:link w:val="10"/>
    <w:qFormat/>
    <w:uiPriority w:val="0"/>
    <w:rPr>
      <w:rFonts w:ascii="Arial" w:hAnsi="Arial" w:eastAsia="黑体" w:cs="Times New Roman"/>
      <w:kern w:val="2"/>
      <w:sz w:val="21"/>
      <w:szCs w:val="21"/>
    </w:rPr>
  </w:style>
  <w:style w:type="paragraph" w:customStyle="1" w:styleId="63">
    <w:name w:val="TOC 71"/>
    <w:basedOn w:val="1"/>
    <w:next w:val="1"/>
    <w:qFormat/>
    <w:uiPriority w:val="0"/>
    <w:pPr>
      <w:ind w:left="1260"/>
      <w:jc w:val="left"/>
    </w:pPr>
    <w:rPr>
      <w:sz w:val="18"/>
      <w:szCs w:val="18"/>
    </w:rPr>
  </w:style>
  <w:style w:type="character" w:customStyle="1" w:styleId="64">
    <w:name w:val="正文缩进 字符"/>
    <w:link w:val="11"/>
    <w:qFormat/>
    <w:uiPriority w:val="0"/>
    <w:rPr>
      <w:rFonts w:ascii="Times New Roman" w:hAnsi="Times New Roman" w:eastAsia="宋体" w:cs="Times New Roman"/>
      <w:sz w:val="21"/>
      <w:lang w:val="en-US" w:eastAsia="zh-CN" w:bidi="ar-SA"/>
    </w:rPr>
  </w:style>
  <w:style w:type="character" w:customStyle="1" w:styleId="65">
    <w:name w:val="文档结构图 字符"/>
    <w:link w:val="14"/>
    <w:qFormat/>
    <w:uiPriority w:val="0"/>
    <w:rPr>
      <w:rFonts w:ascii="Times New Roman" w:hAnsi="Times New Roman" w:eastAsia="宋体" w:cs="Times New Roman"/>
      <w:kern w:val="2"/>
      <w:sz w:val="21"/>
      <w:szCs w:val="24"/>
      <w:shd w:val="clear" w:color="auto" w:fill="000080"/>
    </w:rPr>
  </w:style>
  <w:style w:type="character" w:customStyle="1" w:styleId="66">
    <w:name w:val="批注文字 字符2"/>
    <w:link w:val="15"/>
    <w:qFormat/>
    <w:uiPriority w:val="0"/>
    <w:rPr>
      <w:rFonts w:ascii="Times New Roman" w:hAnsi="Times New Roman" w:eastAsia="宋体" w:cs="Times New Roman"/>
      <w:kern w:val="2"/>
      <w:sz w:val="21"/>
      <w:szCs w:val="24"/>
    </w:rPr>
  </w:style>
  <w:style w:type="character" w:customStyle="1" w:styleId="67">
    <w:name w:val="称呼 字符"/>
    <w:link w:val="16"/>
    <w:qFormat/>
    <w:uiPriority w:val="0"/>
    <w:rPr>
      <w:rFonts w:ascii="Times New Roman" w:hAnsi="Times New Roman" w:eastAsia="宋体" w:cs="Times New Roman"/>
      <w:kern w:val="2"/>
      <w:sz w:val="24"/>
      <w:szCs w:val="24"/>
    </w:rPr>
  </w:style>
  <w:style w:type="character" w:customStyle="1" w:styleId="68">
    <w:name w:val="正文文本 字符1"/>
    <w:link w:val="17"/>
    <w:qFormat/>
    <w:uiPriority w:val="0"/>
    <w:rPr>
      <w:rFonts w:ascii="Times New Roman" w:hAnsi="Times New Roman" w:eastAsia="宋体" w:cs="Times New Roman"/>
      <w:kern w:val="2"/>
      <w:sz w:val="21"/>
      <w:szCs w:val="24"/>
    </w:rPr>
  </w:style>
  <w:style w:type="paragraph" w:customStyle="1" w:styleId="69">
    <w:name w:val="TOC 51"/>
    <w:basedOn w:val="1"/>
    <w:next w:val="1"/>
    <w:qFormat/>
    <w:uiPriority w:val="0"/>
    <w:pPr>
      <w:ind w:left="840"/>
      <w:jc w:val="left"/>
    </w:pPr>
    <w:rPr>
      <w:sz w:val="18"/>
      <w:szCs w:val="18"/>
    </w:rPr>
  </w:style>
  <w:style w:type="paragraph" w:customStyle="1" w:styleId="70">
    <w:name w:val="TOC 31"/>
    <w:basedOn w:val="1"/>
    <w:next w:val="1"/>
    <w:qFormat/>
    <w:uiPriority w:val="0"/>
    <w:pPr>
      <w:ind w:left="420"/>
      <w:jc w:val="left"/>
    </w:pPr>
    <w:rPr>
      <w:i/>
      <w:iCs/>
      <w:sz w:val="20"/>
      <w:szCs w:val="20"/>
    </w:rPr>
  </w:style>
  <w:style w:type="character" w:customStyle="1" w:styleId="71">
    <w:name w:val="纯文本 字符1"/>
    <w:link w:val="23"/>
    <w:qFormat/>
    <w:uiPriority w:val="0"/>
    <w:rPr>
      <w:rFonts w:ascii="宋体" w:hAnsi="Courier New" w:eastAsia="宋体" w:cs="Times New Roman"/>
      <w:sz w:val="21"/>
      <w:szCs w:val="21"/>
      <w:lang w:val="en-US" w:eastAsia="zh-CN" w:bidi="ar-SA"/>
    </w:rPr>
  </w:style>
  <w:style w:type="paragraph" w:customStyle="1" w:styleId="72">
    <w:name w:val="TOC 81"/>
    <w:basedOn w:val="1"/>
    <w:next w:val="1"/>
    <w:qFormat/>
    <w:uiPriority w:val="0"/>
    <w:pPr>
      <w:ind w:left="1470"/>
      <w:jc w:val="left"/>
    </w:pPr>
    <w:rPr>
      <w:sz w:val="18"/>
      <w:szCs w:val="18"/>
    </w:rPr>
  </w:style>
  <w:style w:type="character" w:customStyle="1" w:styleId="73">
    <w:name w:val="日期 字符1"/>
    <w:link w:val="24"/>
    <w:qFormat/>
    <w:uiPriority w:val="0"/>
    <w:rPr>
      <w:rFonts w:ascii="Times New Roman" w:hAnsi="Times New Roman" w:eastAsia="宋体" w:cs="Times New Roman"/>
      <w:kern w:val="2"/>
      <w:sz w:val="21"/>
    </w:rPr>
  </w:style>
  <w:style w:type="character" w:customStyle="1" w:styleId="74">
    <w:name w:val="正文文本缩进 2 字符"/>
    <w:link w:val="25"/>
    <w:qFormat/>
    <w:uiPriority w:val="0"/>
    <w:rPr>
      <w:rFonts w:ascii="Times New Roman" w:hAnsi="Times New Roman" w:eastAsia="宋体" w:cs="Times New Roman"/>
      <w:kern w:val="2"/>
      <w:sz w:val="24"/>
      <w:szCs w:val="24"/>
      <w:lang w:val="en-US" w:eastAsia="zh-CN" w:bidi="ar-SA"/>
    </w:rPr>
  </w:style>
  <w:style w:type="character" w:customStyle="1" w:styleId="75">
    <w:name w:val="批注框文本 字符"/>
    <w:link w:val="26"/>
    <w:qFormat/>
    <w:uiPriority w:val="0"/>
    <w:rPr>
      <w:rFonts w:ascii="Times New Roman" w:hAnsi="Times New Roman" w:eastAsia="宋体" w:cs="Times New Roman"/>
      <w:kern w:val="2"/>
      <w:sz w:val="18"/>
      <w:szCs w:val="18"/>
    </w:rPr>
  </w:style>
  <w:style w:type="character" w:customStyle="1" w:styleId="76">
    <w:name w:val="页脚 字符"/>
    <w:link w:val="27"/>
    <w:qFormat/>
    <w:uiPriority w:val="99"/>
    <w:rPr>
      <w:rFonts w:ascii="Times New Roman" w:hAnsi="Times New Roman" w:eastAsia="宋体" w:cs="Times New Roman"/>
      <w:kern w:val="2"/>
      <w:sz w:val="18"/>
      <w:szCs w:val="18"/>
    </w:rPr>
  </w:style>
  <w:style w:type="character" w:customStyle="1" w:styleId="77">
    <w:name w:val="页眉 字符"/>
    <w:link w:val="28"/>
    <w:qFormat/>
    <w:uiPriority w:val="99"/>
    <w:rPr>
      <w:rFonts w:ascii="Times New Roman" w:hAnsi="Times New Roman" w:eastAsia="宋体" w:cs="Times New Roman"/>
      <w:kern w:val="2"/>
      <w:sz w:val="18"/>
      <w:szCs w:val="18"/>
    </w:rPr>
  </w:style>
  <w:style w:type="paragraph" w:customStyle="1" w:styleId="78">
    <w:name w:val="TOC 11"/>
    <w:basedOn w:val="1"/>
    <w:next w:val="1"/>
    <w:qFormat/>
    <w:uiPriority w:val="39"/>
    <w:pPr>
      <w:spacing w:before="120" w:after="120"/>
      <w:jc w:val="left"/>
    </w:pPr>
    <w:rPr>
      <w:b/>
      <w:bCs/>
      <w:caps/>
      <w:sz w:val="20"/>
      <w:szCs w:val="20"/>
    </w:rPr>
  </w:style>
  <w:style w:type="paragraph" w:customStyle="1" w:styleId="79">
    <w:name w:val="TOC 41"/>
    <w:basedOn w:val="1"/>
    <w:next w:val="1"/>
    <w:qFormat/>
    <w:uiPriority w:val="0"/>
    <w:pPr>
      <w:ind w:left="630"/>
      <w:jc w:val="left"/>
    </w:pPr>
    <w:rPr>
      <w:sz w:val="18"/>
      <w:szCs w:val="18"/>
    </w:rPr>
  </w:style>
  <w:style w:type="paragraph" w:customStyle="1" w:styleId="80">
    <w:name w:val="TOC 61"/>
    <w:basedOn w:val="1"/>
    <w:next w:val="1"/>
    <w:qFormat/>
    <w:uiPriority w:val="0"/>
    <w:pPr>
      <w:ind w:left="1050"/>
      <w:jc w:val="left"/>
    </w:pPr>
    <w:rPr>
      <w:sz w:val="18"/>
      <w:szCs w:val="18"/>
    </w:rPr>
  </w:style>
  <w:style w:type="character" w:customStyle="1" w:styleId="81">
    <w:name w:val="正文文本缩进 3 字符"/>
    <w:link w:val="30"/>
    <w:qFormat/>
    <w:uiPriority w:val="0"/>
    <w:rPr>
      <w:rFonts w:ascii="Times New Roman" w:hAnsi="Times New Roman" w:eastAsia="宋体" w:cs="Times New Roman"/>
      <w:kern w:val="2"/>
      <w:sz w:val="24"/>
      <w:szCs w:val="24"/>
    </w:rPr>
  </w:style>
  <w:style w:type="paragraph" w:customStyle="1" w:styleId="82">
    <w:name w:val="TOC 21"/>
    <w:basedOn w:val="1"/>
    <w:next w:val="1"/>
    <w:qFormat/>
    <w:uiPriority w:val="39"/>
    <w:pPr>
      <w:ind w:left="210"/>
      <w:jc w:val="left"/>
    </w:pPr>
    <w:rPr>
      <w:smallCaps/>
      <w:sz w:val="20"/>
      <w:szCs w:val="20"/>
    </w:rPr>
  </w:style>
  <w:style w:type="paragraph" w:customStyle="1" w:styleId="83">
    <w:name w:val="TOC 91"/>
    <w:basedOn w:val="1"/>
    <w:next w:val="1"/>
    <w:qFormat/>
    <w:uiPriority w:val="0"/>
    <w:pPr>
      <w:ind w:left="1680"/>
      <w:jc w:val="left"/>
    </w:pPr>
    <w:rPr>
      <w:sz w:val="18"/>
      <w:szCs w:val="18"/>
    </w:rPr>
  </w:style>
  <w:style w:type="character" w:customStyle="1" w:styleId="84">
    <w:name w:val="标题 字符"/>
    <w:link w:val="33"/>
    <w:qFormat/>
    <w:uiPriority w:val="0"/>
    <w:rPr>
      <w:rFonts w:ascii="Arial" w:hAnsi="Arial" w:eastAsia="宋体" w:cs="Times New Roman"/>
      <w:b/>
      <w:spacing w:val="14"/>
      <w:kern w:val="24"/>
      <w:sz w:val="32"/>
    </w:rPr>
  </w:style>
  <w:style w:type="character" w:customStyle="1" w:styleId="85">
    <w:name w:val="批注主题 字符"/>
    <w:link w:val="34"/>
    <w:qFormat/>
    <w:uiPriority w:val="0"/>
    <w:rPr>
      <w:rFonts w:ascii="Times New Roman" w:hAnsi="Times New Roman" w:eastAsia="宋体" w:cs="Times New Roman"/>
      <w:b/>
      <w:bCs/>
      <w:kern w:val="2"/>
      <w:sz w:val="21"/>
      <w:szCs w:val="24"/>
    </w:rPr>
  </w:style>
  <w:style w:type="character" w:customStyle="1" w:styleId="86">
    <w:name w:val="访问过的超链接1"/>
    <w:qFormat/>
    <w:uiPriority w:val="0"/>
    <w:rPr>
      <w:rFonts w:ascii="Times New Roman" w:hAnsi="Times New Roman" w:eastAsia="宋体" w:cs="Times New Roman"/>
      <w:color w:val="000000"/>
      <w:sz w:val="21"/>
      <w:szCs w:val="21"/>
      <w:u w:val="none"/>
    </w:rPr>
  </w:style>
  <w:style w:type="character" w:customStyle="1" w:styleId="87">
    <w:name w:val="Default Char"/>
    <w:link w:val="88"/>
    <w:qFormat/>
    <w:uiPriority w:val="0"/>
    <w:rPr>
      <w:rFonts w:ascii="宋体" w:hAnsi="Tahoma" w:eastAsia="宋体" w:cs="宋体"/>
      <w:b/>
      <w:bCs/>
      <w:color w:val="000000"/>
      <w:sz w:val="24"/>
      <w:szCs w:val="24"/>
      <w:lang w:val="en-US" w:eastAsia="zh-CN" w:bidi="ar-SA"/>
    </w:rPr>
  </w:style>
  <w:style w:type="paragraph" w:customStyle="1" w:styleId="88">
    <w:name w:val="Default"/>
    <w:next w:val="1"/>
    <w:link w:val="87"/>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89">
    <w:name w:val="表格文字 Char Char"/>
    <w:link w:val="90"/>
    <w:qFormat/>
    <w:uiPriority w:val="0"/>
    <w:rPr>
      <w:rFonts w:ascii="Times New Roman" w:hAnsi="Times New Roman" w:eastAsia="宋体" w:cs="Times New Roman"/>
      <w:kern w:val="21"/>
      <w:sz w:val="21"/>
      <w:szCs w:val="21"/>
    </w:rPr>
  </w:style>
  <w:style w:type="paragraph" w:customStyle="1" w:styleId="90">
    <w:name w:val="表格文字"/>
    <w:basedOn w:val="1"/>
    <w:next w:val="17"/>
    <w:link w:val="89"/>
    <w:qFormat/>
    <w:uiPriority w:val="0"/>
    <w:pPr>
      <w:jc w:val="left"/>
    </w:pPr>
    <w:rPr>
      <w:kern w:val="21"/>
      <w:szCs w:val="21"/>
    </w:rPr>
  </w:style>
  <w:style w:type="character" w:customStyle="1" w:styleId="91">
    <w:name w:val="列表段落 字符"/>
    <w:link w:val="92"/>
    <w:qFormat/>
    <w:uiPriority w:val="0"/>
    <w:rPr>
      <w:rFonts w:ascii="Calibri" w:hAnsi="Calibri" w:eastAsia="宋体" w:cs="Times New Roman"/>
      <w:kern w:val="2"/>
      <w:sz w:val="21"/>
      <w:szCs w:val="22"/>
    </w:rPr>
  </w:style>
  <w:style w:type="paragraph" w:customStyle="1" w:styleId="92">
    <w:name w:val="列表段落1"/>
    <w:basedOn w:val="1"/>
    <w:link w:val="91"/>
    <w:qFormat/>
    <w:uiPriority w:val="0"/>
    <w:pPr>
      <w:ind w:firstLine="420" w:firstLineChars="200"/>
    </w:pPr>
    <w:rPr>
      <w:rFonts w:ascii="Calibri" w:hAnsi="Calibri"/>
      <w:kern w:val="2"/>
      <w:szCs w:val="22"/>
    </w:rPr>
  </w:style>
  <w:style w:type="paragraph" w:customStyle="1" w:styleId="93">
    <w:name w:val="编号，小四"/>
    <w:basedOn w:val="1"/>
    <w:qFormat/>
    <w:uiPriority w:val="0"/>
    <w:pPr>
      <w:ind w:left="480"/>
    </w:pPr>
  </w:style>
  <w:style w:type="paragraph" w:customStyle="1" w:styleId="94">
    <w:name w:val="我编辑文档正文"/>
    <w:basedOn w:val="1"/>
    <w:link w:val="95"/>
    <w:qFormat/>
    <w:uiPriority w:val="0"/>
    <w:pPr>
      <w:spacing w:line="360" w:lineRule="auto"/>
      <w:ind w:right="69" w:rightChars="33" w:firstLine="360" w:firstLineChars="150"/>
      <w:jc w:val="left"/>
    </w:pPr>
    <w:rPr>
      <w:sz w:val="24"/>
    </w:rPr>
  </w:style>
  <w:style w:type="character" w:customStyle="1" w:styleId="95">
    <w:name w:val="我编辑文档正文 Char"/>
    <w:link w:val="94"/>
    <w:qFormat/>
    <w:uiPriority w:val="0"/>
    <w:rPr>
      <w:rFonts w:ascii="Times New Roman" w:hAnsi="Times New Roman" w:eastAsia="宋体" w:cs="Times New Roman"/>
      <w:sz w:val="24"/>
      <w:szCs w:val="24"/>
    </w:rPr>
  </w:style>
  <w:style w:type="character" w:customStyle="1" w:styleId="96">
    <w:name w:val="明显参考1"/>
    <w:qFormat/>
    <w:uiPriority w:val="0"/>
    <w:rPr>
      <w:rFonts w:ascii="Times New Roman" w:hAnsi="Times New Roman" w:eastAsia="宋体" w:cs="Times New Roman"/>
      <w:b/>
      <w:bCs/>
      <w:smallCaps/>
      <w:color w:val="C0504D"/>
      <w:spacing w:val="5"/>
      <w:u w:val="single"/>
    </w:rPr>
  </w:style>
  <w:style w:type="character" w:customStyle="1" w:styleId="97">
    <w:name w:val="font41"/>
    <w:qFormat/>
    <w:uiPriority w:val="0"/>
    <w:rPr>
      <w:rFonts w:hint="eastAsia" w:ascii="宋体" w:hAnsi="宋体" w:eastAsia="宋体" w:cs="宋体"/>
      <w:b/>
      <w:color w:val="000000"/>
      <w:sz w:val="28"/>
      <w:szCs w:val="28"/>
      <w:u w:val="none"/>
    </w:rPr>
  </w:style>
  <w:style w:type="paragraph" w:customStyle="1" w:styleId="98">
    <w:name w:val="P正文 Char"/>
    <w:basedOn w:val="1"/>
    <w:link w:val="99"/>
    <w:qFormat/>
    <w:uiPriority w:val="0"/>
    <w:pPr>
      <w:spacing w:beforeLines="50" w:afterLines="50"/>
      <w:ind w:left="540" w:leftChars="257"/>
    </w:pPr>
    <w:rPr>
      <w:kern w:val="2"/>
      <w:sz w:val="24"/>
    </w:rPr>
  </w:style>
  <w:style w:type="character" w:customStyle="1" w:styleId="99">
    <w:name w:val="P正文 Char Char"/>
    <w:link w:val="98"/>
    <w:qFormat/>
    <w:uiPriority w:val="0"/>
    <w:rPr>
      <w:rFonts w:ascii="Times New Roman" w:hAnsi="Times New Roman" w:eastAsia="宋体" w:cs="Times New Roman"/>
      <w:kern w:val="2"/>
      <w:sz w:val="24"/>
      <w:szCs w:val="24"/>
    </w:rPr>
  </w:style>
  <w:style w:type="character" w:customStyle="1" w:styleId="100">
    <w:name w:val="未处理的提及1"/>
    <w:qFormat/>
    <w:uiPriority w:val="0"/>
    <w:rPr>
      <w:rFonts w:ascii="Times New Roman" w:hAnsi="Times New Roman" w:eastAsia="宋体" w:cs="Times New Roman"/>
      <w:color w:val="605E5C"/>
      <w:shd w:val="clear" w:color="auto" w:fill="E1DFDD"/>
    </w:rPr>
  </w:style>
  <w:style w:type="character" w:customStyle="1" w:styleId="101">
    <w:name w:val="正文文本 Char"/>
    <w:qFormat/>
    <w:uiPriority w:val="0"/>
    <w:rPr>
      <w:rFonts w:ascii="Times New Roman" w:hAnsi="Times New Roman" w:eastAsia="宋体" w:cs="Times New Roman"/>
      <w:kern w:val="2"/>
      <w:sz w:val="21"/>
      <w:szCs w:val="24"/>
    </w:rPr>
  </w:style>
  <w:style w:type="character" w:customStyle="1" w:styleId="102">
    <w:name w:val="批注文字 字符1"/>
    <w:qFormat/>
    <w:uiPriority w:val="0"/>
    <w:rPr>
      <w:rFonts w:ascii="Times New Roman" w:hAnsi="Times New Roman" w:eastAsia="宋体" w:cs="Times New Roman"/>
      <w:kern w:val="2"/>
      <w:sz w:val="21"/>
      <w:szCs w:val="24"/>
    </w:rPr>
  </w:style>
  <w:style w:type="paragraph" w:customStyle="1" w:styleId="103">
    <w:name w:val="标准正文格式"/>
    <w:basedOn w:val="1"/>
    <w:link w:val="104"/>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4">
    <w:name w:val="标准正文格式 Char"/>
    <w:link w:val="103"/>
    <w:qFormat/>
    <w:uiPriority w:val="0"/>
    <w:rPr>
      <w:rFonts w:ascii="宋体" w:hAnsi="Times New Roman" w:eastAsia="仿宋_GB2312" w:cs="宋体"/>
      <w:color w:val="000000"/>
      <w:sz w:val="24"/>
    </w:rPr>
  </w:style>
  <w:style w:type="character" w:customStyle="1" w:styleId="105">
    <w:name w:val="px141"/>
    <w:qFormat/>
    <w:uiPriority w:val="0"/>
    <w:rPr>
      <w:rFonts w:ascii="Times New Roman" w:hAnsi="Times New Roman" w:eastAsia="宋体" w:cs="Times New Roman"/>
      <w:sz w:val="21"/>
      <w:szCs w:val="21"/>
    </w:rPr>
  </w:style>
  <w:style w:type="character" w:customStyle="1" w:styleId="106">
    <w:name w:val="font21"/>
    <w:qFormat/>
    <w:uiPriority w:val="0"/>
    <w:rPr>
      <w:rFonts w:hint="eastAsia" w:ascii="宋体" w:hAnsi="宋体" w:eastAsia="宋体" w:cs="宋体"/>
      <w:color w:val="000000"/>
      <w:sz w:val="18"/>
      <w:szCs w:val="18"/>
      <w:u w:val="none"/>
    </w:rPr>
  </w:style>
  <w:style w:type="character" w:customStyle="1" w:styleId="107">
    <w:name w:val="b2"/>
    <w:qFormat/>
    <w:uiPriority w:val="0"/>
    <w:rPr>
      <w:rFonts w:ascii="Times New Roman" w:hAnsi="Times New Roman" w:eastAsia="宋体" w:cs="Times New Roman"/>
    </w:rPr>
  </w:style>
  <w:style w:type="character" w:customStyle="1" w:styleId="108">
    <w:name w:val="font31"/>
    <w:basedOn w:val="38"/>
    <w:qFormat/>
    <w:uiPriority w:val="0"/>
    <w:rPr>
      <w:rFonts w:hint="eastAsia" w:ascii="宋体" w:hAnsi="宋体" w:eastAsia="宋体" w:cs="宋体"/>
      <w:color w:val="000000"/>
      <w:sz w:val="20"/>
      <w:szCs w:val="20"/>
      <w:u w:val="none"/>
    </w:rPr>
  </w:style>
  <w:style w:type="character" w:customStyle="1" w:styleId="109">
    <w:name w:val="font81"/>
    <w:qFormat/>
    <w:uiPriority w:val="0"/>
    <w:rPr>
      <w:rFonts w:hint="eastAsia" w:ascii="宋体" w:hAnsi="宋体" w:eastAsia="宋体" w:cs="宋体"/>
      <w:b/>
      <w:color w:val="000000"/>
      <w:sz w:val="22"/>
      <w:szCs w:val="22"/>
      <w:u w:val="none"/>
    </w:rPr>
  </w:style>
  <w:style w:type="character" w:customStyle="1" w:styleId="110">
    <w:name w:val="日期 Char1"/>
    <w:qFormat/>
    <w:uiPriority w:val="0"/>
    <w:rPr>
      <w:rFonts w:ascii="Times New Roman" w:hAnsi="Times New Roman" w:eastAsia="宋体" w:cs="Times New Roman"/>
      <w:kern w:val="2"/>
      <w:sz w:val="21"/>
      <w:szCs w:val="24"/>
    </w:rPr>
  </w:style>
  <w:style w:type="character" w:customStyle="1" w:styleId="111">
    <w:name w:val="标题2"/>
    <w:qFormat/>
    <w:uiPriority w:val="0"/>
    <w:rPr>
      <w:rFonts w:ascii="微软雅黑" w:hAnsi="微软雅黑" w:eastAsia="微软雅黑" w:cs="Times New Roman"/>
      <w:b/>
      <w:bCs/>
      <w:color w:val="0D0D0D"/>
      <w:sz w:val="24"/>
    </w:rPr>
  </w:style>
  <w:style w:type="character" w:customStyle="1" w:styleId="112">
    <w:name w:val="正文（首行缩进两字） Char1"/>
    <w:qFormat/>
    <w:uiPriority w:val="0"/>
    <w:rPr>
      <w:rFonts w:ascii="Times New Roman" w:hAnsi="Times New Roman" w:eastAsia="仿宋_GB2312" w:cs="Times New Roman"/>
      <w:kern w:val="2"/>
      <w:sz w:val="28"/>
      <w:szCs w:val="24"/>
    </w:rPr>
  </w:style>
  <w:style w:type="character" w:customStyle="1" w:styleId="113">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4">
    <w:name w:val="称呼 Char1"/>
    <w:qFormat/>
    <w:uiPriority w:val="0"/>
    <w:rPr>
      <w:rFonts w:ascii="Times New Roman" w:hAnsi="Times New Roman" w:eastAsia="宋体" w:cs="Times New Roman"/>
      <w:kern w:val="2"/>
      <w:sz w:val="21"/>
      <w:szCs w:val="24"/>
    </w:rPr>
  </w:style>
  <w:style w:type="character" w:customStyle="1" w:styleId="115">
    <w:name w:val="font101"/>
    <w:qFormat/>
    <w:uiPriority w:val="0"/>
    <w:rPr>
      <w:rFonts w:hint="eastAsia" w:ascii="宋体" w:hAnsi="宋体" w:eastAsia="宋体" w:cs="宋体"/>
      <w:b/>
      <w:color w:val="000000"/>
      <w:sz w:val="22"/>
      <w:szCs w:val="22"/>
      <w:u w:val="none"/>
    </w:rPr>
  </w:style>
  <w:style w:type="character" w:customStyle="1" w:styleId="116">
    <w:name w:val="页眉 Char1"/>
    <w:qFormat/>
    <w:uiPriority w:val="0"/>
    <w:rPr>
      <w:rFonts w:ascii="Times New Roman" w:hAnsi="Times New Roman" w:eastAsia="宋体" w:cs="Times New Roman"/>
      <w:color w:val="000000"/>
      <w:kern w:val="1"/>
      <w:sz w:val="18"/>
      <w:szCs w:val="18"/>
      <w:lang w:val="zh-CN"/>
    </w:rPr>
  </w:style>
  <w:style w:type="paragraph" w:customStyle="1" w:styleId="117">
    <w:name w:val="标书正文样式"/>
    <w:basedOn w:val="1"/>
    <w:link w:val="118"/>
    <w:qFormat/>
    <w:uiPriority w:val="0"/>
    <w:pPr>
      <w:ind w:firstLine="560" w:firstLineChars="200"/>
      <w:jc w:val="left"/>
    </w:pPr>
    <w:rPr>
      <w:rFonts w:ascii="仿宋_GB2312" w:hAnsi="Arial" w:eastAsia="仿宋_GB2312"/>
      <w:kern w:val="2"/>
      <w:sz w:val="28"/>
      <w:szCs w:val="28"/>
    </w:rPr>
  </w:style>
  <w:style w:type="character" w:customStyle="1" w:styleId="118">
    <w:name w:val="标书正文样式 Char"/>
    <w:link w:val="117"/>
    <w:qFormat/>
    <w:uiPriority w:val="0"/>
    <w:rPr>
      <w:rFonts w:ascii="仿宋_GB2312" w:hAnsi="Arial" w:eastAsia="仿宋_GB2312" w:cs="Times New Roman"/>
      <w:kern w:val="2"/>
      <w:sz w:val="28"/>
      <w:szCs w:val="28"/>
      <w:lang w:bidi="ar-SA"/>
    </w:rPr>
  </w:style>
  <w:style w:type="character" w:customStyle="1" w:styleId="119">
    <w:name w:val="font11"/>
    <w:qFormat/>
    <w:uiPriority w:val="0"/>
    <w:rPr>
      <w:rFonts w:hint="eastAsia" w:ascii="宋体" w:hAnsi="宋体" w:eastAsia="宋体" w:cs="宋体"/>
      <w:color w:val="000000"/>
      <w:sz w:val="22"/>
      <w:szCs w:val="22"/>
      <w:u w:val="none"/>
    </w:rPr>
  </w:style>
  <w:style w:type="character" w:customStyle="1" w:styleId="120">
    <w:name w:val="question-title2"/>
    <w:qFormat/>
    <w:uiPriority w:val="0"/>
    <w:rPr>
      <w:rFonts w:ascii="Times New Roman" w:hAnsi="Times New Roman" w:eastAsia="宋体" w:cs="Times New Roman"/>
    </w:rPr>
  </w:style>
  <w:style w:type="character" w:customStyle="1" w:styleId="121">
    <w:name w:val="纯文本 字符"/>
    <w:qFormat/>
    <w:uiPriority w:val="0"/>
    <w:rPr>
      <w:rFonts w:ascii="宋体" w:hAnsi="Courier New" w:eastAsia="宋体" w:cs="Times New Roman"/>
      <w:sz w:val="21"/>
      <w:szCs w:val="21"/>
      <w:lang w:val="en-US" w:eastAsia="zh-CN" w:bidi="ar-SA"/>
    </w:rPr>
  </w:style>
  <w:style w:type="character" w:customStyle="1" w:styleId="122">
    <w:name w:val="Char Char Char"/>
    <w:qFormat/>
    <w:uiPriority w:val="0"/>
    <w:rPr>
      <w:rFonts w:ascii="宋体" w:hAnsi="Courier New" w:eastAsia="宋体" w:cs="Times New Roman"/>
      <w:sz w:val="21"/>
      <w:szCs w:val="21"/>
      <w:lang w:val="en-US" w:eastAsia="zh-CN" w:bidi="ar-SA"/>
    </w:rPr>
  </w:style>
  <w:style w:type="paragraph" w:customStyle="1" w:styleId="123">
    <w:name w:val="无间隔1"/>
    <w:link w:val="124"/>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4">
    <w:name w:val="无间隔 Char"/>
    <w:link w:val="123"/>
    <w:qFormat/>
    <w:uiPriority w:val="0"/>
    <w:rPr>
      <w:rFonts w:ascii="Times New Roman" w:hAnsi="Times New Roman" w:eastAsia="宋体" w:cs="Times New Roman"/>
      <w:sz w:val="24"/>
      <w:szCs w:val="24"/>
      <w:lang w:val="en-US" w:eastAsia="zh-CN" w:bidi="ar-SA"/>
    </w:rPr>
  </w:style>
  <w:style w:type="character" w:customStyle="1" w:styleId="125">
    <w:name w:val="Texte Char Char"/>
    <w:qFormat/>
    <w:uiPriority w:val="0"/>
    <w:rPr>
      <w:rFonts w:ascii="宋体" w:hAnsi="Courier New" w:eastAsia="宋体" w:cs="Times New Roman"/>
      <w:sz w:val="21"/>
      <w:szCs w:val="21"/>
      <w:lang w:val="en-US" w:eastAsia="zh-CN" w:bidi="ar-SA"/>
    </w:rPr>
  </w:style>
  <w:style w:type="character" w:customStyle="1" w:styleId="126">
    <w:name w:val="chs1"/>
    <w:qFormat/>
    <w:uiPriority w:val="0"/>
    <w:rPr>
      <w:rFonts w:hint="default" w:eastAsia="宋体" w:cs="Times New Roman"/>
      <w:sz w:val="18"/>
      <w:szCs w:val="18"/>
    </w:rPr>
  </w:style>
  <w:style w:type="paragraph" w:customStyle="1" w:styleId="127">
    <w:name w:val="样式 样式3 + 非加粗"/>
    <w:basedOn w:val="1"/>
    <w:link w:val="128"/>
    <w:qFormat/>
    <w:uiPriority w:val="0"/>
    <w:pPr>
      <w:adjustRightInd w:val="0"/>
      <w:snapToGrid w:val="0"/>
      <w:spacing w:line="300" w:lineRule="auto"/>
    </w:pPr>
    <w:rPr>
      <w:rFonts w:ascii="宋体" w:hAnsi="宋体"/>
      <w:b/>
      <w:bCs/>
      <w:color w:val="000000"/>
      <w:kern w:val="2"/>
      <w:sz w:val="24"/>
    </w:rPr>
  </w:style>
  <w:style w:type="character" w:customStyle="1" w:styleId="128">
    <w:name w:val="样式 样式3 + 非加粗 Char"/>
    <w:link w:val="127"/>
    <w:qFormat/>
    <w:uiPriority w:val="0"/>
    <w:rPr>
      <w:rFonts w:ascii="宋体" w:hAnsi="宋体" w:eastAsia="宋体" w:cs="Times New Roman"/>
      <w:b/>
      <w:bCs/>
      <w:color w:val="000000"/>
      <w:kern w:val="2"/>
      <w:sz w:val="24"/>
      <w:szCs w:val="24"/>
      <w:lang w:val="en-US" w:eastAsia="zh-CN" w:bidi="ar-SA"/>
    </w:rPr>
  </w:style>
  <w:style w:type="character" w:customStyle="1" w:styleId="129">
    <w:name w:val="aa1"/>
    <w:qFormat/>
    <w:uiPriority w:val="0"/>
    <w:rPr>
      <w:rFonts w:hint="default" w:eastAsia="宋体" w:cs="Times New Roman"/>
      <w:color w:val="000000"/>
      <w:sz w:val="20"/>
      <w:szCs w:val="20"/>
      <w:u w:val="none"/>
    </w:rPr>
  </w:style>
  <w:style w:type="paragraph" w:customStyle="1" w:styleId="130">
    <w:name w:val="招标正文"/>
    <w:basedOn w:val="1"/>
    <w:link w:val="131"/>
    <w:qFormat/>
    <w:uiPriority w:val="0"/>
    <w:pPr>
      <w:widowControl/>
      <w:spacing w:line="360" w:lineRule="auto"/>
      <w:ind w:firstLine="480" w:firstLineChars="200"/>
    </w:pPr>
    <w:rPr>
      <w:snapToGrid w:val="0"/>
      <w:sz w:val="24"/>
      <w:lang w:val="en-GB"/>
    </w:rPr>
  </w:style>
  <w:style w:type="character" w:customStyle="1" w:styleId="131">
    <w:name w:val="招标正文 Char Char"/>
    <w:link w:val="130"/>
    <w:qFormat/>
    <w:uiPriority w:val="0"/>
    <w:rPr>
      <w:rFonts w:ascii="Times New Roman" w:hAnsi="Times New Roman" w:eastAsia="宋体" w:cs="Times New Roman"/>
      <w:snapToGrid w:val="0"/>
      <w:sz w:val="24"/>
      <w:szCs w:val="24"/>
      <w:lang w:val="en-GB" w:bidi="ar-SA"/>
    </w:rPr>
  </w:style>
  <w:style w:type="character" w:customStyle="1" w:styleId="132">
    <w:name w:val="textfont"/>
    <w:qFormat/>
    <w:uiPriority w:val="0"/>
    <w:rPr>
      <w:rFonts w:ascii="Times New Roman" w:hAnsi="Times New Roman" w:eastAsia="宋体" w:cs="Times New Roman"/>
    </w:rPr>
  </w:style>
  <w:style w:type="character" w:customStyle="1" w:styleId="133">
    <w:name w:val="称呼 字符1"/>
    <w:qFormat/>
    <w:uiPriority w:val="0"/>
    <w:rPr>
      <w:rFonts w:ascii="Times New Roman" w:hAnsi="Times New Roman" w:eastAsia="宋体" w:cs="Times New Roman"/>
      <w:kern w:val="2"/>
      <w:sz w:val="21"/>
      <w:szCs w:val="24"/>
    </w:rPr>
  </w:style>
  <w:style w:type="character" w:customStyle="1" w:styleId="134">
    <w:name w:val="标题 Char1"/>
    <w:qFormat/>
    <w:uiPriority w:val="0"/>
    <w:rPr>
      <w:rFonts w:ascii="Calibri Light" w:hAnsi="Calibri Light" w:eastAsia="宋体" w:cs="Times New Roman"/>
      <w:b/>
      <w:bCs/>
      <w:kern w:val="2"/>
      <w:sz w:val="32"/>
      <w:szCs w:val="32"/>
    </w:rPr>
  </w:style>
  <w:style w:type="character" w:customStyle="1" w:styleId="135">
    <w:name w:val="unnamed51"/>
    <w:qFormat/>
    <w:uiPriority w:val="0"/>
    <w:rPr>
      <w:rFonts w:ascii="Times New Roman" w:hAnsi="Times New Roman" w:eastAsia="宋体" w:cs="Times New Roman"/>
      <w:sz w:val="22"/>
      <w:szCs w:val="22"/>
    </w:rPr>
  </w:style>
  <w:style w:type="character" w:customStyle="1" w:styleId="136">
    <w:name w:val="title1"/>
    <w:qFormat/>
    <w:uiPriority w:val="0"/>
    <w:rPr>
      <w:rFonts w:hint="eastAsia" w:ascii="宋体" w:hAnsi="宋体" w:eastAsia="宋体" w:cs="Times New Roman"/>
      <w:b/>
      <w:bCs/>
      <w:sz w:val="22"/>
      <w:szCs w:val="22"/>
    </w:rPr>
  </w:style>
  <w:style w:type="character" w:customStyle="1" w:styleId="137">
    <w:name w:val="15"/>
    <w:qFormat/>
    <w:uiPriority w:val="0"/>
    <w:rPr>
      <w:rFonts w:hint="default" w:ascii="Times New Roman" w:hAnsi="Times New Roman" w:eastAsia="宋体" w:cs="Times New Roman"/>
      <w:b/>
      <w:bCs/>
      <w:spacing w:val="-2"/>
      <w:sz w:val="24"/>
      <w:szCs w:val="24"/>
    </w:rPr>
  </w:style>
  <w:style w:type="character" w:customStyle="1" w:styleId="138">
    <w:name w:val="font51"/>
    <w:qFormat/>
    <w:uiPriority w:val="0"/>
    <w:rPr>
      <w:rFonts w:hint="eastAsia" w:ascii="宋体" w:hAnsi="宋体" w:eastAsia="宋体" w:cs="宋体"/>
      <w:color w:val="000000"/>
      <w:sz w:val="22"/>
      <w:szCs w:val="22"/>
      <w:u w:val="none"/>
    </w:rPr>
  </w:style>
  <w:style w:type="character" w:customStyle="1" w:styleId="139">
    <w:name w:val="font01"/>
    <w:qFormat/>
    <w:uiPriority w:val="0"/>
    <w:rPr>
      <w:rFonts w:hint="eastAsia" w:ascii="宋体" w:hAnsi="宋体" w:eastAsia="宋体" w:cs="宋体"/>
      <w:b/>
      <w:color w:val="000000"/>
      <w:sz w:val="28"/>
      <w:szCs w:val="28"/>
      <w:u w:val="none"/>
    </w:rPr>
  </w:style>
  <w:style w:type="character" w:customStyle="1" w:styleId="140">
    <w:name w:val="bt11"/>
    <w:qFormat/>
    <w:uiPriority w:val="0"/>
    <w:rPr>
      <w:rFonts w:ascii="Times New Roman" w:hAnsi="Times New Roman" w:eastAsia="仿宋_GB2312" w:cs="Times New Roman"/>
      <w:b/>
      <w:color w:val="000000"/>
      <w:sz w:val="30"/>
      <w:szCs w:val="20"/>
      <w:u w:val="none"/>
    </w:rPr>
  </w:style>
  <w:style w:type="character" w:customStyle="1" w:styleId="141">
    <w:name w:val="f16b1"/>
    <w:qFormat/>
    <w:uiPriority w:val="0"/>
    <w:rPr>
      <w:rFonts w:ascii="Times New Roman" w:hAnsi="Times New Roman" w:eastAsia="宋体" w:cs="Times New Roman"/>
      <w:b/>
      <w:bCs/>
      <w:color w:val="333333"/>
      <w:sz w:val="22"/>
      <w:szCs w:val="22"/>
    </w:rPr>
  </w:style>
  <w:style w:type="character" w:customStyle="1" w:styleId="142">
    <w:name w:val="纯文本 Char1"/>
    <w:qFormat/>
    <w:uiPriority w:val="0"/>
    <w:rPr>
      <w:rFonts w:ascii="宋体" w:hAnsi="Courier New" w:eastAsia="宋体" w:cs="Times New Roman"/>
      <w:sz w:val="21"/>
      <w:szCs w:val="21"/>
      <w:lang w:val="en-US" w:eastAsia="zh-CN" w:bidi="ar-SA"/>
    </w:rPr>
  </w:style>
  <w:style w:type="character" w:customStyle="1" w:styleId="143">
    <w:name w:val="普通文字 Char"/>
    <w:qFormat/>
    <w:uiPriority w:val="0"/>
    <w:rPr>
      <w:rFonts w:ascii="宋体" w:hAnsi="Courier New" w:eastAsia="宋体" w:cs="Times New Roman"/>
      <w:kern w:val="2"/>
      <w:sz w:val="21"/>
      <w:lang w:bidi="ar-SA"/>
    </w:rPr>
  </w:style>
  <w:style w:type="character" w:customStyle="1" w:styleId="144">
    <w:name w:val="style13"/>
    <w:qFormat/>
    <w:uiPriority w:val="0"/>
    <w:rPr>
      <w:rFonts w:ascii="Times New Roman" w:hAnsi="Times New Roman" w:eastAsia="宋体" w:cs="Times New Roman"/>
    </w:rPr>
  </w:style>
  <w:style w:type="character" w:customStyle="1" w:styleId="145">
    <w:name w:val="font61"/>
    <w:qFormat/>
    <w:uiPriority w:val="0"/>
    <w:rPr>
      <w:rFonts w:hint="eastAsia" w:ascii="宋体" w:hAnsi="宋体" w:eastAsia="宋体" w:cs="宋体"/>
      <w:color w:val="000000"/>
      <w:sz w:val="22"/>
      <w:szCs w:val="22"/>
      <w:u w:val="none"/>
    </w:rPr>
  </w:style>
  <w:style w:type="paragraph" w:customStyle="1" w:styleId="1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7">
    <w:name w:val="Char2"/>
    <w:basedOn w:val="14"/>
    <w:next w:val="1"/>
    <w:qFormat/>
    <w:uiPriority w:val="0"/>
    <w:rPr>
      <w:rFonts w:ascii="宋体" w:hAnsi="宋体"/>
    </w:rPr>
  </w:style>
  <w:style w:type="paragraph" w:customStyle="1" w:styleId="148">
    <w:name w:val="正文2"/>
    <w:basedOn w:val="1"/>
    <w:qFormat/>
    <w:uiPriority w:val="0"/>
    <w:pPr>
      <w:spacing w:before="156" w:line="360" w:lineRule="auto"/>
      <w:ind w:firstLine="510" w:firstLineChars="200"/>
    </w:pPr>
    <w:rPr>
      <w:sz w:val="24"/>
      <w:szCs w:val="20"/>
    </w:rPr>
  </w:style>
  <w:style w:type="paragraph" w:customStyle="1" w:styleId="149">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0">
    <w:name w:val="1111"/>
    <w:basedOn w:val="1"/>
    <w:qFormat/>
    <w:uiPriority w:val="0"/>
    <w:rPr>
      <w:rFonts w:ascii="Calibri" w:hAnsi="Calibri"/>
      <w:sz w:val="18"/>
    </w:rPr>
  </w:style>
  <w:style w:type="paragraph" w:customStyle="1" w:styleId="151">
    <w:name w:val="Char Char Char1"/>
    <w:basedOn w:val="1"/>
    <w:qFormat/>
    <w:uiPriority w:val="0"/>
    <w:rPr>
      <w:rFonts w:ascii="Tahoma" w:hAnsi="Tahoma"/>
      <w:sz w:val="24"/>
      <w:szCs w:val="20"/>
    </w:rPr>
  </w:style>
  <w:style w:type="paragraph" w:customStyle="1" w:styleId="152">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3">
    <w:name w:val="_Style 13"/>
    <w:basedOn w:val="1"/>
    <w:next w:val="92"/>
    <w:qFormat/>
    <w:uiPriority w:val="0"/>
    <w:pPr>
      <w:ind w:firstLine="420"/>
    </w:pPr>
    <w:rPr>
      <w:rFonts w:ascii="Calibri" w:hAnsi="Calibri"/>
      <w:color w:val="000000"/>
      <w:kern w:val="1"/>
    </w:rPr>
  </w:style>
  <w:style w:type="paragraph" w:customStyle="1" w:styleId="154">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5">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6">
    <w:name w:val="table_1stline"/>
    <w:basedOn w:val="1"/>
    <w:qFormat/>
    <w:uiPriority w:val="0"/>
    <w:pPr>
      <w:widowControl/>
      <w:spacing w:before="120"/>
      <w:jc w:val="left"/>
    </w:pPr>
    <w:rPr>
      <w:bCs/>
      <w:sz w:val="20"/>
      <w:szCs w:val="20"/>
      <w:lang w:val="de-DE" w:eastAsia="de-DE"/>
    </w:rPr>
  </w:style>
  <w:style w:type="paragraph" w:customStyle="1" w:styleId="157">
    <w:name w:val="附录项目"/>
    <w:basedOn w:val="6"/>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8">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59">
    <w:name w:val="题注4"/>
    <w:basedOn w:val="1"/>
    <w:next w:val="12"/>
    <w:qFormat/>
    <w:uiPriority w:val="0"/>
    <w:pPr>
      <w:ind w:left="-132" w:leftChars="-64" w:right="-105" w:hanging="2"/>
      <w:jc w:val="center"/>
    </w:pPr>
    <w:rPr>
      <w:rFonts w:ascii="宋体"/>
      <w:b/>
      <w:color w:val="FF0000"/>
      <w:sz w:val="24"/>
      <w:szCs w:val="20"/>
      <w:lang w:val="en-GB"/>
    </w:rPr>
  </w:style>
  <w:style w:type="paragraph" w:customStyle="1" w:styleId="160">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1">
    <w:name w:val="[Normal]"/>
    <w:qFormat/>
    <w:uiPriority w:val="0"/>
    <w:rPr>
      <w:rFonts w:ascii="宋体" w:hAnsi="宋体" w:eastAsia="宋体" w:cs="Times New Roman"/>
      <w:sz w:val="24"/>
      <w:szCs w:val="22"/>
      <w:lang w:val="zh-CN" w:eastAsia="zh-CN" w:bidi="ar-SA"/>
    </w:rPr>
  </w:style>
  <w:style w:type="paragraph" w:customStyle="1" w:styleId="162">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3">
    <w:name w:val="正文内容"/>
    <w:basedOn w:val="1"/>
    <w:qFormat/>
    <w:uiPriority w:val="0"/>
    <w:pPr>
      <w:jc w:val="left"/>
    </w:pPr>
    <w:rPr>
      <w:rFonts w:ascii="微软雅黑" w:hAnsi="微软雅黑" w:eastAsia="微软雅黑" w:cs="宋体"/>
      <w:color w:val="0D0D0D"/>
      <w:sz w:val="18"/>
      <w:szCs w:val="18"/>
    </w:rPr>
  </w:style>
  <w:style w:type="paragraph" w:customStyle="1" w:styleId="164">
    <w:name w:val="彩色列表1"/>
    <w:basedOn w:val="1"/>
    <w:qFormat/>
    <w:uiPriority w:val="0"/>
    <w:pPr>
      <w:ind w:firstLine="420" w:firstLineChars="200"/>
    </w:pPr>
    <w:rPr>
      <w:rFonts w:ascii="Calibri" w:hAnsi="Calibri"/>
    </w:rPr>
  </w:style>
  <w:style w:type="paragraph" w:customStyle="1" w:styleId="165">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6">
    <w:name w:val="Char Char Char Char Char Char Char Char Char Char Char Char Char"/>
    <w:basedOn w:val="1"/>
    <w:qFormat/>
    <w:uiPriority w:val="0"/>
    <w:rPr>
      <w:rFonts w:ascii="Tahoma" w:hAnsi="Tahoma"/>
      <w:sz w:val="24"/>
      <w:szCs w:val="20"/>
    </w:rPr>
  </w:style>
  <w:style w:type="paragraph" w:customStyle="1" w:styleId="167">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8">
    <w:name w:val="样式 正文缩进 + 首行缩进:  2 字符"/>
    <w:basedOn w:val="11"/>
    <w:qFormat/>
    <w:uiPriority w:val="0"/>
    <w:pPr>
      <w:adjustRightInd/>
      <w:spacing w:line="360" w:lineRule="auto"/>
      <w:ind w:firstLine="200" w:firstLineChars="200"/>
      <w:textAlignment w:val="auto"/>
    </w:pPr>
    <w:rPr>
      <w:rFonts w:cs="宋体"/>
      <w:kern w:val="2"/>
      <w:sz w:val="24"/>
    </w:rPr>
  </w:style>
  <w:style w:type="paragraph" w:customStyle="1" w:styleId="169">
    <w:name w:val="列出段落1"/>
    <w:basedOn w:val="1"/>
    <w:qFormat/>
    <w:uiPriority w:val="0"/>
    <w:pPr>
      <w:ind w:firstLine="420" w:firstLineChars="200"/>
    </w:pPr>
    <w:rPr>
      <w:rFonts w:ascii="Calibri" w:hAnsi="Calibri"/>
      <w:szCs w:val="20"/>
    </w:rPr>
  </w:style>
  <w:style w:type="paragraph" w:customStyle="1" w:styleId="170">
    <w:name w:val="Char"/>
    <w:basedOn w:val="1"/>
    <w:qFormat/>
    <w:uiPriority w:val="0"/>
    <w:rPr>
      <w:rFonts w:eastAsia="仿宋_GB2312"/>
      <w:sz w:val="28"/>
    </w:rPr>
  </w:style>
  <w:style w:type="paragraph" w:customStyle="1" w:styleId="171">
    <w:name w:val="Char Char Char Char Char Char Char"/>
    <w:basedOn w:val="1"/>
    <w:qFormat/>
    <w:uiPriority w:val="0"/>
    <w:rPr>
      <w:rFonts w:ascii="仿宋_GB2312" w:eastAsia="仿宋_GB2312"/>
      <w:b/>
      <w:sz w:val="32"/>
      <w:szCs w:val="32"/>
    </w:rPr>
  </w:style>
  <w:style w:type="paragraph" w:customStyle="1" w:styleId="1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3">
    <w:name w:val="正文－恩普"/>
    <w:basedOn w:val="11"/>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4">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5">
    <w:name w:val="Char4"/>
    <w:basedOn w:val="1"/>
    <w:qFormat/>
    <w:uiPriority w:val="0"/>
    <w:rPr>
      <w:szCs w:val="20"/>
    </w:rPr>
  </w:style>
  <w:style w:type="paragraph" w:customStyle="1" w:styleId="17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7">
    <w:name w:val="默认段落字体 Para Char"/>
    <w:basedOn w:val="1"/>
    <w:qFormat/>
    <w:uiPriority w:val="0"/>
    <w:rPr>
      <w:rFonts w:ascii="Calibri" w:hAnsi="Calibri"/>
      <w:szCs w:val="20"/>
    </w:rPr>
  </w:style>
  <w:style w:type="paragraph" w:customStyle="1" w:styleId="178">
    <w:name w:val="行间12_5号"/>
    <w:basedOn w:val="1"/>
    <w:qFormat/>
    <w:uiPriority w:val="0"/>
    <w:pPr>
      <w:adjustRightInd w:val="0"/>
      <w:spacing w:line="240" w:lineRule="exact"/>
      <w:jc w:val="center"/>
      <w:textAlignment w:val="baseline"/>
    </w:pPr>
    <w:rPr>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Char3"/>
    <w:basedOn w:val="14"/>
    <w:qFormat/>
    <w:uiPriority w:val="0"/>
  </w:style>
  <w:style w:type="paragraph" w:customStyle="1" w:styleId="181">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 Char Char Char Char Char"/>
    <w:basedOn w:val="1"/>
    <w:qFormat/>
    <w:uiPriority w:val="0"/>
    <w:rPr>
      <w:rFonts w:ascii="Tahoma" w:hAnsi="Tahoma"/>
      <w:sz w:val="24"/>
      <w:szCs w:val="20"/>
    </w:rPr>
  </w:style>
  <w:style w:type="paragraph" w:customStyle="1" w:styleId="184">
    <w:name w:val="表内文字"/>
    <w:basedOn w:val="1"/>
    <w:qFormat/>
    <w:uiPriority w:val="0"/>
    <w:pPr>
      <w:spacing w:line="240" w:lineRule="atLeast"/>
      <w:jc w:val="center"/>
    </w:pPr>
    <w:rPr>
      <w:rFonts w:ascii="Arial" w:hAnsi="Arial" w:cs="Arial"/>
      <w:b/>
      <w:bCs/>
    </w:rPr>
  </w:style>
  <w:style w:type="paragraph" w:customStyle="1" w:styleId="185">
    <w:name w:val="Char Char"/>
    <w:basedOn w:val="1"/>
    <w:qFormat/>
    <w:uiPriority w:val="0"/>
    <w:rPr>
      <w:rFonts w:ascii="仿宋_GB2312" w:eastAsia="仿宋_GB2312"/>
      <w:b/>
      <w:sz w:val="32"/>
      <w:szCs w:val="32"/>
    </w:rPr>
  </w:style>
  <w:style w:type="paragraph" w:customStyle="1" w:styleId="186">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 Char Char Char Char Char1"/>
    <w:basedOn w:val="1"/>
    <w:qFormat/>
    <w:uiPriority w:val="0"/>
    <w:pPr>
      <w:ind w:firstLine="200" w:firstLineChars="200"/>
    </w:pPr>
    <w:rPr>
      <w:rFonts w:ascii="Tahoma" w:hAnsi="Tahoma" w:cs="Tahoma"/>
      <w:sz w:val="24"/>
    </w:rPr>
  </w:style>
  <w:style w:type="paragraph" w:customStyle="1" w:styleId="189">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0">
    <w:name w:val="默认段落字体 Para Char Char Char Char Char Char Char"/>
    <w:basedOn w:val="1"/>
    <w:qFormat/>
    <w:uiPriority w:val="0"/>
    <w:rPr>
      <w:rFonts w:ascii="Tahoma" w:hAnsi="Tahoma"/>
      <w:sz w:val="24"/>
      <w:szCs w:val="20"/>
    </w:rPr>
  </w:style>
  <w:style w:type="paragraph" w:customStyle="1" w:styleId="191">
    <w:name w:val="Char Char2 Char"/>
    <w:basedOn w:val="1"/>
    <w:qFormat/>
    <w:uiPriority w:val="0"/>
    <w:pPr>
      <w:keepNext/>
      <w:keepLines/>
      <w:pageBreakBefore/>
      <w:tabs>
        <w:tab w:val="left" w:pos="845"/>
      </w:tabs>
      <w:ind w:left="845" w:hanging="420"/>
    </w:pPr>
    <w:rPr>
      <w:szCs w:val="20"/>
    </w:rPr>
  </w:style>
  <w:style w:type="paragraph" w:customStyle="1" w:styleId="192">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3">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4">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5">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6">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7">
    <w:name w:val="默认段落字体 Para Char Char Char Char"/>
    <w:basedOn w:val="1"/>
    <w:qFormat/>
    <w:uiPriority w:val="0"/>
    <w:rPr>
      <w:sz w:val="32"/>
      <w:szCs w:val="32"/>
    </w:rPr>
  </w:style>
  <w:style w:type="paragraph" w:customStyle="1" w:styleId="198">
    <w:name w:val="保留正文"/>
    <w:basedOn w:val="17"/>
    <w:qFormat/>
    <w:uiPriority w:val="0"/>
    <w:pPr>
      <w:keepNext/>
      <w:spacing w:after="160"/>
    </w:pPr>
    <w:rPr>
      <w:szCs w:val="20"/>
    </w:rPr>
  </w:style>
  <w:style w:type="character" w:customStyle="1" w:styleId="199">
    <w:name w:val="正文文本 字符"/>
    <w:qFormat/>
    <w:uiPriority w:val="99"/>
    <w:rPr>
      <w:rFonts w:ascii="Times New Roman" w:hAnsi="Times New Roman" w:eastAsia="宋体" w:cs="Times New Roman"/>
      <w:kern w:val="2"/>
      <w:sz w:val="21"/>
      <w:szCs w:val="24"/>
    </w:rPr>
  </w:style>
  <w:style w:type="character" w:customStyle="1" w:styleId="200">
    <w:name w:val="日期 字符"/>
    <w:qFormat/>
    <w:uiPriority w:val="0"/>
    <w:rPr>
      <w:rFonts w:ascii="Times New Roman" w:hAnsi="Times New Roman" w:eastAsia="宋体" w:cs="Times New Roman"/>
      <w:color w:val="000000"/>
      <w:kern w:val="1"/>
      <w:sz w:val="30"/>
    </w:rPr>
  </w:style>
  <w:style w:type="character" w:customStyle="1" w:styleId="201">
    <w:name w:val="批注文字 字符"/>
    <w:qFormat/>
    <w:uiPriority w:val="0"/>
    <w:rPr>
      <w:rFonts w:ascii="Times New Roman" w:hAnsi="Times New Roman" w:eastAsia="宋体" w:cs="Times New Roman"/>
      <w:kern w:val="2"/>
      <w:sz w:val="21"/>
      <w:szCs w:val="24"/>
    </w:rPr>
  </w:style>
  <w:style w:type="character" w:customStyle="1" w:styleId="202">
    <w:name w:val="NormalCharacter"/>
    <w:qFormat/>
    <w:uiPriority w:val="0"/>
    <w:rPr>
      <w:rFonts w:ascii="Times New Roman" w:hAnsi="Times New Roman" w:eastAsia="宋体" w:cs="Times New Roman"/>
    </w:rPr>
  </w:style>
  <w:style w:type="paragraph" w:customStyle="1" w:styleId="203">
    <w:name w:val="列出段落3"/>
    <w:basedOn w:val="1"/>
    <w:qFormat/>
    <w:uiPriority w:val="0"/>
    <w:pPr>
      <w:ind w:firstLine="420" w:firstLineChars="200"/>
    </w:pPr>
    <w:rPr>
      <w:rFonts w:ascii="Arial" w:hAnsi="Arial" w:cs="Arial"/>
      <w:kern w:val="2"/>
    </w:rPr>
  </w:style>
  <w:style w:type="paragraph" w:customStyle="1" w:styleId="20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5">
    <w:name w:val="修订1"/>
    <w:qFormat/>
    <w:uiPriority w:val="0"/>
    <w:rPr>
      <w:rFonts w:ascii="Times New Roman" w:hAnsi="Times New Roman" w:eastAsia="宋体" w:cs="Times New Roman"/>
      <w:sz w:val="21"/>
      <w:szCs w:val="24"/>
      <w:lang w:val="en-US" w:eastAsia="zh-CN" w:bidi="ar-SA"/>
    </w:rPr>
  </w:style>
  <w:style w:type="character" w:customStyle="1" w:styleId="206">
    <w:name w:val="标题 4 字符1"/>
    <w:qFormat/>
    <w:uiPriority w:val="0"/>
    <w:rPr>
      <w:rFonts w:ascii="Calibri" w:hAnsi="Calibri" w:eastAsia="Tahoma"/>
      <w:b/>
      <w:sz w:val="24"/>
      <w:lang w:val="zh-CN"/>
    </w:rPr>
  </w:style>
  <w:style w:type="paragraph" w:styleId="207">
    <w:name w:val="List Paragraph"/>
    <w:basedOn w:val="1"/>
    <w:qFormat/>
    <w:uiPriority w:val="0"/>
    <w:pPr>
      <w:ind w:firstLine="420" w:firstLineChars="200"/>
    </w:pPr>
  </w:style>
  <w:style w:type="paragraph" w:customStyle="1" w:styleId="208">
    <w:name w:val="修订2"/>
    <w:hidden/>
    <w:semiHidden/>
    <w:qFormat/>
    <w:uiPriority w:val="99"/>
    <w:rPr>
      <w:rFonts w:ascii="Times New Roman" w:hAnsi="Times New Roman" w:eastAsia="宋体" w:cs="Times New Roman"/>
      <w:sz w:val="21"/>
      <w:szCs w:val="24"/>
      <w:lang w:val="en-US" w:eastAsia="zh-CN" w:bidi="ar-SA"/>
    </w:rPr>
  </w:style>
  <w:style w:type="paragraph" w:customStyle="1" w:styleId="209">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0">
    <w:name w:val="Unresolved Mention"/>
    <w:basedOn w:val="38"/>
    <w:semiHidden/>
    <w:unhideWhenUsed/>
    <w:qFormat/>
    <w:uiPriority w:val="99"/>
    <w:rPr>
      <w:color w:val="605E5C"/>
      <w:shd w:val="clear" w:color="auto" w:fill="E1DFDD"/>
    </w:rPr>
  </w:style>
  <w:style w:type="character" w:customStyle="1" w:styleId="211">
    <w:name w:val="font71"/>
    <w:basedOn w:val="38"/>
    <w:qFormat/>
    <w:uiPriority w:val="0"/>
    <w:rPr>
      <w:rFonts w:hint="default" w:ascii="华文仿宋" w:hAnsi="华文仿宋" w:eastAsia="华文仿宋" w:cs="华文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2746-7273-40AC-9D17-9387D57E795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35622</Words>
  <Characters>39024</Characters>
  <Lines>273</Lines>
  <Paragraphs>77</Paragraphs>
  <TotalTime>2</TotalTime>
  <ScaleCrop>false</ScaleCrop>
  <LinksUpToDate>false</LinksUpToDate>
  <CharactersWithSpaces>41597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2023-04-19T00:59:00Z</dcterms:created>
  <dc:creator>hp</dc:creator>
  <cp:lastModifiedBy>liuhuicong</cp:lastModifiedBy>
  <cp:lastPrinted>2023-06-26T03:03:00Z</cp:lastPrinted>
  <dcterms:modified xsi:type="dcterms:W3CDTF">2023-07-05T06:26:40Z</dcterms:modified>
  <dc:title>温州市政府（分散）采购</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805E8ECCEC054F5A984A047DE9802CA1_13</vt:lpwstr>
  </property>
  <property fmtid="{D5CDD505-2E9C-101B-9397-08002B2CF9AE}" pid="4" name="commondata">
    <vt:lpwstr>eyJoZGlkIjoiOWM2Y2JhMGEwNDg2YWY5ZDY5NjJlZDgyM2VkMjhhNTMifQ==</vt:lpwstr>
  </property>
</Properties>
</file>