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pPr>
        <w:jc w:val="center"/>
        <w:rPr>
          <w:rFonts w:ascii="宋体" w:hAnsi="宋体" w:cs="宋体"/>
          <w:b/>
          <w:bCs/>
          <w:color w:val="auto"/>
          <w:spacing w:val="26"/>
          <w:sz w:val="52"/>
        </w:rPr>
      </w:pPr>
    </w:p>
    <w:p>
      <w:pPr>
        <w:jc w:val="center"/>
        <w:rPr>
          <w:rFonts w:ascii="宋体" w:hAnsi="宋体" w:cs="宋体"/>
          <w:b/>
          <w:bCs/>
          <w:color w:val="auto"/>
          <w:spacing w:val="26"/>
          <w:sz w:val="52"/>
        </w:rPr>
      </w:pPr>
    </w:p>
    <w:p>
      <w:pPr>
        <w:ind w:firstLine="2357" w:firstLineChars="235"/>
        <w:rPr>
          <w:rFonts w:ascii="宋体" w:hAnsi="宋体" w:cs="宋体"/>
          <w:b/>
          <w:bCs/>
          <w:color w:val="auto"/>
          <w:spacing w:val="140"/>
          <w:sz w:val="72"/>
        </w:rPr>
      </w:pPr>
    </w:p>
    <w:p>
      <w:pPr>
        <w:spacing w:line="360" w:lineRule="exact"/>
        <w:jc w:val="center"/>
        <w:rPr>
          <w:rFonts w:ascii="宋体" w:hAnsi="宋体" w:cs="宋体"/>
          <w:b/>
          <w:bCs/>
          <w:color w:val="auto"/>
          <w:spacing w:val="140"/>
          <w:sz w:val="72"/>
        </w:rPr>
      </w:pPr>
    </w:p>
    <w:p>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pPr>
        <w:pStyle w:val="18"/>
        <w:jc w:val="center"/>
        <w:rPr>
          <w:color w:val="auto"/>
        </w:rPr>
      </w:pPr>
      <w:r>
        <w:rPr>
          <w:rFonts w:hint="eastAsia" w:ascii="宋体" w:hAnsi="宋体" w:cs="宋体"/>
          <w:b/>
          <w:bCs/>
          <w:color w:val="auto"/>
          <w:spacing w:val="140"/>
          <w:sz w:val="84"/>
          <w:szCs w:val="84"/>
        </w:rPr>
        <w:t>（电子投标）</w:t>
      </w: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rPr>
          <w:rFonts w:ascii="宋体" w:hAnsi="宋体" w:cs="宋体"/>
          <w:b/>
          <w:bCs/>
          <w:color w:val="auto"/>
          <w:sz w:val="24"/>
        </w:rPr>
      </w:pPr>
    </w:p>
    <w:p>
      <w:pPr>
        <w:rPr>
          <w:rFonts w:ascii="宋体" w:hAnsi="宋体" w:cs="宋体"/>
          <w:b/>
          <w:bCs/>
          <w:color w:val="auto"/>
          <w:sz w:val="24"/>
        </w:rPr>
      </w:pPr>
    </w:p>
    <w:p>
      <w:pPr>
        <w:spacing w:line="600" w:lineRule="exact"/>
        <w:ind w:left="1050" w:leftChars="500"/>
        <w:rPr>
          <w:rFonts w:ascii="宋体" w:hAnsi="宋体"/>
          <w:color w:val="auto"/>
          <w:spacing w:val="30"/>
          <w:sz w:val="30"/>
        </w:rPr>
      </w:pPr>
      <w:r>
        <w:rPr>
          <w:rFonts w:hint="eastAsia" w:ascii="宋体" w:hAnsi="宋体"/>
          <w:color w:val="auto"/>
          <w:spacing w:val="30"/>
          <w:sz w:val="30"/>
        </w:rPr>
        <w:t>项 目 编 号：</w:t>
      </w:r>
      <w:r>
        <w:rPr>
          <w:rFonts w:hint="eastAsia" w:ascii="宋体" w:hAnsi="宋体"/>
          <w:color w:val="auto"/>
          <w:sz w:val="30"/>
        </w:rPr>
        <w:t>WZZF2023(ZC)-07-173（GK）</w:t>
      </w:r>
    </w:p>
    <w:p>
      <w:pPr>
        <w:spacing w:line="600" w:lineRule="exact"/>
        <w:ind w:left="1050" w:leftChars="500"/>
        <w:rPr>
          <w:rFonts w:ascii="宋体" w:hAnsi="宋体"/>
          <w:color w:val="auto"/>
          <w:sz w:val="30"/>
        </w:rPr>
      </w:pPr>
      <w:r>
        <w:rPr>
          <w:rFonts w:hint="eastAsia" w:ascii="宋体" w:hAnsi="宋体"/>
          <w:color w:val="auto"/>
          <w:spacing w:val="30"/>
          <w:sz w:val="30"/>
        </w:rPr>
        <w:t>项 目 名 称：</w:t>
      </w:r>
      <w:r>
        <w:rPr>
          <w:rFonts w:hint="eastAsia" w:ascii="宋体" w:hAnsi="宋体"/>
          <w:color w:val="auto"/>
          <w:sz w:val="30"/>
        </w:rPr>
        <w:t>智能制造领域中外人文交流人才培养基地（一期）</w:t>
      </w:r>
    </w:p>
    <w:p>
      <w:pPr>
        <w:spacing w:line="600" w:lineRule="exact"/>
        <w:ind w:left="1050" w:leftChars="5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pPr>
        <w:spacing w:line="600" w:lineRule="exact"/>
        <w:ind w:firstLine="1140" w:firstLineChars="300"/>
        <w:rPr>
          <w:rFonts w:ascii="宋体" w:hAnsi="宋体" w:cs="宋体"/>
          <w:color w:val="auto"/>
          <w:spacing w:val="40"/>
          <w:sz w:val="30"/>
          <w:szCs w:val="30"/>
        </w:rPr>
      </w:pPr>
    </w:p>
    <w:p>
      <w:pPr>
        <w:spacing w:line="600" w:lineRule="exact"/>
        <w:ind w:firstLine="1140" w:firstLineChars="300"/>
        <w:rPr>
          <w:rFonts w:ascii="宋体" w:hAnsi="宋体" w:cs="宋体"/>
          <w:color w:val="auto"/>
          <w:spacing w:val="40"/>
          <w:sz w:val="30"/>
          <w:szCs w:val="30"/>
        </w:rPr>
      </w:pPr>
    </w:p>
    <w:p>
      <w:pPr>
        <w:rPr>
          <w:color w:val="auto"/>
        </w:rPr>
      </w:pPr>
    </w:p>
    <w:p>
      <w:pPr>
        <w:pStyle w:val="18"/>
        <w:rPr>
          <w:color w:val="auto"/>
        </w:rPr>
      </w:pPr>
    </w:p>
    <w:p>
      <w:pPr>
        <w:pStyle w:val="88"/>
        <w:rPr>
          <w:color w:val="auto"/>
        </w:rPr>
      </w:pPr>
    </w:p>
    <w:p>
      <w:pPr>
        <w:rPr>
          <w:color w:val="auto"/>
        </w:rPr>
      </w:pPr>
    </w:p>
    <w:p>
      <w:pPr>
        <w:pStyle w:val="51"/>
        <w:ind w:firstLine="560"/>
        <w:rPr>
          <w:rFonts w:ascii="Times New Roman" w:eastAsia="宋体"/>
          <w:color w:val="auto"/>
        </w:rPr>
      </w:pPr>
    </w:p>
    <w:p>
      <w:pPr>
        <w:pStyle w:val="88"/>
        <w:rPr>
          <w:color w:val="auto"/>
        </w:rPr>
      </w:pPr>
    </w:p>
    <w:p>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二〇二三年</w:t>
      </w:r>
      <w:r>
        <w:rPr>
          <w:rFonts w:hint="eastAsia" w:ascii="宋体" w:hAnsi="宋体" w:cs="宋体"/>
          <w:b/>
          <w:color w:val="auto"/>
          <w:sz w:val="30"/>
          <w:szCs w:val="30"/>
          <w:lang w:val="en-US" w:eastAsia="zh-CN"/>
        </w:rPr>
        <w:t>八</w:t>
      </w:r>
      <w:r>
        <w:rPr>
          <w:rFonts w:hint="eastAsia" w:ascii="宋体" w:hAnsi="宋体" w:cs="宋体"/>
          <w:b/>
          <w:color w:val="auto"/>
          <w:sz w:val="30"/>
          <w:szCs w:val="30"/>
        </w:rPr>
        <w:t>月</w:t>
      </w:r>
    </w:p>
    <w:p>
      <w:pPr>
        <w:pStyle w:val="3"/>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pPr>
        <w:pStyle w:val="3"/>
        <w:spacing w:line="600" w:lineRule="exact"/>
        <w:jc w:val="center"/>
        <w:rPr>
          <w:rFonts w:ascii="黑体" w:hAnsi="黑体" w:eastAsia="黑体"/>
          <w:bCs/>
          <w:color w:val="auto"/>
          <w:sz w:val="36"/>
          <w:szCs w:val="36"/>
        </w:rPr>
      </w:pPr>
      <w:bookmarkStart w:id="1" w:name="_Toc8997"/>
      <w:r>
        <w:rPr>
          <w:rFonts w:hint="eastAsia" w:ascii="黑体" w:hAnsi="黑体" w:eastAsia="黑体"/>
          <w:bCs/>
          <w:color w:val="auto"/>
          <w:sz w:val="36"/>
          <w:szCs w:val="36"/>
        </w:rPr>
        <w:t>目    录</w:t>
      </w:r>
      <w:bookmarkEnd w:id="0"/>
      <w:bookmarkEnd w:id="1"/>
    </w:p>
    <w:p>
      <w:pPr>
        <w:jc w:val="right"/>
        <w:rPr>
          <w:rFonts w:ascii="宋体" w:hAnsi="宋体" w:cs="宋体"/>
          <w:color w:val="auto"/>
        </w:rPr>
      </w:pPr>
    </w:p>
    <w:p>
      <w:pPr>
        <w:pStyle w:val="29"/>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color w:val="auto"/>
        </w:rPr>
        <w:fldChar w:fldCharType="begin"/>
      </w:r>
      <w:r>
        <w:rPr>
          <w:color w:val="auto"/>
        </w:rPr>
        <w:instrText xml:space="preserve"> HYPERLINK \l "_Toc8997" </w:instrText>
      </w:r>
      <w:r>
        <w:rPr>
          <w:color w:val="auto"/>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_Toc8997 \h </w:instrText>
      </w:r>
      <w:r>
        <w:rPr>
          <w:color w:val="auto"/>
        </w:rPr>
        <w:fldChar w:fldCharType="separate"/>
      </w:r>
      <w:r>
        <w:rPr>
          <w:color w:val="auto"/>
        </w:rPr>
        <w:t>1</w:t>
      </w:r>
      <w:r>
        <w:rPr>
          <w:color w:val="auto"/>
        </w:rPr>
        <w:fldChar w:fldCharType="end"/>
      </w:r>
      <w:r>
        <w:rPr>
          <w:color w:val="auto"/>
        </w:rPr>
        <w:fldChar w:fldCharType="end"/>
      </w:r>
    </w:p>
    <w:p>
      <w:pPr>
        <w:pStyle w:val="29"/>
        <w:tabs>
          <w:tab w:val="right" w:leader="dot" w:pos="9638"/>
          <w:tab w:val="clear" w:pos="9628"/>
        </w:tabs>
        <w:rPr>
          <w:color w:val="auto"/>
        </w:rPr>
      </w:pPr>
      <w:r>
        <w:rPr>
          <w:color w:val="auto"/>
        </w:rPr>
        <w:fldChar w:fldCharType="begin"/>
      </w:r>
      <w:r>
        <w:rPr>
          <w:color w:val="auto"/>
        </w:rPr>
        <w:instrText xml:space="preserve"> HYPERLINK \l "_Toc507" </w:instrText>
      </w:r>
      <w:r>
        <w:rPr>
          <w:color w:val="auto"/>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_Toc507 \h </w:instrText>
      </w:r>
      <w:r>
        <w:rPr>
          <w:color w:val="auto"/>
        </w:rPr>
        <w:fldChar w:fldCharType="separate"/>
      </w:r>
      <w:r>
        <w:rPr>
          <w:color w:val="auto"/>
        </w:rPr>
        <w:t>2</w:t>
      </w:r>
      <w:r>
        <w:rPr>
          <w:color w:val="auto"/>
        </w:rPr>
        <w:fldChar w:fldCharType="end"/>
      </w:r>
      <w:r>
        <w:rPr>
          <w:color w:val="auto"/>
        </w:rPr>
        <w:fldChar w:fldCharType="end"/>
      </w:r>
    </w:p>
    <w:p>
      <w:pPr>
        <w:pStyle w:val="29"/>
        <w:tabs>
          <w:tab w:val="right" w:leader="dot" w:pos="9638"/>
          <w:tab w:val="clear" w:pos="9628"/>
        </w:tabs>
        <w:rPr>
          <w:color w:val="auto"/>
        </w:rPr>
      </w:pPr>
      <w:r>
        <w:rPr>
          <w:color w:val="auto"/>
        </w:rPr>
        <w:fldChar w:fldCharType="begin"/>
      </w:r>
      <w:r>
        <w:rPr>
          <w:color w:val="auto"/>
        </w:rPr>
        <w:instrText xml:space="preserve"> HYPERLINK \l "_Toc10311" </w:instrText>
      </w:r>
      <w:r>
        <w:rPr>
          <w:color w:val="auto"/>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_Toc10311 \h </w:instrText>
      </w:r>
      <w:r>
        <w:rPr>
          <w:color w:val="auto"/>
        </w:rPr>
        <w:fldChar w:fldCharType="separate"/>
      </w:r>
      <w:r>
        <w:rPr>
          <w:color w:val="auto"/>
        </w:rPr>
        <w:t>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"_Toc20841" </w:instrText>
      </w:r>
      <w:r>
        <w:rPr>
          <w:color w:val="auto"/>
        </w:rPr>
        <w:fldChar w:fldCharType="separate"/>
      </w:r>
      <w:r>
        <w:rPr>
          <w:rFonts w:hint="eastAsia" w:ascii="宋体" w:hAnsi="宋体" w:cs="宋体"/>
          <w:color w:val="auto"/>
          <w:szCs w:val="28"/>
        </w:rPr>
        <w:t>投标人须知前附表</w:t>
      </w:r>
      <w:r>
        <w:rPr>
          <w:color w:val="auto"/>
        </w:rPr>
        <w:tab/>
      </w:r>
      <w:r>
        <w:rPr>
          <w:color w:val="auto"/>
        </w:rPr>
        <w:fldChar w:fldCharType="begin"/>
      </w:r>
      <w:r>
        <w:rPr>
          <w:color w:val="auto"/>
        </w:rPr>
        <w:instrText xml:space="preserve"> PAGEREF _Toc20841 \h </w:instrText>
      </w:r>
      <w:r>
        <w:rPr>
          <w:color w:val="auto"/>
        </w:rPr>
        <w:fldChar w:fldCharType="separate"/>
      </w:r>
      <w:r>
        <w:rPr>
          <w:color w:val="auto"/>
        </w:rPr>
        <w:t>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"_Toc5283" </w:instrText>
      </w:r>
      <w:r>
        <w:rPr>
          <w:color w:val="auto"/>
        </w:rPr>
        <w:fldChar w:fldCharType="separate"/>
      </w:r>
      <w:r>
        <w:rPr>
          <w:rFonts w:hint="eastAsia" w:ascii="宋体" w:hAnsi="宋体" w:cs="宋体"/>
          <w:color w:val="auto"/>
          <w:szCs w:val="28"/>
        </w:rPr>
        <w:t>一、 说   明</w:t>
      </w:r>
      <w:r>
        <w:rPr>
          <w:color w:val="auto"/>
        </w:rPr>
        <w:tab/>
      </w:r>
      <w:r>
        <w:rPr>
          <w:color w:val="auto"/>
        </w:rPr>
        <w:fldChar w:fldCharType="begin"/>
      </w:r>
      <w:r>
        <w:rPr>
          <w:color w:val="auto"/>
        </w:rPr>
        <w:instrText xml:space="preserve"> PAGEREF _Toc5283 \h </w:instrText>
      </w:r>
      <w:r>
        <w:rPr>
          <w:color w:val="auto"/>
        </w:rPr>
        <w:fldChar w:fldCharType="separate"/>
      </w:r>
      <w:r>
        <w:rPr>
          <w:color w:val="auto"/>
        </w:rPr>
        <w:t>9</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"_Toc5889" </w:instrText>
      </w:r>
      <w:r>
        <w:rPr>
          <w:color w:val="auto"/>
        </w:rPr>
        <w:fldChar w:fldCharType="separate"/>
      </w:r>
      <w:r>
        <w:rPr>
          <w:rFonts w:hint="eastAsia" w:ascii="宋体" w:hAnsi="宋体" w:cs="宋体"/>
          <w:color w:val="auto"/>
          <w:szCs w:val="28"/>
        </w:rPr>
        <w:t>二、 招标文件</w:t>
      </w:r>
      <w:r>
        <w:rPr>
          <w:color w:val="auto"/>
        </w:rPr>
        <w:tab/>
      </w:r>
      <w:r>
        <w:rPr>
          <w:color w:val="auto"/>
        </w:rPr>
        <w:fldChar w:fldCharType="begin"/>
      </w:r>
      <w:r>
        <w:rPr>
          <w:color w:val="auto"/>
        </w:rPr>
        <w:instrText xml:space="preserve"> PAGEREF _Toc5889 \h </w:instrText>
      </w:r>
      <w:r>
        <w:rPr>
          <w:color w:val="auto"/>
        </w:rPr>
        <w:fldChar w:fldCharType="separate"/>
      </w:r>
      <w:r>
        <w:rPr>
          <w:color w:val="auto"/>
        </w:rPr>
        <w:t>14</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"_Toc21491" </w:instrText>
      </w:r>
      <w:r>
        <w:rPr>
          <w:color w:val="auto"/>
        </w:rPr>
        <w:fldChar w:fldCharType="separate"/>
      </w:r>
      <w:r>
        <w:rPr>
          <w:rFonts w:hint="eastAsia" w:ascii="宋体" w:hAnsi="宋体" w:cs="宋体"/>
          <w:color w:val="auto"/>
          <w:szCs w:val="28"/>
        </w:rPr>
        <w:t>三、 投标文件的编制</w:t>
      </w:r>
      <w:r>
        <w:rPr>
          <w:color w:val="auto"/>
        </w:rPr>
        <w:tab/>
      </w:r>
      <w:r>
        <w:rPr>
          <w:color w:val="auto"/>
        </w:rPr>
        <w:fldChar w:fldCharType="begin"/>
      </w:r>
      <w:r>
        <w:rPr>
          <w:color w:val="auto"/>
        </w:rPr>
        <w:instrText xml:space="preserve"> PAGEREF _Toc21491 \h </w:instrText>
      </w:r>
      <w:r>
        <w:rPr>
          <w:color w:val="auto"/>
        </w:rPr>
        <w:fldChar w:fldCharType="separate"/>
      </w:r>
      <w:r>
        <w:rPr>
          <w:color w:val="auto"/>
        </w:rPr>
        <w:t>14</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"_Toc6253" </w:instrText>
      </w:r>
      <w:r>
        <w:rPr>
          <w:color w:val="auto"/>
        </w:rPr>
        <w:fldChar w:fldCharType="separate"/>
      </w:r>
      <w:r>
        <w:rPr>
          <w:rFonts w:hint="eastAsia" w:ascii="宋体" w:hAnsi="宋体" w:cs="宋体"/>
          <w:color w:val="auto"/>
          <w:szCs w:val="28"/>
        </w:rPr>
        <w:t>四、 投标文件的递交</w:t>
      </w:r>
      <w:r>
        <w:rPr>
          <w:color w:val="auto"/>
        </w:rPr>
        <w:tab/>
      </w:r>
      <w:r>
        <w:rPr>
          <w:color w:val="auto"/>
        </w:rPr>
        <w:fldChar w:fldCharType="begin"/>
      </w:r>
      <w:r>
        <w:rPr>
          <w:color w:val="auto"/>
        </w:rPr>
        <w:instrText xml:space="preserve"> PAGEREF _Toc6253 \h </w:instrText>
      </w:r>
      <w:r>
        <w:rPr>
          <w:color w:val="auto"/>
        </w:rPr>
        <w:fldChar w:fldCharType="separate"/>
      </w:r>
      <w:r>
        <w:rPr>
          <w:color w:val="auto"/>
        </w:rPr>
        <w:t>17</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"_Toc17089" </w:instrText>
      </w:r>
      <w:r>
        <w:rPr>
          <w:color w:val="auto"/>
        </w:rPr>
        <w:fldChar w:fldCharType="separate"/>
      </w:r>
      <w:r>
        <w:rPr>
          <w:rFonts w:hint="eastAsia" w:ascii="宋体" w:hAnsi="宋体" w:cs="宋体"/>
          <w:color w:val="auto"/>
          <w:szCs w:val="28"/>
        </w:rPr>
        <w:t>五、 开标和评标</w:t>
      </w:r>
      <w:r>
        <w:rPr>
          <w:color w:val="auto"/>
        </w:rPr>
        <w:tab/>
      </w:r>
      <w:r>
        <w:rPr>
          <w:color w:val="auto"/>
        </w:rPr>
        <w:fldChar w:fldCharType="begin"/>
      </w:r>
      <w:r>
        <w:rPr>
          <w:color w:val="auto"/>
        </w:rPr>
        <w:instrText xml:space="preserve"> PAGEREF _Toc17089 \h </w:instrText>
      </w:r>
      <w:r>
        <w:rPr>
          <w:color w:val="auto"/>
        </w:rPr>
        <w:fldChar w:fldCharType="separate"/>
      </w:r>
      <w:r>
        <w:rPr>
          <w:color w:val="auto"/>
        </w:rPr>
        <w:t>17</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"_Toc24426" </w:instrText>
      </w:r>
      <w:r>
        <w:rPr>
          <w:color w:val="auto"/>
        </w:rPr>
        <w:fldChar w:fldCharType="separate"/>
      </w:r>
      <w:r>
        <w:rPr>
          <w:rFonts w:hint="eastAsia" w:ascii="宋体" w:hAnsi="宋体" w:cs="宋体"/>
          <w:color w:val="auto"/>
          <w:szCs w:val="28"/>
        </w:rPr>
        <w:t>六、 中标和合同</w:t>
      </w:r>
      <w:r>
        <w:rPr>
          <w:color w:val="auto"/>
        </w:rPr>
        <w:tab/>
      </w:r>
      <w:r>
        <w:rPr>
          <w:color w:val="auto"/>
        </w:rPr>
        <w:fldChar w:fldCharType="begin"/>
      </w:r>
      <w:r>
        <w:rPr>
          <w:color w:val="auto"/>
        </w:rPr>
        <w:instrText xml:space="preserve"> PAGEREF _Toc24426 \h </w:instrText>
      </w:r>
      <w:r>
        <w:rPr>
          <w:color w:val="auto"/>
        </w:rPr>
        <w:fldChar w:fldCharType="separate"/>
      </w:r>
      <w:r>
        <w:rPr>
          <w:color w:val="auto"/>
        </w:rPr>
        <w:t>19</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"_Toc28082" </w:instrText>
      </w:r>
      <w:r>
        <w:rPr>
          <w:color w:val="auto"/>
        </w:rPr>
        <w:fldChar w:fldCharType="separate"/>
      </w:r>
      <w:r>
        <w:rPr>
          <w:rFonts w:hint="eastAsia" w:ascii="宋体" w:hAnsi="宋体" w:cs="宋体"/>
          <w:color w:val="auto"/>
          <w:szCs w:val="28"/>
        </w:rPr>
        <w:t>七、 可中止电子交易活动的情形</w:t>
      </w:r>
      <w:r>
        <w:rPr>
          <w:color w:val="auto"/>
        </w:rPr>
        <w:tab/>
      </w:r>
      <w:r>
        <w:rPr>
          <w:color w:val="auto"/>
        </w:rPr>
        <w:fldChar w:fldCharType="begin"/>
      </w:r>
      <w:r>
        <w:rPr>
          <w:color w:val="auto"/>
        </w:rPr>
        <w:instrText xml:space="preserve"> PAGEREF _Toc28082 \h </w:instrText>
      </w:r>
      <w:r>
        <w:rPr>
          <w:color w:val="auto"/>
        </w:rPr>
        <w:fldChar w:fldCharType="separate"/>
      </w:r>
      <w:r>
        <w:rPr>
          <w:color w:val="auto"/>
        </w:rPr>
        <w:t>20</w:t>
      </w:r>
      <w:r>
        <w:rPr>
          <w:color w:val="auto"/>
        </w:rPr>
        <w:fldChar w:fldCharType="end"/>
      </w:r>
      <w:r>
        <w:rPr>
          <w:color w:val="auto"/>
        </w:rPr>
        <w:fldChar w:fldCharType="end"/>
      </w:r>
    </w:p>
    <w:p>
      <w:pPr>
        <w:pStyle w:val="29"/>
        <w:tabs>
          <w:tab w:val="right" w:leader="dot" w:pos="9638"/>
          <w:tab w:val="clear" w:pos="9628"/>
        </w:tabs>
        <w:rPr>
          <w:color w:val="auto"/>
        </w:rPr>
      </w:pPr>
      <w:r>
        <w:rPr>
          <w:color w:val="auto"/>
        </w:rPr>
        <w:fldChar w:fldCharType="begin"/>
      </w:r>
      <w:r>
        <w:rPr>
          <w:color w:val="auto"/>
        </w:rPr>
        <w:instrText xml:space="preserve"> HYPERLINK \l "_Toc12414" </w:instrText>
      </w:r>
      <w:r>
        <w:rPr>
          <w:color w:val="auto"/>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_Toc12414 \h </w:instrText>
      </w:r>
      <w:r>
        <w:rPr>
          <w:color w:val="auto"/>
        </w:rPr>
        <w:fldChar w:fldCharType="separate"/>
      </w:r>
      <w:r>
        <w:rPr>
          <w:color w:val="auto"/>
        </w:rPr>
        <w:t>21</w:t>
      </w:r>
      <w:r>
        <w:rPr>
          <w:color w:val="auto"/>
        </w:rPr>
        <w:fldChar w:fldCharType="end"/>
      </w:r>
      <w:r>
        <w:rPr>
          <w:color w:val="auto"/>
        </w:rPr>
        <w:fldChar w:fldCharType="end"/>
      </w:r>
    </w:p>
    <w:p>
      <w:pPr>
        <w:pStyle w:val="29"/>
        <w:tabs>
          <w:tab w:val="right" w:leader="dot" w:pos="9638"/>
          <w:tab w:val="clear" w:pos="9628"/>
        </w:tabs>
        <w:rPr>
          <w:color w:val="auto"/>
        </w:rPr>
      </w:pPr>
      <w:r>
        <w:rPr>
          <w:color w:val="auto"/>
        </w:rPr>
        <w:fldChar w:fldCharType="begin"/>
      </w:r>
      <w:r>
        <w:rPr>
          <w:color w:val="auto"/>
        </w:rPr>
        <w:instrText xml:space="preserve"> HYPERLINK \l "_Toc4063" </w:instrText>
      </w:r>
      <w:r>
        <w:rPr>
          <w:color w:val="auto"/>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_Toc4063 \h </w:instrText>
      </w:r>
      <w:r>
        <w:rPr>
          <w:color w:val="auto"/>
        </w:rPr>
        <w:fldChar w:fldCharType="separate"/>
      </w:r>
      <w:r>
        <w:rPr>
          <w:color w:val="auto"/>
        </w:rPr>
        <w:t>25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"_Toc26723" </w:instrText>
      </w:r>
      <w:r>
        <w:rPr>
          <w:color w:val="auto"/>
        </w:rPr>
        <w:fldChar w:fldCharType="separate"/>
      </w:r>
      <w:r>
        <w:rPr>
          <w:rFonts w:hint="eastAsia" w:ascii="宋体" w:hAnsi="宋体" w:cs="宋体"/>
          <w:color w:val="auto"/>
        </w:rPr>
        <w:t>附件一 投标函</w:t>
      </w:r>
      <w:r>
        <w:rPr>
          <w:color w:val="auto"/>
        </w:rPr>
        <w:tab/>
      </w:r>
      <w:r>
        <w:rPr>
          <w:color w:val="auto"/>
        </w:rPr>
        <w:fldChar w:fldCharType="begin"/>
      </w:r>
      <w:r>
        <w:rPr>
          <w:color w:val="auto"/>
        </w:rPr>
        <w:instrText xml:space="preserve"> PAGEREF _Toc26723 \h </w:instrText>
      </w:r>
      <w:r>
        <w:rPr>
          <w:color w:val="auto"/>
        </w:rPr>
        <w:fldChar w:fldCharType="separate"/>
      </w:r>
      <w:r>
        <w:rPr>
          <w:color w:val="auto"/>
        </w:rPr>
        <w:t>25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"_Toc28942" </w:instrText>
      </w:r>
      <w:r>
        <w:rPr>
          <w:color w:val="auto"/>
        </w:rPr>
        <w:fldChar w:fldCharType="separate"/>
      </w:r>
      <w:r>
        <w:rPr>
          <w:rFonts w:hint="eastAsia" w:ascii="宋体" w:hAnsi="宋体" w:cs="宋体"/>
          <w:color w:val="auto"/>
        </w:rPr>
        <w:t>附件二 投标报价一览表</w:t>
      </w:r>
      <w:r>
        <w:rPr>
          <w:color w:val="auto"/>
        </w:rPr>
        <w:tab/>
      </w:r>
      <w:r>
        <w:rPr>
          <w:color w:val="auto"/>
        </w:rPr>
        <w:fldChar w:fldCharType="begin"/>
      </w:r>
      <w:r>
        <w:rPr>
          <w:color w:val="auto"/>
        </w:rPr>
        <w:instrText xml:space="preserve"> PAGEREF _Toc28942 \h </w:instrText>
      </w:r>
      <w:r>
        <w:rPr>
          <w:color w:val="auto"/>
        </w:rPr>
        <w:fldChar w:fldCharType="separate"/>
      </w:r>
      <w:r>
        <w:rPr>
          <w:color w:val="auto"/>
        </w:rPr>
        <w:t>26</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"_Toc32212" </w:instrText>
      </w:r>
      <w:r>
        <w:rPr>
          <w:color w:val="auto"/>
        </w:rPr>
        <w:fldChar w:fldCharType="separate"/>
      </w:r>
      <w:r>
        <w:rPr>
          <w:rFonts w:hint="eastAsia" w:ascii="宋体" w:hAnsi="宋体"/>
          <w:color w:val="auto"/>
        </w:rPr>
        <w:t>附件三 投标分项报价表</w:t>
      </w:r>
      <w:r>
        <w:rPr>
          <w:color w:val="auto"/>
        </w:rPr>
        <w:tab/>
      </w:r>
      <w:r>
        <w:rPr>
          <w:color w:val="auto"/>
        </w:rPr>
        <w:fldChar w:fldCharType="begin"/>
      </w:r>
      <w:r>
        <w:rPr>
          <w:color w:val="auto"/>
        </w:rPr>
        <w:instrText xml:space="preserve"> PAGEREF _Toc32212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"_Toc2784" </w:instrText>
      </w:r>
      <w:r>
        <w:rPr>
          <w:color w:val="auto"/>
        </w:rPr>
        <w:fldChar w:fldCharType="separate"/>
      </w:r>
      <w:r>
        <w:rPr>
          <w:rFonts w:hint="eastAsia" w:ascii="宋体" w:hAnsi="宋体"/>
          <w:color w:val="auto"/>
        </w:rPr>
        <w:t>附件四 资格证明文件</w:t>
      </w:r>
      <w:r>
        <w:rPr>
          <w:color w:val="auto"/>
        </w:rPr>
        <w:tab/>
      </w:r>
      <w:r>
        <w:rPr>
          <w:color w:val="auto"/>
        </w:rPr>
        <w:fldChar w:fldCharType="begin"/>
      </w:r>
      <w:r>
        <w:rPr>
          <w:color w:val="auto"/>
        </w:rPr>
        <w:instrText xml:space="preserve"> PAGEREF _Toc2784 \h </w:instrText>
      </w:r>
      <w:r>
        <w:rPr>
          <w:color w:val="auto"/>
        </w:rPr>
        <w:fldChar w:fldCharType="separate"/>
      </w:r>
      <w:r>
        <w:rPr>
          <w:color w:val="auto"/>
        </w:rPr>
        <w:t>28</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"_Toc4756" </w:instrText>
      </w:r>
      <w:r>
        <w:rPr>
          <w:color w:val="auto"/>
        </w:rPr>
        <w:fldChar w:fldCharType="separate"/>
      </w:r>
      <w:r>
        <w:rPr>
          <w:rFonts w:hint="eastAsia" w:ascii="宋体" w:hAnsi="宋体" w:cs="宋体"/>
          <w:color w:val="auto"/>
        </w:rPr>
        <w:t>附件五 商务条款、技术规格偏离表</w:t>
      </w:r>
      <w:r>
        <w:rPr>
          <w:color w:val="auto"/>
        </w:rPr>
        <w:tab/>
      </w:r>
      <w:r>
        <w:rPr>
          <w:color w:val="auto"/>
        </w:rPr>
        <w:fldChar w:fldCharType="begin"/>
      </w:r>
      <w:r>
        <w:rPr>
          <w:color w:val="auto"/>
        </w:rPr>
        <w:instrText xml:space="preserve"> PAGEREF _Toc4756 \h </w:instrText>
      </w:r>
      <w:r>
        <w:rPr>
          <w:color w:val="auto"/>
        </w:rPr>
        <w:fldChar w:fldCharType="separate"/>
      </w:r>
      <w:r>
        <w:rPr>
          <w:color w:val="auto"/>
        </w:rPr>
        <w:t>32</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"_Toc21537" </w:instrText>
      </w:r>
      <w:r>
        <w:rPr>
          <w:color w:val="auto"/>
        </w:rPr>
        <w:fldChar w:fldCharType="separate"/>
      </w:r>
      <w:r>
        <w:rPr>
          <w:rFonts w:hint="eastAsia" w:ascii="宋体" w:hAnsi="宋体" w:cs="宋体"/>
          <w:color w:val="auto"/>
        </w:rPr>
        <w:t xml:space="preserve">附件六 </w:t>
      </w:r>
      <w:r>
        <w:rPr>
          <w:rFonts w:hint="eastAsia" w:ascii="宋体" w:hAnsi="宋体"/>
          <w:color w:val="auto"/>
        </w:rPr>
        <w:t>货物成套供货清单</w:t>
      </w:r>
      <w:r>
        <w:rPr>
          <w:color w:val="auto"/>
        </w:rPr>
        <w:tab/>
      </w:r>
      <w:r>
        <w:rPr>
          <w:color w:val="auto"/>
        </w:rPr>
        <w:fldChar w:fldCharType="begin"/>
      </w:r>
      <w:r>
        <w:rPr>
          <w:color w:val="auto"/>
        </w:rPr>
        <w:instrText xml:space="preserve"> PAGEREF _Toc21537 \h </w:instrText>
      </w:r>
      <w:r>
        <w:rPr>
          <w:color w:val="auto"/>
        </w:rPr>
        <w:fldChar w:fldCharType="separate"/>
      </w:r>
      <w:r>
        <w:rPr>
          <w:color w:val="auto"/>
        </w:rPr>
        <w:t>33</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"_Toc5613" </w:instrText>
      </w:r>
      <w:r>
        <w:rPr>
          <w:color w:val="auto"/>
        </w:rPr>
        <w:fldChar w:fldCharType="separate"/>
      </w:r>
      <w:r>
        <w:rPr>
          <w:rFonts w:hint="eastAsia" w:ascii="宋体" w:hAnsi="宋体" w:cs="宋体"/>
          <w:color w:val="auto"/>
        </w:rPr>
        <w:t>附件七 同类项目业绩一览表</w:t>
      </w:r>
      <w:r>
        <w:rPr>
          <w:color w:val="auto"/>
        </w:rPr>
        <w:tab/>
      </w:r>
      <w:r>
        <w:rPr>
          <w:color w:val="auto"/>
        </w:rPr>
        <w:fldChar w:fldCharType="begin"/>
      </w:r>
      <w:r>
        <w:rPr>
          <w:color w:val="auto"/>
        </w:rPr>
        <w:instrText xml:space="preserve"> PAGEREF _Toc5613 \h </w:instrText>
      </w:r>
      <w:r>
        <w:rPr>
          <w:color w:val="auto"/>
        </w:rPr>
        <w:fldChar w:fldCharType="separate"/>
      </w:r>
      <w:r>
        <w:rPr>
          <w:color w:val="auto"/>
        </w:rPr>
        <w:t>34</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"_Toc19422" </w:instrText>
      </w:r>
      <w:r>
        <w:rPr>
          <w:color w:val="auto"/>
        </w:rPr>
        <w:fldChar w:fldCharType="separate"/>
      </w:r>
      <w:r>
        <w:rPr>
          <w:rFonts w:ascii="宋体" w:hAnsi="宋体"/>
          <w:color w:val="auto"/>
        </w:rPr>
        <w:t>附件</w:t>
      </w:r>
      <w:r>
        <w:rPr>
          <w:rFonts w:hint="eastAsia" w:ascii="宋体" w:hAnsi="宋体"/>
          <w:color w:val="auto"/>
        </w:rPr>
        <w:t>八 政府采购政策功能相关说明</w:t>
      </w:r>
      <w:r>
        <w:rPr>
          <w:color w:val="auto"/>
        </w:rPr>
        <w:tab/>
      </w:r>
      <w:r>
        <w:rPr>
          <w:color w:val="auto"/>
        </w:rPr>
        <w:fldChar w:fldCharType="begin"/>
      </w:r>
      <w:r>
        <w:rPr>
          <w:color w:val="auto"/>
        </w:rPr>
        <w:instrText xml:space="preserve"> PAGEREF _Toc19422 \h </w:instrText>
      </w:r>
      <w:r>
        <w:rPr>
          <w:color w:val="auto"/>
        </w:rPr>
        <w:fldChar w:fldCharType="separate"/>
      </w:r>
      <w:r>
        <w:rPr>
          <w:color w:val="auto"/>
        </w:rPr>
        <w:t>35</w:t>
      </w:r>
      <w:r>
        <w:rPr>
          <w:color w:val="auto"/>
        </w:rPr>
        <w:fldChar w:fldCharType="end"/>
      </w:r>
      <w:r>
        <w:rPr>
          <w:color w:val="auto"/>
        </w:rPr>
        <w:fldChar w:fldCharType="end"/>
      </w:r>
    </w:p>
    <w:p>
      <w:pPr>
        <w:pStyle w:val="29"/>
        <w:tabs>
          <w:tab w:val="right" w:leader="dot" w:pos="9638"/>
          <w:tab w:val="clear" w:pos="9628"/>
        </w:tabs>
        <w:rPr>
          <w:color w:val="auto"/>
        </w:rPr>
      </w:pPr>
      <w:r>
        <w:rPr>
          <w:color w:val="auto"/>
        </w:rPr>
        <w:fldChar w:fldCharType="begin"/>
      </w:r>
      <w:r>
        <w:rPr>
          <w:color w:val="auto"/>
        </w:rPr>
        <w:instrText xml:space="preserve"> HYPERLINK \l "_Toc19456" </w:instrText>
      </w:r>
      <w:r>
        <w:rPr>
          <w:color w:val="auto"/>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_Toc19456 \h </w:instrText>
      </w:r>
      <w:r>
        <w:rPr>
          <w:color w:val="auto"/>
        </w:rPr>
        <w:fldChar w:fldCharType="separate"/>
      </w:r>
      <w:r>
        <w:rPr>
          <w:color w:val="auto"/>
        </w:rPr>
        <w:t>41</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"_Toc27120" </w:instrText>
      </w:r>
      <w:r>
        <w:rPr>
          <w:color w:val="auto"/>
        </w:rPr>
        <w:fldChar w:fldCharType="separate"/>
      </w:r>
      <w:r>
        <w:rPr>
          <w:rFonts w:hint="eastAsia" w:ascii="宋体" w:hAnsi="宋体"/>
          <w:color w:val="auto"/>
          <w:szCs w:val="28"/>
        </w:rPr>
        <w:t>一、相关说明</w:t>
      </w:r>
      <w:r>
        <w:rPr>
          <w:color w:val="auto"/>
        </w:rPr>
        <w:tab/>
      </w:r>
      <w:r>
        <w:rPr>
          <w:color w:val="auto"/>
        </w:rPr>
        <w:fldChar w:fldCharType="begin"/>
      </w:r>
      <w:r>
        <w:rPr>
          <w:color w:val="auto"/>
        </w:rPr>
        <w:instrText xml:space="preserve"> PAGEREF _Toc27120 \h </w:instrText>
      </w:r>
      <w:r>
        <w:rPr>
          <w:color w:val="auto"/>
        </w:rPr>
        <w:fldChar w:fldCharType="separate"/>
      </w:r>
      <w:r>
        <w:rPr>
          <w:color w:val="auto"/>
        </w:rPr>
        <w:t>41</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"_Toc26765" </w:instrText>
      </w:r>
      <w:r>
        <w:rPr>
          <w:color w:val="auto"/>
        </w:rPr>
        <w:fldChar w:fldCharType="separate"/>
      </w:r>
      <w:r>
        <w:rPr>
          <w:rFonts w:hint="eastAsia" w:ascii="宋体" w:hAnsi="宋体"/>
          <w:color w:val="auto"/>
          <w:szCs w:val="28"/>
        </w:rPr>
        <w:t>二、 采购内容及要求</w:t>
      </w:r>
      <w:r>
        <w:rPr>
          <w:color w:val="auto"/>
        </w:rPr>
        <w:tab/>
      </w:r>
      <w:r>
        <w:rPr>
          <w:color w:val="auto"/>
        </w:rPr>
        <w:fldChar w:fldCharType="begin"/>
      </w:r>
      <w:r>
        <w:rPr>
          <w:color w:val="auto"/>
        </w:rPr>
        <w:instrText xml:space="preserve"> PAGEREF _Toc26765 \h </w:instrText>
      </w:r>
      <w:r>
        <w:rPr>
          <w:color w:val="auto"/>
        </w:rPr>
        <w:fldChar w:fldCharType="separate"/>
      </w:r>
      <w:r>
        <w:rPr>
          <w:color w:val="auto"/>
        </w:rPr>
        <w:t>41</w:t>
      </w:r>
      <w:r>
        <w:rPr>
          <w:color w:val="auto"/>
        </w:rPr>
        <w:fldChar w:fldCharType="end"/>
      </w:r>
      <w:r>
        <w:rPr>
          <w:color w:val="auto"/>
        </w:rPr>
        <w:fldChar w:fldCharType="end"/>
      </w:r>
    </w:p>
    <w:p>
      <w:pPr>
        <w:pStyle w:val="29"/>
        <w:tabs>
          <w:tab w:val="right" w:leader="dot" w:pos="9638"/>
          <w:tab w:val="clear" w:pos="9628"/>
        </w:tabs>
        <w:rPr>
          <w:color w:val="auto"/>
        </w:rPr>
      </w:pPr>
      <w:r>
        <w:rPr>
          <w:color w:val="auto"/>
        </w:rPr>
        <w:fldChar w:fldCharType="begin"/>
      </w:r>
      <w:r>
        <w:rPr>
          <w:color w:val="auto"/>
        </w:rPr>
        <w:instrText xml:space="preserve"> HYPERLINK \l "_Toc2331" </w:instrText>
      </w:r>
      <w:r>
        <w:rPr>
          <w:color w:val="auto"/>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_Toc2331 \h </w:instrText>
      </w:r>
      <w:r>
        <w:rPr>
          <w:color w:val="auto"/>
        </w:rPr>
        <w:fldChar w:fldCharType="separate"/>
      </w:r>
      <w:r>
        <w:rPr>
          <w:color w:val="auto"/>
        </w:rPr>
        <w:t>67</w:t>
      </w:r>
      <w:r>
        <w:rPr>
          <w:color w:val="auto"/>
        </w:rPr>
        <w:fldChar w:fldCharType="end"/>
      </w:r>
      <w:r>
        <w:rPr>
          <w:color w:val="auto"/>
        </w:rPr>
        <w:fldChar w:fldCharType="end"/>
      </w:r>
    </w:p>
    <w:p>
      <w:pPr>
        <w:ind w:right="110"/>
        <w:rPr>
          <w:rFonts w:ascii="宋体" w:hAnsi="宋体" w:cs="宋体"/>
          <w:bCs/>
          <w:caps/>
          <w:color w:val="auto"/>
          <w:szCs w:val="21"/>
        </w:rPr>
      </w:pPr>
      <w:r>
        <w:rPr>
          <w:rFonts w:hint="eastAsia" w:ascii="宋体" w:hAnsi="宋体" w:cs="宋体"/>
          <w:bCs/>
          <w:caps/>
          <w:color w:val="auto"/>
          <w:szCs w:val="21"/>
        </w:rPr>
        <w:fldChar w:fldCharType="end"/>
      </w:r>
    </w:p>
    <w:p>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pStyle w:val="35"/>
        <w:ind w:left="420" w:firstLine="480"/>
        <w:rPr>
          <w:color w:val="auto"/>
        </w:rPr>
      </w:pPr>
    </w:p>
    <w:p>
      <w:pPr>
        <w:pStyle w:val="19"/>
        <w:ind w:firstLine="210"/>
        <w:rPr>
          <w:color w:val="auto"/>
        </w:rPr>
      </w:pPr>
    </w:p>
    <w:p>
      <w:pPr>
        <w:pStyle w:val="35"/>
        <w:ind w:left="420" w:firstLine="480"/>
        <w:rPr>
          <w:color w:val="auto"/>
        </w:rPr>
      </w:pPr>
    </w:p>
    <w:p>
      <w:pPr>
        <w:rPr>
          <w:rFonts w:ascii="黑体" w:hAnsi="黑体" w:eastAsia="黑体"/>
          <w:bCs/>
          <w:color w:val="auto"/>
          <w:sz w:val="36"/>
          <w:szCs w:val="36"/>
        </w:rPr>
      </w:pPr>
    </w:p>
    <w:p>
      <w:pPr>
        <w:rPr>
          <w:rFonts w:ascii="黑体" w:hAnsi="黑体" w:eastAsia="黑体"/>
          <w:bCs/>
          <w:color w:val="auto"/>
          <w:sz w:val="36"/>
          <w:szCs w:val="36"/>
        </w:rPr>
      </w:pPr>
      <w:bookmarkStart w:id="2" w:name="_Toc507"/>
      <w:r>
        <w:rPr>
          <w:rFonts w:hint="eastAsia" w:ascii="黑体" w:hAnsi="黑体" w:eastAsia="黑体"/>
          <w:bCs/>
          <w:color w:val="auto"/>
          <w:sz w:val="36"/>
          <w:szCs w:val="36"/>
        </w:rPr>
        <w:br w:type="page"/>
      </w:r>
    </w:p>
    <w:p>
      <w:pPr>
        <w:pStyle w:val="3"/>
        <w:spacing w:line="600" w:lineRule="exact"/>
        <w:jc w:val="center"/>
        <w:rPr>
          <w:rFonts w:ascii="黑体" w:hAnsi="黑体" w:eastAsia="黑体"/>
          <w:bCs/>
          <w:color w:val="auto"/>
          <w:sz w:val="36"/>
          <w:szCs w:val="36"/>
        </w:rPr>
      </w:pPr>
      <w:r>
        <w:rPr>
          <w:rFonts w:hint="eastAsia" w:ascii="黑体" w:hAnsi="黑体" w:eastAsia="黑体"/>
          <w:bCs/>
          <w:color w:val="auto"/>
          <w:sz w:val="36"/>
          <w:szCs w:val="36"/>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rPr>
        <w:t>智能制造领域中外人文交流人才培养基地（一期）</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4"/>
          <w:rFonts w:hint="eastAsia" w:ascii="宋体" w:hAnsi="宋体"/>
          <w:color w:val="auto"/>
          <w:sz w:val="22"/>
          <w:szCs w:val="22"/>
        </w:rPr>
        <w:t>https://www.zcygov.cn）获取（下载）招标文件，并于</w:t>
      </w:r>
      <w:r>
        <w:rPr>
          <w:rStyle w:val="44"/>
          <w:rFonts w:ascii="宋体" w:hAnsi="宋体"/>
          <w:color w:val="auto"/>
          <w:sz w:val="22"/>
          <w:szCs w:val="22"/>
        </w:rPr>
        <w:t>2023</w:t>
      </w:r>
      <w:r>
        <w:rPr>
          <w:rStyle w:val="44"/>
          <w:rFonts w:hint="eastAsia" w:ascii="宋体" w:hAnsi="宋体"/>
          <w:bCs/>
          <w:color w:val="auto"/>
          <w:sz w:val="22"/>
          <w:szCs w:val="22"/>
        </w:rPr>
        <w:t>年</w:t>
      </w:r>
      <w:r>
        <w:rPr>
          <w:rStyle w:val="44"/>
          <w:rFonts w:hint="eastAsia" w:ascii="宋体" w:hAnsi="宋体"/>
          <w:bCs/>
          <w:color w:val="auto"/>
          <w:sz w:val="22"/>
          <w:szCs w:val="22"/>
        </w:rPr>
        <w:fldChar w:fldCharType="end"/>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08</w:t>
      </w:r>
      <w:r>
        <w:rPr>
          <w:rFonts w:hint="eastAsia" w:ascii="宋体" w:hAnsi="宋体"/>
          <w:bCs/>
          <w:color w:val="auto"/>
          <w:sz w:val="22"/>
          <w:szCs w:val="22"/>
          <w:u w:val="single"/>
        </w:rPr>
        <w:t xml:space="preserve"> </w:t>
      </w:r>
      <w:r>
        <w:rPr>
          <w:rFonts w:hint="eastAsia" w:ascii="宋体" w:hAnsi="宋体"/>
          <w:bCs/>
          <w:color w:val="auto"/>
          <w:sz w:val="22"/>
          <w:szCs w:val="22"/>
        </w:rPr>
        <w:t>月</w:t>
      </w:r>
      <w:r>
        <w:rPr>
          <w:rFonts w:hint="eastAsia" w:ascii="宋体" w:hAnsi="宋体"/>
          <w:bCs/>
          <w:color w:val="auto"/>
          <w:sz w:val="22"/>
          <w:szCs w:val="22"/>
          <w:u w:val="single"/>
        </w:rPr>
        <w:t xml:space="preserve"> </w:t>
      </w:r>
      <w:r>
        <w:rPr>
          <w:rFonts w:hint="eastAsia" w:ascii="宋体" w:hAnsi="宋体"/>
          <w:bCs/>
          <w:color w:val="auto"/>
          <w:sz w:val="22"/>
          <w:szCs w:val="22"/>
          <w:u w:val="single"/>
          <w:lang w:val="en-US" w:eastAsia="zh-CN"/>
        </w:rPr>
        <w:t>25</w:t>
      </w:r>
      <w:r>
        <w:rPr>
          <w:rFonts w:hint="eastAsia" w:ascii="宋体" w:hAnsi="宋体"/>
          <w:bCs/>
          <w:color w:val="auto"/>
          <w:sz w:val="22"/>
          <w:szCs w:val="22"/>
          <w:u w:val="single"/>
        </w:rPr>
        <w:t xml:space="preserve"> </w:t>
      </w:r>
      <w:r>
        <w:rPr>
          <w:rFonts w:hint="eastAsia" w:ascii="宋体" w:hAnsi="宋体"/>
          <w:bCs/>
          <w:color w:val="auto"/>
          <w:sz w:val="22"/>
          <w:szCs w:val="22"/>
        </w:rPr>
        <w:t>日</w:t>
      </w:r>
      <w:r>
        <w:rPr>
          <w:rFonts w:hint="eastAsia" w:ascii="宋体" w:hAnsi="宋体"/>
          <w:bCs/>
          <w:color w:val="auto"/>
          <w:sz w:val="22"/>
          <w:szCs w:val="22"/>
          <w:u w:val="single"/>
          <w:lang w:val="en-US" w:eastAsia="zh-CN"/>
        </w:rPr>
        <w:t>14</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pPr>
        <w:widowControl/>
        <w:spacing w:line="440" w:lineRule="exact"/>
        <w:rPr>
          <w:rFonts w:ascii="宋体" w:hAnsi="宋体" w:cs="宋体"/>
          <w:b/>
          <w:color w:val="auto"/>
          <w:sz w:val="22"/>
          <w:szCs w:val="22"/>
        </w:rPr>
      </w:pPr>
      <w:bookmarkStart w:id="3" w:name="_Toc28359079"/>
      <w:bookmarkStart w:id="4" w:name="_Toc35393790"/>
      <w:bookmarkStart w:id="5" w:name="_Toc28359002"/>
      <w:bookmarkStart w:id="6" w:name="_Toc35393621"/>
      <w:bookmarkStart w:id="7" w:name="_Hlk24379207"/>
      <w:r>
        <w:rPr>
          <w:rFonts w:hint="eastAsia" w:ascii="宋体" w:hAnsi="宋体" w:cs="宋体"/>
          <w:b/>
          <w:color w:val="auto"/>
          <w:sz w:val="22"/>
          <w:szCs w:val="22"/>
        </w:rPr>
        <w:t>一、项目基本情况</w:t>
      </w:r>
      <w:bookmarkEnd w:id="3"/>
      <w:bookmarkEnd w:id="4"/>
      <w:bookmarkEnd w:id="5"/>
      <w:bookmarkEnd w:id="6"/>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项目编号：WZZF2023(ZC)-07-173（GK）</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项目名称：智能制造领域中外人文交流人才培养基地（一期）</w:t>
      </w:r>
    </w:p>
    <w:bookmarkEnd w:id="7"/>
    <w:p>
      <w:pPr>
        <w:spacing w:line="440" w:lineRule="exact"/>
        <w:ind w:firstLine="440" w:firstLineChars="200"/>
        <w:rPr>
          <w:rFonts w:ascii="宋体" w:hAnsi="宋体"/>
          <w:color w:val="auto"/>
          <w:sz w:val="22"/>
          <w:szCs w:val="22"/>
        </w:rPr>
      </w:pPr>
      <w:r>
        <w:rPr>
          <w:rFonts w:hint="eastAsia" w:ascii="宋体" w:hAnsi="宋体"/>
          <w:color w:val="auto"/>
          <w:sz w:val="22"/>
          <w:szCs w:val="22"/>
        </w:rPr>
        <w:t>预算金额（元）：1500000</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最高限价（元）：1500000</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标项名称：智能制造领域中外人文交流人才培养基地（一期）</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预算金额（元）：1500000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简要规格描述或项目基本概况介绍、用途：浙江安防职业技术学院智能制造领域中外人文交流人才培养基地（一期）采购，包括货物的</w:t>
      </w:r>
      <w:r>
        <w:rPr>
          <w:rFonts w:hint="eastAsia" w:ascii="宋体" w:hAnsi="宋体" w:cs="宋体"/>
          <w:color w:val="auto"/>
          <w:sz w:val="22"/>
          <w:szCs w:val="22"/>
        </w:rPr>
        <w:t>供货、安装、调试、实训室环境改造等内容，</w:t>
      </w:r>
      <w:r>
        <w:rPr>
          <w:rFonts w:hint="eastAsia" w:ascii="宋体" w:hAnsi="宋体"/>
          <w:color w:val="auto"/>
          <w:sz w:val="22"/>
          <w:szCs w:val="22"/>
        </w:rPr>
        <w:t>详见招标文件第</w:t>
      </w:r>
      <w:r>
        <w:rPr>
          <w:rFonts w:hint="eastAsia" w:ascii="宋体" w:hAnsi="宋体"/>
          <w:color w:val="auto"/>
          <w:sz w:val="22"/>
          <w:szCs w:val="22"/>
          <w:lang w:val="en-US" w:eastAsia="zh-CN"/>
        </w:rPr>
        <w:t>五</w:t>
      </w:r>
      <w:r>
        <w:rPr>
          <w:rFonts w:hint="eastAsia" w:ascii="宋体" w:hAnsi="宋体"/>
          <w:color w:val="auto"/>
          <w:sz w:val="22"/>
          <w:szCs w:val="22"/>
        </w:rPr>
        <w:t>部分。</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合同签订后30天内完成全部设备的</w:t>
      </w:r>
      <w:r>
        <w:rPr>
          <w:rFonts w:hint="eastAsia" w:ascii="宋体" w:hAnsi="宋体" w:cs="宋体"/>
          <w:color w:val="auto"/>
          <w:sz w:val="22"/>
          <w:szCs w:val="22"/>
        </w:rPr>
        <w:t>供货、安装、调试及实训室改造</w:t>
      </w:r>
      <w:r>
        <w:rPr>
          <w:rFonts w:hint="eastAsia" w:ascii="宋体" w:hAnsi="宋体" w:cs="宋体"/>
          <w:color w:val="auto"/>
          <w:sz w:val="22"/>
        </w:rPr>
        <w:t>，由采购人进行验收</w:t>
      </w:r>
      <w:r>
        <w:rPr>
          <w:rFonts w:hint="eastAsia" w:ascii="宋体" w:hAnsi="宋体" w:cs="宋体"/>
          <w:color w:val="auto"/>
          <w:sz w:val="22"/>
          <w:szCs w:val="22"/>
        </w:rPr>
        <w:t>。</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pPr>
        <w:widowControl/>
        <w:spacing w:line="440" w:lineRule="exact"/>
        <w:rPr>
          <w:rFonts w:ascii="宋体" w:hAnsi="宋体" w:cs="宋体"/>
          <w:b/>
          <w:color w:val="auto"/>
          <w:sz w:val="22"/>
          <w:szCs w:val="22"/>
        </w:rPr>
      </w:pPr>
      <w:bookmarkStart w:id="8" w:name="_Toc28359003"/>
      <w:bookmarkStart w:id="9" w:name="_Toc35393791"/>
      <w:bookmarkStart w:id="10" w:name="_Toc35393622"/>
      <w:bookmarkStart w:id="11" w:name="_Toc28359080"/>
      <w:r>
        <w:rPr>
          <w:rFonts w:hint="eastAsia" w:ascii="宋体" w:hAnsi="宋体" w:cs="宋体"/>
          <w:b/>
          <w:color w:val="auto"/>
          <w:sz w:val="22"/>
          <w:szCs w:val="22"/>
        </w:rPr>
        <w:t>二、申请人的资格要求：</w:t>
      </w:r>
      <w:bookmarkEnd w:id="8"/>
      <w:bookmarkEnd w:id="9"/>
      <w:bookmarkEnd w:id="10"/>
      <w:bookmarkEnd w:id="11"/>
    </w:p>
    <w:p>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ascii="宋体" w:hAnsi="宋体"/>
          <w:color w:val="auto"/>
          <w:sz w:val="22"/>
          <w:szCs w:val="22"/>
          <w:u w:val="single"/>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w:t>
      </w:r>
      <w:r>
        <w:rPr>
          <w:rFonts w:hint="eastAsia" w:ascii="宋体" w:hAnsi="宋体" w:cs="宋体"/>
          <w:color w:val="auto"/>
          <w:szCs w:val="22"/>
          <w:lang w:bidi="ar"/>
        </w:rPr>
        <w:t>供应商为中小企业/小微企业</w:t>
      </w:r>
      <w:r>
        <w:rPr>
          <w:rFonts w:hint="eastAsia" w:ascii="宋体" w:hAnsi="宋体"/>
          <w:color w:val="auto"/>
          <w:sz w:val="22"/>
          <w:szCs w:val="22"/>
        </w:rPr>
        <w:t>；</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pPr>
        <w:widowControl/>
        <w:spacing w:line="440" w:lineRule="exact"/>
        <w:rPr>
          <w:rFonts w:ascii="宋体" w:hAnsi="宋体" w:cs="宋体"/>
          <w:b/>
          <w:color w:val="auto"/>
          <w:sz w:val="22"/>
          <w:szCs w:val="22"/>
        </w:rPr>
      </w:pPr>
      <w:bookmarkStart w:id="14" w:name="_Toc35393623"/>
      <w:bookmarkStart w:id="15" w:name="_Toc35393792"/>
      <w:r>
        <w:rPr>
          <w:rFonts w:hint="eastAsia" w:ascii="宋体" w:hAnsi="宋体" w:cs="宋体"/>
          <w:b/>
          <w:color w:val="auto"/>
          <w:sz w:val="22"/>
          <w:szCs w:val="22"/>
        </w:rPr>
        <w:t>三、获取招标文件</w:t>
      </w:r>
      <w:bookmarkEnd w:id="12"/>
      <w:bookmarkEnd w:id="13"/>
      <w:bookmarkEnd w:id="14"/>
      <w:bookmarkEnd w:id="15"/>
    </w:p>
    <w:p>
      <w:pPr>
        <w:pStyle w:val="32"/>
        <w:spacing w:before="75" w:beforeAutospacing="0" w:after="75" w:afterAutospacing="0" w:line="440" w:lineRule="exact"/>
        <w:ind w:firstLine="440" w:firstLineChars="200"/>
        <w:rPr>
          <w:color w:val="auto"/>
          <w:sz w:val="22"/>
          <w:szCs w:val="22"/>
        </w:rPr>
      </w:pPr>
      <w:r>
        <w:rPr>
          <w:rFonts w:hint="eastAsia"/>
          <w:color w:val="auto"/>
          <w:sz w:val="22"/>
          <w:szCs w:val="22"/>
        </w:rPr>
        <w:t>时间：/ 至2023年</w:t>
      </w:r>
      <w:r>
        <w:rPr>
          <w:rFonts w:hint="eastAsia"/>
          <w:color w:val="auto"/>
          <w:sz w:val="22"/>
          <w:szCs w:val="22"/>
          <w:u w:val="single"/>
        </w:rPr>
        <w:t xml:space="preserve"> </w:t>
      </w:r>
      <w:r>
        <w:rPr>
          <w:rFonts w:hint="eastAsia"/>
          <w:color w:val="auto"/>
          <w:sz w:val="22"/>
          <w:szCs w:val="22"/>
          <w:u w:val="single"/>
          <w:lang w:val="en-US" w:eastAsia="zh-CN"/>
        </w:rPr>
        <w:t>08</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25</w:t>
      </w:r>
      <w:r>
        <w:rPr>
          <w:rFonts w:hint="eastAsia"/>
          <w:color w:val="auto"/>
          <w:sz w:val="22"/>
          <w:szCs w:val="22"/>
          <w:u w:val="single"/>
        </w:rPr>
        <w:t xml:space="preserve"> </w:t>
      </w:r>
      <w:r>
        <w:rPr>
          <w:rFonts w:hint="eastAsia"/>
          <w:color w:val="auto"/>
          <w:sz w:val="22"/>
          <w:szCs w:val="22"/>
        </w:rPr>
        <w:t>日，每天上午00:00至12:00，下午12:00至23:59（北京时间，线上获取法定节假日均可，线下获取文件法定节假日除外）</w:t>
      </w:r>
    </w:p>
    <w:p>
      <w:pPr>
        <w:pStyle w:val="32"/>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pPr>
        <w:pStyle w:val="32"/>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pPr>
        <w:pStyle w:val="32"/>
        <w:spacing w:before="75" w:beforeAutospacing="0" w:after="75" w:afterAutospacing="0" w:line="440" w:lineRule="exact"/>
        <w:rPr>
          <w:color w:val="auto"/>
          <w:sz w:val="22"/>
          <w:szCs w:val="22"/>
        </w:rPr>
      </w:pPr>
      <w:r>
        <w:rPr>
          <w:rFonts w:hint="eastAsia"/>
          <w:color w:val="auto"/>
          <w:sz w:val="22"/>
          <w:szCs w:val="22"/>
        </w:rPr>
        <w:t>  售价（元）：0 </w:t>
      </w:r>
    </w:p>
    <w:p>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pPr>
        <w:pStyle w:val="32"/>
        <w:spacing w:before="75" w:beforeAutospacing="0" w:after="75" w:afterAutospacing="0" w:line="440" w:lineRule="exact"/>
        <w:rPr>
          <w:color w:val="auto"/>
          <w:sz w:val="22"/>
          <w:szCs w:val="22"/>
        </w:rPr>
      </w:pPr>
      <w:r>
        <w:rPr>
          <w:rFonts w:hint="eastAsia"/>
          <w:color w:val="auto"/>
          <w:sz w:val="22"/>
          <w:szCs w:val="22"/>
        </w:rPr>
        <w:t>   提交投标文件截止时间：2023年</w:t>
      </w:r>
      <w:r>
        <w:rPr>
          <w:rFonts w:hint="eastAsia"/>
          <w:color w:val="auto"/>
          <w:sz w:val="22"/>
          <w:szCs w:val="22"/>
          <w:u w:val="single"/>
        </w:rPr>
        <w:t xml:space="preserve"> </w:t>
      </w:r>
      <w:r>
        <w:rPr>
          <w:rFonts w:hint="eastAsia"/>
          <w:color w:val="auto"/>
          <w:sz w:val="22"/>
          <w:szCs w:val="22"/>
          <w:u w:val="single"/>
          <w:lang w:val="en-US" w:eastAsia="zh-CN"/>
        </w:rPr>
        <w:t>08</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25</w:t>
      </w:r>
      <w:r>
        <w:rPr>
          <w:rFonts w:hint="eastAsia"/>
          <w:color w:val="auto"/>
          <w:sz w:val="22"/>
          <w:szCs w:val="22"/>
          <w:u w:val="single"/>
        </w:rPr>
        <w:t xml:space="preserve"> </w:t>
      </w:r>
      <w:r>
        <w:rPr>
          <w:rFonts w:hint="eastAsia"/>
          <w:color w:val="auto"/>
          <w:sz w:val="22"/>
          <w:szCs w:val="22"/>
        </w:rPr>
        <w:t>日14:30（北京时间）</w:t>
      </w:r>
    </w:p>
    <w:p>
      <w:pPr>
        <w:pStyle w:val="32"/>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pPr>
        <w:pStyle w:val="32"/>
        <w:spacing w:before="75" w:beforeAutospacing="0" w:after="75" w:afterAutospacing="0" w:line="440" w:lineRule="exact"/>
        <w:rPr>
          <w:color w:val="auto"/>
          <w:sz w:val="22"/>
          <w:szCs w:val="22"/>
        </w:rPr>
      </w:pPr>
      <w:r>
        <w:rPr>
          <w:rFonts w:hint="eastAsia"/>
          <w:color w:val="auto"/>
          <w:sz w:val="22"/>
          <w:szCs w:val="22"/>
        </w:rPr>
        <w:t>   开标时间：2023年</w:t>
      </w:r>
      <w:r>
        <w:rPr>
          <w:rFonts w:hint="eastAsia"/>
          <w:color w:val="auto"/>
          <w:sz w:val="22"/>
          <w:szCs w:val="22"/>
          <w:u w:val="single"/>
        </w:rPr>
        <w:t xml:space="preserve"> </w:t>
      </w:r>
      <w:r>
        <w:rPr>
          <w:rFonts w:hint="eastAsia"/>
          <w:color w:val="auto"/>
          <w:sz w:val="22"/>
          <w:szCs w:val="22"/>
          <w:u w:val="single"/>
          <w:lang w:val="en-US" w:eastAsia="zh-CN"/>
        </w:rPr>
        <w:t>08</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25</w:t>
      </w:r>
      <w:r>
        <w:rPr>
          <w:rFonts w:hint="eastAsia"/>
          <w:color w:val="auto"/>
          <w:sz w:val="22"/>
          <w:szCs w:val="22"/>
          <w:u w:val="single"/>
        </w:rPr>
        <w:t xml:space="preserve"> </w:t>
      </w:r>
      <w:r>
        <w:rPr>
          <w:rFonts w:hint="eastAsia"/>
          <w:color w:val="auto"/>
          <w:sz w:val="22"/>
          <w:szCs w:val="22"/>
        </w:rPr>
        <w:t>日14:30（北京时间）</w:t>
      </w:r>
    </w:p>
    <w:p>
      <w:pPr>
        <w:pStyle w:val="32"/>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pPr>
        <w:widowControl/>
        <w:spacing w:line="440" w:lineRule="exact"/>
        <w:rPr>
          <w:rFonts w:ascii="宋体" w:hAnsi="宋体" w:cs="宋体"/>
          <w:b/>
          <w:color w:val="auto"/>
          <w:sz w:val="22"/>
          <w:szCs w:val="22"/>
        </w:rPr>
      </w:pPr>
      <w:bookmarkStart w:id="16" w:name="_Toc35393625"/>
      <w:bookmarkStart w:id="17" w:name="_Toc28359084"/>
      <w:bookmarkStart w:id="18" w:name="_Toc28359007"/>
      <w:bookmarkStart w:id="19" w:name="_Toc35393794"/>
      <w:r>
        <w:rPr>
          <w:rFonts w:hint="eastAsia" w:ascii="宋体" w:hAnsi="宋体" w:cs="宋体"/>
          <w:b/>
          <w:color w:val="auto"/>
          <w:sz w:val="22"/>
          <w:szCs w:val="22"/>
        </w:rPr>
        <w:t>五、公告期限</w:t>
      </w:r>
      <w:bookmarkEnd w:id="16"/>
      <w:bookmarkEnd w:id="17"/>
      <w:bookmarkEnd w:id="18"/>
      <w:bookmarkEnd w:id="19"/>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pPr>
        <w:widowControl/>
        <w:spacing w:line="440" w:lineRule="exact"/>
        <w:rPr>
          <w:rFonts w:ascii="宋体" w:hAnsi="宋体" w:cs="宋体"/>
          <w:b/>
          <w:color w:val="auto"/>
          <w:sz w:val="22"/>
          <w:szCs w:val="22"/>
        </w:rPr>
      </w:pPr>
      <w:bookmarkStart w:id="20" w:name="_Toc35393626"/>
      <w:bookmarkStart w:id="21" w:name="_Toc35393795"/>
      <w:r>
        <w:rPr>
          <w:rFonts w:hint="eastAsia" w:ascii="宋体" w:hAnsi="宋体" w:cs="宋体"/>
          <w:b/>
          <w:color w:val="auto"/>
          <w:sz w:val="22"/>
          <w:szCs w:val="22"/>
        </w:rPr>
        <w:t>六、其他补充事宜</w:t>
      </w:r>
      <w:bookmarkEnd w:id="20"/>
      <w:bookmarkEnd w:id="21"/>
    </w:p>
    <w:p>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https://help.zcygov.cn/web/site_2/2018/12/25/2547.html）。</w:t>
      </w:r>
    </w:p>
    <w:p>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项目联系人（询问）：赵老师</w:t>
      </w:r>
    </w:p>
    <w:p>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质疑联系人：余老师</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pPr>
        <w:widowControl/>
        <w:spacing w:line="440" w:lineRule="exact"/>
        <w:ind w:firstLine="660" w:firstLineChars="300"/>
        <w:jc w:val="left"/>
        <w:rPr>
          <w:rFonts w:ascii="宋体" w:hAnsi="宋体" w:cs="宋体"/>
          <w:color w:val="auto"/>
          <w:sz w:val="22"/>
          <w:szCs w:val="22"/>
        </w:rPr>
      </w:pP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项目联系人（询问）：刘慧聪</w:t>
      </w:r>
    </w:p>
    <w:p>
      <w:pPr>
        <w:widowControl/>
        <w:spacing w:line="44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项目联系方式（询问）：15858517848</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质疑联系人：诸葛先生</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pPr>
        <w:widowControl/>
        <w:spacing w:line="440" w:lineRule="exact"/>
        <w:ind w:firstLine="660"/>
        <w:jc w:val="left"/>
        <w:rPr>
          <w:rFonts w:ascii="宋体" w:hAnsi="宋体" w:cs="宋体"/>
          <w:color w:val="auto"/>
          <w:sz w:val="22"/>
          <w:szCs w:val="22"/>
        </w:rPr>
      </w:pP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pPr>
        <w:pStyle w:val="51"/>
        <w:ind w:firstLine="560"/>
        <w:rPr>
          <w:rFonts w:ascii="Times New Roman" w:eastAsia="宋体"/>
          <w:color w:val="auto"/>
        </w:rPr>
      </w:pP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CA问题联系电话（人工）：汇信CA 400-888-4636；天谷CA 400-087-8198。</w:t>
      </w:r>
    </w:p>
    <w:p>
      <w:pPr>
        <w:pStyle w:val="51"/>
        <w:ind w:firstLine="560"/>
        <w:rPr>
          <w:rFonts w:ascii="Times New Roman" w:eastAsia="宋体"/>
          <w:color w:val="auto"/>
        </w:rPr>
      </w:pPr>
    </w:p>
    <w:p>
      <w:pPr>
        <w:spacing w:line="400" w:lineRule="exact"/>
        <w:ind w:right="440"/>
        <w:jc w:val="right"/>
        <w:rPr>
          <w:rFonts w:ascii="宋体" w:hAnsi="宋体" w:cs="宋体"/>
          <w:color w:val="auto"/>
          <w:sz w:val="22"/>
          <w:szCs w:val="22"/>
        </w:rPr>
      </w:pPr>
    </w:p>
    <w:p>
      <w:pPr>
        <w:pStyle w:val="3"/>
        <w:spacing w:line="600" w:lineRule="exact"/>
        <w:jc w:val="center"/>
        <w:rPr>
          <w:rFonts w:ascii="黑体" w:hAnsi="黑体" w:eastAsia="黑体"/>
          <w:bCs/>
          <w:color w:val="auto"/>
          <w:sz w:val="36"/>
          <w:szCs w:val="36"/>
        </w:rPr>
      </w:pPr>
      <w:bookmarkStart w:id="24" w:name="_Toc230773774"/>
      <w:r>
        <w:rPr>
          <w:rFonts w:ascii="黑体" w:hAnsi="黑体" w:eastAsia="黑体"/>
          <w:bCs/>
          <w:color w:val="auto"/>
          <w:sz w:val="36"/>
          <w:szCs w:val="36"/>
        </w:rPr>
        <w:br w:type="page"/>
      </w:r>
      <w:bookmarkStart w:id="25" w:name="_Toc10311"/>
      <w:r>
        <w:rPr>
          <w:rFonts w:hint="eastAsia" w:ascii="黑体" w:hAnsi="黑体" w:eastAsia="黑体"/>
          <w:bCs/>
          <w:color w:val="auto"/>
          <w:sz w:val="36"/>
          <w:szCs w:val="36"/>
        </w:rPr>
        <w:t>第二部分   投标人须知</w:t>
      </w:r>
      <w:bookmarkEnd w:id="24"/>
      <w:bookmarkEnd w:id="25"/>
    </w:p>
    <w:p>
      <w:pPr>
        <w:pStyle w:val="4"/>
        <w:tabs>
          <w:tab w:val="left" w:pos="840"/>
        </w:tabs>
        <w:spacing w:line="680" w:lineRule="exact"/>
        <w:jc w:val="center"/>
        <w:rPr>
          <w:rFonts w:ascii="宋体" w:hAnsi="宋体" w:eastAsia="宋体" w:cs="宋体"/>
          <w:color w:val="auto"/>
          <w:sz w:val="28"/>
          <w:szCs w:val="28"/>
        </w:rPr>
      </w:pPr>
      <w:bookmarkStart w:id="26" w:name="_Toc20841"/>
      <w:bookmarkStart w:id="27" w:name="_Toc486600281"/>
      <w:r>
        <w:rPr>
          <w:rFonts w:hint="eastAsia" w:ascii="宋体" w:hAnsi="宋体" w:eastAsia="宋体" w:cs="宋体"/>
          <w:color w:val="auto"/>
          <w:sz w:val="28"/>
          <w:szCs w:val="28"/>
        </w:rPr>
        <w:t>投标人须知前附表</w:t>
      </w:r>
      <w:bookmarkEnd w:id="26"/>
      <w:bookmarkEnd w:id="27"/>
    </w:p>
    <w:tbl>
      <w:tblPr>
        <w:tblStyle w:val="36"/>
        <w:tblW w:w="10008" w:type="dxa"/>
        <w:tblInd w:w="0" w:type="dxa"/>
        <w:tblLayout w:type="fixed"/>
        <w:tblCellMar>
          <w:top w:w="0" w:type="dxa"/>
          <w:left w:w="108" w:type="dxa"/>
          <w:bottom w:w="0" w:type="dxa"/>
          <w:right w:w="108" w:type="dxa"/>
        </w:tblCellMar>
      </w:tblPr>
      <w:tblGrid>
        <w:gridCol w:w="1001"/>
        <w:gridCol w:w="1712"/>
        <w:gridCol w:w="7295"/>
      </w:tblGrid>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合同签订后30天内完成全部货物供货、安装调试及实训室改造，由采购人进行验收。</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□组织</w:t>
            </w:r>
          </w:p>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exact"/>
              <w:rPr>
                <w:rFonts w:hAnsi="宋体" w:cs="宋体"/>
                <w:b/>
                <w:bCs/>
                <w:color w:val="auto"/>
              </w:rPr>
            </w:pPr>
            <w:r>
              <w:rPr>
                <w:rFonts w:hint="eastAsia" w:hAnsi="宋体" w:cs="宋体"/>
                <w:b/>
                <w:bCs/>
                <w:color w:val="auto"/>
              </w:rPr>
              <w:t>本项目实行网上电子投标。</w:t>
            </w:r>
          </w:p>
          <w:p>
            <w:pPr>
              <w:pStyle w:val="23"/>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pPr>
              <w:pStyle w:val="23"/>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pPr>
              <w:spacing w:line="360" w:lineRule="exact"/>
              <w:ind w:firstLine="211" w:firstLineChars="100"/>
              <w:rPr>
                <w:rStyle w:val="39"/>
                <w:rFonts w:ascii="宋体" w:hAnsi="宋体" w:cs="宋体"/>
                <w:color w:val="auto"/>
                <w:szCs w:val="22"/>
              </w:rPr>
            </w:pPr>
            <w:r>
              <w:rPr>
                <w:rFonts w:hint="eastAsia" w:ascii="宋体" w:hAnsi="宋体" w:cs="宋体"/>
                <w:b/>
                <w:bCs/>
                <w:color w:val="auto"/>
                <w:szCs w:val="22"/>
              </w:rPr>
              <w:t>(2)以介质存储的数据电文形式的备份响应文件：</w:t>
            </w:r>
            <w:r>
              <w:rPr>
                <w:rStyle w:val="39"/>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pPr>
              <w:pStyle w:val="23"/>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4"/>
                <w:rFonts w:hint="eastAsia" w:ascii="宋体" w:hAnsi="宋体" w:cs="宋体"/>
                <w:color w:val="auto"/>
                <w:sz w:val="22"/>
                <w:szCs w:val="22"/>
              </w:rPr>
              <w:t>www.creditchina.gov.cn</w:t>
            </w:r>
            <w:r>
              <w:rPr>
                <w:rStyle w:val="44"/>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4"/>
                <w:rFonts w:hint="eastAsia" w:ascii="宋体" w:hAnsi="宋体" w:cs="宋体"/>
                <w:color w:val="auto"/>
                <w:sz w:val="22"/>
                <w:szCs w:val="22"/>
              </w:rPr>
              <w:t>www.ccgp.gov.cn</w:t>
            </w:r>
            <w:r>
              <w:rPr>
                <w:rStyle w:val="44"/>
                <w:rFonts w:hint="eastAsia" w:ascii="宋体" w:hAnsi="宋体" w:cs="宋体"/>
                <w:color w:val="auto"/>
                <w:sz w:val="22"/>
                <w:szCs w:val="22"/>
              </w:rPr>
              <w:fldChar w:fldCharType="end"/>
            </w:r>
            <w:r>
              <w:rPr>
                <w:rFonts w:hint="eastAsia" w:ascii="宋体" w:hAnsi="宋体" w:cs="宋体"/>
                <w:color w:val="auto"/>
                <w:sz w:val="22"/>
                <w:szCs w:val="22"/>
              </w:rPr>
              <w:t>）；</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本项目为预留份额项目，专门面向中小企业采购。</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w:t>
            </w:r>
            <w:r>
              <w:rPr>
                <w:rFonts w:ascii="宋体" w:hAnsi="宋体" w:cs="仿宋"/>
                <w:color w:val="auto"/>
                <w:sz w:val="22"/>
                <w:szCs w:val="22"/>
              </w:rPr>
              <w:sym w:font="Wingdings" w:char="00A8"/>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FE"/>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pPr>
              <w:spacing w:line="360" w:lineRule="exact"/>
              <w:rPr>
                <w:rFonts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(1)在评标时安排每个投标人进行演示。每个投标人时间不超过15分钟,演示次序以响应文件解密时间先后次序为准，演示人员不超过1人，演示结束后按要求解答评审小组提问。</w:t>
            </w:r>
          </w:p>
          <w:p>
            <w:pPr>
              <w:spacing w:line="360" w:lineRule="exact"/>
              <w:rPr>
                <w:rFonts w:ascii="宋体" w:hAnsi="宋体" w:cs="仿宋"/>
                <w:bCs/>
                <w:color w:val="auto"/>
                <w:sz w:val="22"/>
                <w:szCs w:val="22"/>
              </w:rPr>
            </w:pPr>
            <w:r>
              <w:rPr>
                <w:rFonts w:hint="eastAsia" w:ascii="宋体" w:hAnsi="宋体" w:cs="仿宋"/>
                <w:bCs/>
                <w:color w:val="auto"/>
                <w:sz w:val="22"/>
                <w:szCs w:val="22"/>
              </w:rPr>
              <w:t>(2）演示可选择以下其中一种方式:</w:t>
            </w:r>
          </w:p>
          <w:p>
            <w:pPr>
              <w:spacing w:line="360" w:lineRule="exact"/>
              <w:rPr>
                <w:rFonts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pPr>
              <w:spacing w:line="360" w:lineRule="exact"/>
              <w:rPr>
                <w:rFonts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pPr>
              <w:spacing w:line="360" w:lineRule="exact"/>
              <w:rPr>
                <w:rFonts w:ascii="宋体" w:hAnsi="宋体" w:cs="宋体"/>
                <w:color w:val="auto"/>
                <w:sz w:val="22"/>
                <w:szCs w:val="22"/>
              </w:rPr>
            </w:pPr>
            <w:r>
              <w:rPr>
                <w:rFonts w:hint="eastAsia" w:ascii="宋体" w:hAnsi="宋体" w:cs="仿宋"/>
                <w:bCs/>
                <w:color w:val="auto"/>
                <w:sz w:val="22"/>
                <w:szCs w:val="22"/>
              </w:rPr>
              <w:t>（3）演示内根据评分标准要求演示。</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采购代理服务费系根据国家计委印发的《招标代理服务收费管理暂行办法》计价格【2002】1980号文（货物类）的规定按标准计算后下浮20%收取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pPr>
        <w:pStyle w:val="4"/>
        <w:spacing w:line="680" w:lineRule="exact"/>
        <w:jc w:val="center"/>
        <w:rPr>
          <w:rFonts w:ascii="宋体" w:hAnsi="宋体" w:eastAsia="宋体" w:cs="宋体"/>
          <w:color w:val="auto"/>
          <w:sz w:val="28"/>
          <w:szCs w:val="28"/>
        </w:rPr>
      </w:pPr>
      <w:bookmarkStart w:id="28" w:name="_Toc5283"/>
      <w:r>
        <w:rPr>
          <w:rFonts w:hint="eastAsia" w:ascii="宋体" w:hAnsi="宋体" w:eastAsia="宋体" w:cs="宋体"/>
          <w:color w:val="auto"/>
          <w:sz w:val="28"/>
          <w:szCs w:val="28"/>
        </w:rPr>
        <w:t>一、 说   明</w:t>
      </w:r>
      <w:bookmarkEnd w:id="28"/>
    </w:p>
    <w:p>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ascii="宋体" w:hAnsi="宋体" w:cs="宋体"/>
          <w:color w:val="auto"/>
          <w:sz w:val="22"/>
          <w:szCs w:val="22"/>
        </w:rPr>
      </w:pPr>
      <w:bookmarkStart w:id="30" w:name="_Toc3235"/>
      <w:bookmarkStart w:id="31" w:name="_Toc31546"/>
      <w:bookmarkStart w:id="32" w:name="_Toc1906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2"/>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pPr>
        <w:pStyle w:val="12"/>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w:t>
      </w:r>
      <w:r>
        <w:rPr>
          <w:rFonts w:hint="eastAsia" w:ascii="宋体" w:hAnsi="宋体" w:cs="仿宋"/>
          <w:color w:val="auto"/>
          <w:sz w:val="22"/>
          <w:szCs w:val="22"/>
          <w:highlight w:val="none"/>
          <w:lang w:eastAsia="zh-CN"/>
        </w:rPr>
        <w:t>（公告期限届满后获取采购文件的，以公告期限届满之日为准）</w:t>
      </w:r>
      <w:r>
        <w:rPr>
          <w:rFonts w:hint="eastAsia" w:ascii="宋体" w:hAnsi="宋体" w:cs="仿宋"/>
          <w:color w:val="auto"/>
          <w:sz w:val="22"/>
          <w:szCs w:val="22"/>
        </w:rPr>
        <w:t>。</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pPr>
        <w:pStyle w:val="4"/>
        <w:spacing w:line="680" w:lineRule="exact"/>
        <w:jc w:val="center"/>
        <w:rPr>
          <w:rFonts w:ascii="宋体" w:hAnsi="宋体" w:eastAsia="宋体" w:cs="宋体"/>
          <w:color w:val="auto"/>
          <w:sz w:val="28"/>
          <w:szCs w:val="28"/>
        </w:rPr>
      </w:pPr>
      <w:bookmarkStart w:id="33" w:name="_Toc5889"/>
      <w:r>
        <w:rPr>
          <w:rFonts w:hint="eastAsia" w:ascii="宋体" w:hAnsi="宋体" w:eastAsia="宋体" w:cs="宋体"/>
          <w:color w:val="auto"/>
          <w:sz w:val="28"/>
          <w:szCs w:val="28"/>
        </w:rPr>
        <w:t>二、 招标文件</w:t>
      </w:r>
      <w:bookmarkEnd w:id="29"/>
      <w:bookmarkEnd w:id="33"/>
    </w:p>
    <w:p>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pPr>
        <w:pStyle w:val="4"/>
        <w:spacing w:line="680" w:lineRule="exact"/>
        <w:ind w:firstLine="420"/>
        <w:jc w:val="center"/>
        <w:rPr>
          <w:rFonts w:ascii="宋体" w:hAnsi="宋体" w:eastAsia="宋体" w:cs="宋体"/>
          <w:color w:val="auto"/>
          <w:sz w:val="28"/>
          <w:szCs w:val="28"/>
        </w:rPr>
      </w:pPr>
      <w:bookmarkStart w:id="34" w:name="_Toc230773777"/>
      <w:bookmarkStart w:id="35" w:name="_Toc21491"/>
      <w:r>
        <w:rPr>
          <w:rFonts w:hint="eastAsia" w:ascii="宋体" w:hAnsi="宋体" w:eastAsia="宋体" w:cs="宋体"/>
          <w:color w:val="auto"/>
          <w:sz w:val="28"/>
          <w:szCs w:val="28"/>
        </w:rPr>
        <w:t>三、 投标文件的编制</w:t>
      </w:r>
      <w:bookmarkEnd w:id="34"/>
      <w:bookmarkEnd w:id="35"/>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auto"/>
                <w:sz w:val="22"/>
                <w:lang w:val="zh-CN"/>
              </w:rPr>
            </w:pPr>
            <w:r>
              <w:rPr>
                <w:rFonts w:hint="eastAsia" w:ascii="宋体" w:hAnsi="宋体" w:cs="宋体"/>
                <w:bCs/>
                <w:color w:val="auto"/>
                <w:sz w:val="22"/>
              </w:rPr>
              <w:t>2</w:t>
            </w:r>
          </w:p>
        </w:tc>
        <w:tc>
          <w:tcPr>
            <w:tcW w:w="7449" w:type="dxa"/>
          </w:tcPr>
          <w:p>
            <w:pPr>
              <w:autoSpaceDE w:val="0"/>
              <w:autoSpaceDN w:val="0"/>
              <w:adjustRightInd w:val="0"/>
              <w:spacing w:line="430" w:lineRule="atLeast"/>
              <w:textAlignment w:val="bottom"/>
              <w:rPr>
                <w:rFonts w:ascii="宋体" w:hAnsi="宋体" w:cs="宋体"/>
                <w:color w:val="auto"/>
                <w:sz w:val="22"/>
                <w:szCs w:val="22"/>
              </w:rPr>
            </w:pPr>
            <w:r>
              <w:rPr>
                <w:rFonts w:hint="eastAsia" w:ascii="宋体" w:hAnsi="宋体" w:cs="宋体"/>
                <w:color w:val="auto"/>
                <w:sz w:val="22"/>
                <w:szCs w:val="22"/>
              </w:rPr>
              <w:t>中小企业声明函（</w:t>
            </w:r>
            <w:r>
              <w:rPr>
                <w:rFonts w:hint="eastAsia" w:ascii="宋体" w:hAnsi="宋体" w:cs="宋体"/>
                <w:color w:val="auto"/>
                <w:sz w:val="22"/>
                <w:szCs w:val="22"/>
                <w:lang w:val="en-US" w:eastAsia="zh-CN"/>
              </w:rPr>
              <w:t>如</w:t>
            </w:r>
            <w:r>
              <w:rPr>
                <w:rFonts w:hint="eastAsia" w:ascii="宋体" w:hAnsi="宋体" w:cs="宋体"/>
                <w:color w:val="auto"/>
                <w:sz w:val="22"/>
                <w:szCs w:val="22"/>
              </w:rPr>
              <w:t>为小微企业投标，请根据附件内容提供）</w:t>
            </w:r>
          </w:p>
        </w:tc>
        <w:tc>
          <w:tcPr>
            <w:tcW w:w="1440" w:type="dxa"/>
          </w:tcPr>
          <w:p>
            <w:pPr>
              <w:autoSpaceDE w:val="0"/>
              <w:autoSpaceDN w:val="0"/>
              <w:adjustRightInd w:val="0"/>
              <w:spacing w:line="430" w:lineRule="atLeast"/>
              <w:jc w:val="center"/>
              <w:textAlignment w:val="bottom"/>
              <w:rPr>
                <w:rFonts w:ascii="宋体" w:hAnsi="宋体" w:cs="宋体"/>
                <w:color w:val="auto"/>
                <w:sz w:val="22"/>
                <w:szCs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auto"/>
                <w:sz w:val="22"/>
                <w:lang w:val="zh-CN"/>
              </w:rPr>
            </w:pPr>
            <w:r>
              <w:rPr>
                <w:rFonts w:hint="eastAsia" w:ascii="宋体" w:hAnsi="宋体" w:cs="宋体"/>
                <w:bCs/>
                <w:color w:val="auto"/>
                <w:sz w:val="22"/>
              </w:rPr>
              <w:t>3</w:t>
            </w:r>
          </w:p>
        </w:tc>
        <w:tc>
          <w:tcPr>
            <w:tcW w:w="7449" w:type="dxa"/>
          </w:tcPr>
          <w:p>
            <w:pPr>
              <w:autoSpaceDE w:val="0"/>
              <w:autoSpaceDN w:val="0"/>
              <w:adjustRightInd w:val="0"/>
              <w:spacing w:line="430" w:lineRule="atLeast"/>
              <w:textAlignment w:val="bottom"/>
              <w:rPr>
                <w:rFonts w:ascii="宋体" w:hAnsi="宋体" w:cs="宋体"/>
                <w:color w:val="auto"/>
                <w:sz w:val="22"/>
                <w:szCs w:val="22"/>
              </w:rPr>
            </w:pPr>
            <w:r>
              <w:rPr>
                <w:rFonts w:hint="eastAsia" w:ascii="宋体" w:hAnsi="宋体" w:cs="宋体"/>
                <w:color w:val="auto"/>
                <w:sz w:val="22"/>
                <w:szCs w:val="22"/>
              </w:rPr>
              <w:t>残疾人福利性单位声明函（如为残疾人单位的请根据附件内容提供）</w:t>
            </w:r>
          </w:p>
        </w:tc>
        <w:tc>
          <w:tcPr>
            <w:tcW w:w="1440" w:type="dxa"/>
          </w:tcPr>
          <w:p>
            <w:pPr>
              <w:autoSpaceDE w:val="0"/>
              <w:autoSpaceDN w:val="0"/>
              <w:adjustRightInd w:val="0"/>
              <w:spacing w:line="430" w:lineRule="atLeast"/>
              <w:jc w:val="center"/>
              <w:textAlignment w:val="bottom"/>
              <w:rPr>
                <w:rFonts w:ascii="宋体" w:hAnsi="宋体" w:cs="宋体"/>
                <w:color w:val="auto"/>
                <w:sz w:val="22"/>
                <w:szCs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auto"/>
                <w:sz w:val="22"/>
                <w:lang w:val="zh-CN"/>
              </w:rPr>
            </w:pPr>
            <w:r>
              <w:rPr>
                <w:rFonts w:hint="eastAsia" w:ascii="宋体" w:hAnsi="宋体" w:cs="宋体"/>
                <w:bCs/>
                <w:color w:val="auto"/>
                <w:sz w:val="22"/>
              </w:rPr>
              <w:t>4</w:t>
            </w:r>
          </w:p>
        </w:tc>
        <w:tc>
          <w:tcPr>
            <w:tcW w:w="7449" w:type="dxa"/>
          </w:tcPr>
          <w:p>
            <w:pPr>
              <w:autoSpaceDE w:val="0"/>
              <w:autoSpaceDN w:val="0"/>
              <w:adjustRightInd w:val="0"/>
              <w:spacing w:line="430" w:lineRule="atLeast"/>
              <w:textAlignment w:val="bottom"/>
              <w:rPr>
                <w:rFonts w:ascii="宋体" w:hAnsi="宋体" w:cs="宋体"/>
                <w:color w:val="auto"/>
                <w:sz w:val="22"/>
                <w:szCs w:val="22"/>
              </w:rPr>
            </w:pPr>
            <w:r>
              <w:rPr>
                <w:rFonts w:hint="eastAsia" w:ascii="宋体" w:hAnsi="宋体" w:cs="宋体"/>
                <w:color w:val="auto"/>
                <w:sz w:val="22"/>
                <w:szCs w:val="22"/>
              </w:rPr>
              <w:t>监狱企业提供的相关证明材料（如为监狱企业的请根据附件内容提供）</w:t>
            </w:r>
          </w:p>
        </w:tc>
        <w:tc>
          <w:tcPr>
            <w:tcW w:w="1440" w:type="dxa"/>
          </w:tcPr>
          <w:p>
            <w:pPr>
              <w:autoSpaceDE w:val="0"/>
              <w:autoSpaceDN w:val="0"/>
              <w:adjustRightInd w:val="0"/>
              <w:spacing w:line="430" w:lineRule="atLeast"/>
              <w:jc w:val="center"/>
              <w:textAlignment w:val="bottom"/>
              <w:rPr>
                <w:rFonts w:ascii="宋体" w:hAnsi="宋体" w:cs="宋体"/>
                <w:color w:val="auto"/>
                <w:sz w:val="22"/>
                <w:szCs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bl>
    <w:p>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实训室改造、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pPr>
        <w:pStyle w:val="18"/>
        <w:spacing w:after="0"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6.2  </w:t>
      </w:r>
      <w:r>
        <w:rPr>
          <w:rFonts w:hint="eastAsia" w:ascii="宋体" w:hAnsi="宋体" w:cs="宋体"/>
          <w:b/>
          <w:bCs/>
          <w:color w:val="auto"/>
          <w:szCs w:val="22"/>
          <w:u w:val="single"/>
        </w:rPr>
        <w:t>根据《温州市政府采购履约验收办法（温财采〔2020〕6号）》的规定，本项目履约验收费用5000元，包含在投标报价内，由中标人支付，如因供应商原因造成验收不通过的，所产生的验收费用重新计算，如采用简易验收流程的，则不需要该笔费用</w:t>
      </w:r>
      <w:r>
        <w:rPr>
          <w:rFonts w:hint="eastAsia" w:ascii="宋体" w:hAnsi="宋体"/>
          <w:b/>
          <w:bCs/>
          <w:color w:val="auto"/>
          <w:sz w:val="22"/>
          <w:szCs w:val="22"/>
        </w:rPr>
        <w:t>。</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3</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ascii="宋体" w:hAnsi="宋体" w:cs="宋体"/>
          <w:b/>
          <w:color w:val="auto"/>
          <w:sz w:val="22"/>
          <w:szCs w:val="22"/>
        </w:rPr>
        <w:t>4</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5</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6</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7</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pPr>
        <w:pStyle w:val="4"/>
        <w:spacing w:line="680" w:lineRule="exact"/>
        <w:jc w:val="center"/>
        <w:rPr>
          <w:rFonts w:ascii="宋体" w:hAnsi="宋体" w:eastAsia="宋体" w:cs="宋体"/>
          <w:color w:val="auto"/>
          <w:sz w:val="28"/>
          <w:szCs w:val="28"/>
        </w:rPr>
      </w:pPr>
      <w:bookmarkStart w:id="37" w:name="_Toc6253"/>
      <w:r>
        <w:rPr>
          <w:rFonts w:hint="eastAsia" w:ascii="宋体" w:hAnsi="宋体" w:eastAsia="宋体" w:cs="宋体"/>
          <w:color w:val="auto"/>
          <w:sz w:val="28"/>
          <w:szCs w:val="28"/>
        </w:rPr>
        <w:t>四、 投标文件的递交</w:t>
      </w:r>
      <w:bookmarkEnd w:id="36"/>
      <w:bookmarkEnd w:id="37"/>
    </w:p>
    <w:p>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pPr>
        <w:pStyle w:val="4"/>
        <w:spacing w:line="680" w:lineRule="exact"/>
        <w:jc w:val="center"/>
        <w:rPr>
          <w:rFonts w:ascii="宋体" w:hAnsi="宋体" w:eastAsia="宋体" w:cs="宋体"/>
          <w:color w:val="auto"/>
          <w:sz w:val="28"/>
          <w:szCs w:val="28"/>
        </w:rPr>
      </w:pPr>
      <w:bookmarkStart w:id="39" w:name="_Toc17089"/>
      <w:r>
        <w:rPr>
          <w:rFonts w:hint="eastAsia" w:ascii="宋体" w:hAnsi="宋体" w:eastAsia="宋体" w:cs="宋体"/>
          <w:color w:val="auto"/>
          <w:sz w:val="28"/>
          <w:szCs w:val="28"/>
        </w:rPr>
        <w:t>五、 开标和评标</w:t>
      </w:r>
      <w:bookmarkEnd w:id="38"/>
      <w:bookmarkEnd w:id="39"/>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pPr>
        <w:pStyle w:val="4"/>
        <w:spacing w:line="680" w:lineRule="exact"/>
        <w:jc w:val="center"/>
        <w:rPr>
          <w:rFonts w:ascii="宋体" w:hAnsi="宋体" w:eastAsia="宋体" w:cs="宋体"/>
          <w:color w:val="auto"/>
          <w:sz w:val="28"/>
          <w:szCs w:val="28"/>
        </w:rPr>
      </w:pPr>
      <w:bookmarkStart w:id="40" w:name="_Toc24426"/>
      <w:bookmarkStart w:id="41" w:name="_Toc230773780"/>
      <w:r>
        <w:rPr>
          <w:rFonts w:hint="eastAsia" w:ascii="宋体" w:hAnsi="宋体" w:eastAsia="宋体" w:cs="宋体"/>
          <w:color w:val="auto"/>
          <w:sz w:val="28"/>
          <w:szCs w:val="28"/>
        </w:rPr>
        <w:t>六、 中标和合同</w:t>
      </w:r>
      <w:bookmarkEnd w:id="40"/>
      <w:bookmarkEnd w:id="41"/>
    </w:p>
    <w:p>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履约保证金自合同签订之日起至项目验收合格之日起有效。项目验收结束后，采购人应及时将履约保证金无息退还给中标人。</w:t>
      </w:r>
    </w:p>
    <w:p>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4"/>
        <w:spacing w:line="680" w:lineRule="exact"/>
        <w:jc w:val="center"/>
        <w:rPr>
          <w:rFonts w:ascii="宋体" w:hAnsi="宋体" w:eastAsia="宋体" w:cs="宋体"/>
          <w:b w:val="0"/>
          <w:color w:val="auto"/>
        </w:rPr>
      </w:pPr>
      <w:bookmarkStart w:id="42" w:name="_Toc77410345"/>
      <w:bookmarkStart w:id="43" w:name="_Toc77407760"/>
      <w:bookmarkStart w:id="44" w:name="_Toc89248785"/>
      <w:bookmarkStart w:id="45" w:name="_Toc28082"/>
      <w:bookmarkStart w:id="46" w:name="_Toc230773781"/>
      <w:bookmarkStart w:id="47" w:name="_Toc185326503"/>
      <w:bookmarkStart w:id="48" w:name="_Toc208045865"/>
      <w:r>
        <w:rPr>
          <w:rFonts w:hint="eastAsia" w:ascii="宋体" w:hAnsi="宋体" w:eastAsia="宋体" w:cs="宋体"/>
          <w:color w:val="auto"/>
          <w:sz w:val="28"/>
          <w:szCs w:val="28"/>
        </w:rPr>
        <w:t>七、 可中止电子交易活动的情形</w:t>
      </w:r>
      <w:bookmarkEnd w:id="42"/>
      <w:bookmarkEnd w:id="43"/>
      <w:bookmarkEnd w:id="44"/>
      <w:bookmarkEnd w:id="45"/>
    </w:p>
    <w:p>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pPr>
        <w:pStyle w:val="3"/>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pPr>
        <w:pStyle w:val="3"/>
        <w:tabs>
          <w:tab w:val="clear" w:pos="840"/>
        </w:tabs>
        <w:adjustRightInd/>
        <w:snapToGrid/>
        <w:spacing w:before="340" w:after="330" w:line="600" w:lineRule="exact"/>
        <w:jc w:val="center"/>
        <w:rPr>
          <w:rFonts w:ascii="黑体" w:hAnsi="黑体" w:eastAsia="黑体"/>
          <w:bCs/>
          <w:color w:val="auto"/>
          <w:sz w:val="36"/>
          <w:szCs w:val="36"/>
        </w:rPr>
      </w:pPr>
      <w:bookmarkStart w:id="49" w:name="_Toc8176"/>
      <w:bookmarkStart w:id="50" w:name="_Toc12414"/>
      <w:bookmarkStart w:id="51" w:name="_Toc230773782"/>
      <w:r>
        <w:rPr>
          <w:rFonts w:hint="eastAsia" w:ascii="黑体" w:hAnsi="黑体" w:eastAsia="黑体"/>
          <w:bCs/>
          <w:color w:val="auto"/>
          <w:sz w:val="36"/>
          <w:szCs w:val="36"/>
        </w:rPr>
        <w:t>第三部分</w:t>
      </w:r>
      <w:bookmarkEnd w:id="49"/>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0"/>
    </w:p>
    <w:bookmarkEnd w:id="51"/>
    <w:p>
      <w:pPr>
        <w:spacing w:line="460" w:lineRule="exact"/>
        <w:ind w:firstLine="541" w:firstLineChars="245"/>
        <w:rPr>
          <w:rFonts w:hint="eastAsia" w:ascii="宋体" w:hAnsi="宋体" w:cs="宋体"/>
          <w:b/>
          <w:color w:val="auto"/>
          <w:sz w:val="22"/>
          <w:szCs w:val="22"/>
          <w:highlight w:val="none"/>
        </w:rPr>
      </w:pPr>
      <w:bookmarkStart w:id="52" w:name="_Toc2505009"/>
      <w:bookmarkStart w:id="53" w:name="_Toc230773783"/>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hint="eastAsia" w:ascii="新宋体" w:hAnsi="新宋体" w:eastAsia="新宋体" w:cs="新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eastAsia="zh-CN"/>
        </w:rPr>
        <w:t>浙江安防职业技术学院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日在</w:t>
      </w:r>
      <w:r>
        <w:rPr>
          <w:rFonts w:hint="eastAsia" w:ascii="宋体" w:hAnsi="宋体" w:eastAsia="宋体" w:cs="宋体"/>
          <w:color w:val="auto"/>
          <w:sz w:val="22"/>
          <w:szCs w:val="22"/>
          <w:highlight w:val="none"/>
          <w:lang w:eastAsia="zh-CN"/>
        </w:rPr>
        <w:t>浙江安防职业技术学院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采购中，</w:t>
      </w:r>
      <w:r>
        <w:rPr>
          <w:rFonts w:hint="eastAsia" w:ascii="宋体" w:hAnsi="宋体" w:eastAsia="宋体" w:cs="宋体"/>
          <w:color w:val="auto"/>
          <w:sz w:val="22"/>
          <w:szCs w:val="22"/>
          <w:highlight w:val="none"/>
          <w:lang w:eastAsia="zh-CN"/>
        </w:rPr>
        <w:t>甲乙</w:t>
      </w:r>
      <w:r>
        <w:rPr>
          <w:rFonts w:hint="eastAsia" w:ascii="宋体" w:hAnsi="宋体" w:eastAsia="宋体" w:cs="宋体"/>
          <w:color w:val="auto"/>
          <w:sz w:val="22"/>
          <w:szCs w:val="22"/>
          <w:highlight w:val="none"/>
        </w:rPr>
        <w:t>双方及采购方根据《中华人民共和国</w:t>
      </w:r>
      <w:r>
        <w:rPr>
          <w:rFonts w:hint="eastAsia" w:ascii="宋体" w:hAnsi="宋体" w:eastAsia="宋体" w:cs="宋体"/>
          <w:color w:val="auto"/>
          <w:sz w:val="22"/>
          <w:szCs w:val="22"/>
          <w:highlight w:val="none"/>
          <w:lang w:eastAsia="zh-CN"/>
        </w:rPr>
        <w:t>民</w:t>
      </w:r>
      <w:r>
        <w:rPr>
          <w:rFonts w:hint="eastAsia" w:ascii="宋体" w:hAnsi="宋体" w:eastAsia="宋体" w:cs="宋体"/>
          <w:color w:val="auto"/>
          <w:sz w:val="22"/>
          <w:szCs w:val="22"/>
          <w:highlight w:val="none"/>
        </w:rPr>
        <w:t>法</w:t>
      </w:r>
      <w:r>
        <w:rPr>
          <w:rFonts w:hint="eastAsia" w:ascii="宋体" w:hAnsi="宋体" w:eastAsia="宋体" w:cs="宋体"/>
          <w:color w:val="auto"/>
          <w:sz w:val="22"/>
          <w:szCs w:val="22"/>
          <w:highlight w:val="none"/>
          <w:lang w:eastAsia="zh-CN"/>
        </w:rPr>
        <w:t>典</w:t>
      </w:r>
      <w:r>
        <w:rPr>
          <w:rFonts w:hint="eastAsia" w:ascii="宋体" w:hAnsi="宋体" w:eastAsia="宋体" w:cs="宋体"/>
          <w:color w:val="auto"/>
          <w:sz w:val="22"/>
          <w:szCs w:val="22"/>
          <w:highlight w:val="none"/>
        </w:rPr>
        <w:t>》等法规和本合同的</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响应文件及其</w:t>
      </w:r>
      <w:r>
        <w:rPr>
          <w:rFonts w:hint="eastAsia" w:ascii="宋体" w:hAnsi="宋体" w:eastAsia="宋体" w:cs="宋体"/>
          <w:color w:val="auto"/>
          <w:sz w:val="22"/>
          <w:szCs w:val="22"/>
          <w:highlight w:val="none"/>
          <w:lang w:eastAsia="zh-CN"/>
        </w:rPr>
        <w:t>采购过程</w:t>
      </w:r>
      <w:r>
        <w:rPr>
          <w:rFonts w:hint="eastAsia" w:ascii="宋体" w:hAnsi="宋体" w:eastAsia="宋体" w:cs="宋体"/>
          <w:color w:val="auto"/>
          <w:sz w:val="22"/>
          <w:szCs w:val="22"/>
          <w:highlight w:val="none"/>
        </w:rPr>
        <w:t>中的承诺，经双方协商，同意签订本合同，共同遵守。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color w:val="auto"/>
          <w:sz w:val="22"/>
          <w:szCs w:val="22"/>
          <w:highlight w:val="none"/>
        </w:rPr>
        <w:t xml:space="preserve">采购内容及价格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单位： </w:t>
      </w:r>
      <w:r>
        <w:rPr>
          <w:rFonts w:hint="eastAsia" w:ascii="宋体" w:hAnsi="宋体" w:eastAsia="宋体" w:cs="宋体"/>
          <w:color w:val="auto"/>
          <w:sz w:val="22"/>
          <w:szCs w:val="22"/>
          <w:highlight w:val="none"/>
          <w:u w:val="single"/>
        </w:rPr>
        <w:t xml:space="preserve"> 元 </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50"/>
        <w:gridCol w:w="1304"/>
        <w:gridCol w:w="2307"/>
        <w:gridCol w:w="922"/>
        <w:gridCol w:w="135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3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名称</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1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3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1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合计：（大写）                                                     小写：￥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2、本合同总价为</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供货、运输、保险、装卸、安装调试及技术、验收（含第三方验收）、培训、售后服务、税费等的全部费用，即“交钥匙工程”，实行固定总价包干。除发生下列因素可调整合同价外，不得以任何其他理由调整任何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eastAsia="zh-CN"/>
        </w:rPr>
        <w:t>甲方因安装地点改变等原因</w:t>
      </w:r>
      <w:r>
        <w:rPr>
          <w:rFonts w:hint="eastAsia" w:ascii="宋体" w:hAnsi="宋体" w:eastAsia="宋体" w:cs="宋体"/>
          <w:color w:val="auto"/>
          <w:sz w:val="22"/>
          <w:szCs w:val="22"/>
          <w:highlight w:val="none"/>
        </w:rPr>
        <w:t>提出的</w:t>
      </w:r>
      <w:r>
        <w:rPr>
          <w:rFonts w:hint="eastAsia" w:ascii="宋体" w:hAnsi="宋体" w:eastAsia="宋体" w:cs="宋体"/>
          <w:color w:val="auto"/>
          <w:sz w:val="22"/>
          <w:szCs w:val="22"/>
          <w:highlight w:val="none"/>
          <w:lang w:eastAsia="zh-CN"/>
        </w:rPr>
        <w:t>货物数量</w:t>
      </w:r>
      <w:r>
        <w:rPr>
          <w:rFonts w:hint="eastAsia" w:ascii="宋体" w:hAnsi="宋体" w:eastAsia="宋体" w:cs="宋体"/>
          <w:color w:val="auto"/>
          <w:sz w:val="22"/>
          <w:szCs w:val="22"/>
          <w:highlight w:val="none"/>
        </w:rPr>
        <w:t>变更</w:t>
      </w:r>
      <w:r>
        <w:rPr>
          <w:rFonts w:hint="eastAsia" w:ascii="宋体" w:hAnsi="宋体" w:eastAsia="宋体" w:cs="宋体"/>
          <w:color w:val="auto"/>
          <w:sz w:val="22"/>
          <w:szCs w:val="22"/>
          <w:highlight w:val="none"/>
          <w:lang w:eastAsia="zh-CN"/>
        </w:rPr>
        <w:t>，经甲乙双方同意，可以签订补充协议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乙方因成交产品型号停产</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生产厂家出具替代型号与停产证明，但不得更改该产品成交金额，</w:t>
      </w:r>
      <w:r>
        <w:rPr>
          <w:rFonts w:hint="eastAsia" w:ascii="宋体" w:hAnsi="宋体" w:eastAsia="宋体" w:cs="宋体"/>
          <w:color w:val="auto"/>
          <w:sz w:val="22"/>
          <w:szCs w:val="22"/>
          <w:highlight w:val="none"/>
        </w:rPr>
        <w:t>经</w:t>
      </w:r>
      <w:r>
        <w:rPr>
          <w:rFonts w:hint="eastAsia" w:ascii="宋体" w:hAnsi="宋体" w:eastAsia="宋体" w:cs="宋体"/>
          <w:color w:val="auto"/>
          <w:sz w:val="22"/>
          <w:szCs w:val="22"/>
          <w:highlight w:val="none"/>
          <w:lang w:eastAsia="zh-CN"/>
        </w:rPr>
        <w:t>甲乙双</w:t>
      </w:r>
      <w:r>
        <w:rPr>
          <w:rFonts w:hint="eastAsia" w:ascii="宋体" w:hAnsi="宋体" w:eastAsia="宋体" w:cs="宋体"/>
          <w:color w:val="auto"/>
          <w:sz w:val="22"/>
          <w:szCs w:val="22"/>
          <w:highlight w:val="none"/>
        </w:rPr>
        <w:t>方同意</w:t>
      </w:r>
      <w:r>
        <w:rPr>
          <w:rFonts w:hint="eastAsia" w:ascii="宋体" w:hAnsi="宋体" w:eastAsia="宋体" w:cs="宋体"/>
          <w:color w:val="auto"/>
          <w:sz w:val="22"/>
          <w:szCs w:val="22"/>
          <w:highlight w:val="none"/>
          <w:lang w:eastAsia="zh-CN"/>
        </w:rPr>
        <w:t>可以签订补充协议</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属</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投标漏项少算的设备及服务费用不得追补。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3、设备、材料供应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本合同范围所需的设备均由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提供。采购供应的材料、设备均须有合格证、质保书等相关技术资料。如发现不合格的设备材料，由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承担全部的经济损失和责任。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4、产品包装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4.1为了保证设备在长途运输和装卸过程中的安全，产品包装应符合国家或专业（部）标准规定。由于包装不善导致设备锈蚀、失缺或损坏，由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4.2每一包装箱内必须附有装箱清单。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5、唛头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应在每件包装箱上，明显地标注下列标记：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1)收货人； 2)产品名称；  3)合同号；4)品目号和箱号； 5)到达站或到货地点；6)外形尺寸(长宽高)，以厘米计；7)毛重、净重(公斤)。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应根据设备特点，在包装箱上标明“小心轻放”、“请勿倒置”、“防潮”等字样和吊装标记。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6、本合同产品的免费保修期限为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年 </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在产品质量保证期限内，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对由于产品设计、工艺、材料、配套件的缺陷而造成的任何产品质量问题或故障负责。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lang w:val="en-US" w:eastAsia="zh-CN" w:bidi="ar-SA"/>
        </w:rPr>
        <w:t>7、</w:t>
      </w:r>
      <w:r>
        <w:rPr>
          <w:rFonts w:hint="eastAsia" w:ascii="宋体" w:hAnsi="宋体" w:eastAsia="宋体" w:cs="宋体"/>
          <w:color w:val="auto"/>
          <w:sz w:val="22"/>
          <w:szCs w:val="22"/>
          <w:highlight w:val="none"/>
        </w:rPr>
        <w:t>产品资料</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档案资料，包括：设备的数量、型号、规格，设备生产厂家的产品检测证书，出厂检验报告，合格证书，产品说明书等有关资料。如发现不合格的设备材料，由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承担全部的经济损失的责任。设备开箱后的全部随机资料所有权归</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所有。开箱验收后由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8、交付使用时间：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，交货地点：</w:t>
      </w:r>
      <w:r>
        <w:rPr>
          <w:rFonts w:hint="eastAsia" w:ascii="宋体" w:hAnsi="宋体" w:eastAsia="宋体" w:cs="宋体"/>
          <w:color w:val="auto"/>
          <w:sz w:val="22"/>
          <w:szCs w:val="22"/>
          <w:highlight w:val="none"/>
          <w:u w:val="single"/>
          <w:lang w:eastAsia="zh-CN"/>
        </w:rPr>
        <w:t>浙江安防职业技术学院</w:t>
      </w:r>
      <w:r>
        <w:rPr>
          <w:rFonts w:hint="eastAsia" w:ascii="宋体" w:hAnsi="宋体" w:eastAsia="宋体" w:cs="宋体"/>
          <w:color w:val="auto"/>
          <w:sz w:val="22"/>
          <w:szCs w:val="22"/>
          <w:highlight w:val="none"/>
          <w:u w:val="single"/>
        </w:rPr>
        <w:t>指定地点（联系人：    ，联系电话：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9、付款方式与结算</w:t>
      </w:r>
    </w:p>
    <w:p>
      <w:pPr>
        <w:keepNext w:val="0"/>
        <w:keepLines w:val="0"/>
        <w:pageBreakBefore w:val="0"/>
        <w:widowControl w:val="0"/>
        <w:kinsoku/>
        <w:wordWrap/>
        <w:overflowPunct/>
        <w:topLinePunct w:val="0"/>
        <w:autoSpaceDE/>
        <w:autoSpaceDN/>
        <w:bidi w:val="0"/>
        <w:adjustRightInd/>
        <w:snapToGrid/>
        <w:spacing w:line="440" w:lineRule="exact"/>
        <w:ind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乙方在合同签订后7个工作日内，支付给甲方合同金额1%作为履约保证金（接受支票、汇票、本票、履约保函等多种非现金形式），合同期满履约验收通过后或合同解除后扣除乙方应承担的违约赔偿责任外，剩余部分</w:t>
      </w:r>
      <w:r>
        <w:rPr>
          <w:rFonts w:hint="eastAsia" w:ascii="宋体" w:hAnsi="宋体" w:eastAsia="宋体" w:cs="宋体"/>
          <w:color w:val="auto"/>
          <w:sz w:val="22"/>
          <w:szCs w:val="22"/>
          <w:highlight w:val="none"/>
          <w:lang w:val="en-US" w:eastAsia="zh-CN"/>
        </w:rPr>
        <w:t>7个工作日内</w:t>
      </w:r>
      <w:r>
        <w:rPr>
          <w:rFonts w:hint="eastAsia" w:ascii="宋体" w:hAnsi="宋体" w:eastAsia="宋体" w:cs="宋体"/>
          <w:color w:val="auto"/>
          <w:sz w:val="22"/>
          <w:szCs w:val="22"/>
          <w:highlight w:val="none"/>
        </w:rPr>
        <w:t>返还乙方</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2</w:t>
      </w:r>
      <w:r>
        <w:rPr>
          <w:rFonts w:hint="eastAsia" w:ascii="宋体" w:hAnsi="宋体" w:eastAsia="宋体" w:cs="宋体"/>
          <w:color w:val="auto"/>
          <w:sz w:val="22"/>
          <w:szCs w:val="22"/>
          <w:highlight w:val="none"/>
        </w:rPr>
        <w:t>、支付方式：合同签订后7个工作日内，甲方向乙方支付合同总额的40%合同款作为预付款；全部设备供货完成后7个工作日内，甲方向乙方支付合同总额的50%合同款；设备安装、调试、验收合格后，甲方待收到乙方开具的全额正式发票后7个工作日内向乙方支付剩余全部合同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合同履约验收参照《温州市政府采购履约验收办法》(温财采[2020]6号)相关规定。合同履约达到验收条件时，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书面发起验收申请，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或者其委托的采购代理机构在收到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验收申请五个工作日内启动项目验收。按照采购合同、</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响应文件、</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 xml:space="preserve">文件等约定的质量、数量、技术指标或者服务要求设验收指标及其标准。未约定的，应当符合国家强制性规定、政策要求、安全标准、行业或企业有关标准等。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.1设备质量责任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1）在设备质量保证期内，凡设备在开箱检验、安装调试、设备试运行过程中发现的设备质量问题，由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负责处理，实行包修、包换、包退、直至产品符合质量要求。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承担修理、调换、退货发生的一切费用和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的直接经济损失。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2）接到</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通知后，温州及附近地区4小时内，外地24小时内派人赴现场处理设备质量问题。</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保管不善或使用不当造成设备短缺、故障或损坏，由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保证及时给予补齐和修复。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.2违约赔偿</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发生不能按期交货或提供服务，</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发生中途退货等情况，应及时以书面形式通知对方。双方应本着友好的态度进行协商，妥善解决。</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如协商无效，按下列规定处以罚金。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逾期交货</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逾期交货，应向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w:t>
      </w:r>
      <w:r>
        <w:rPr>
          <w:rFonts w:hint="eastAsia" w:ascii="宋体" w:hAnsi="宋体" w:eastAsia="宋体" w:cs="宋体"/>
          <w:color w:val="auto"/>
          <w:sz w:val="22"/>
          <w:szCs w:val="22"/>
          <w:highlight w:val="none"/>
          <w:lang w:eastAsia="zh-CN"/>
        </w:rPr>
        <w:t>自逾期之日起，</w:t>
      </w:r>
      <w:r>
        <w:rPr>
          <w:rFonts w:hint="eastAsia" w:ascii="宋体" w:hAnsi="宋体" w:eastAsia="宋体" w:cs="宋体"/>
          <w:color w:val="auto"/>
          <w:sz w:val="22"/>
          <w:szCs w:val="22"/>
          <w:highlight w:val="none"/>
        </w:rPr>
        <w:t>每逾一</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违约罚款按合同总价的0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%计收，逾期交货的违约赔偿最高限额为合同总价的</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甲方有权</w:t>
      </w:r>
      <w:r>
        <w:rPr>
          <w:rFonts w:hint="eastAsia" w:ascii="宋体" w:hAnsi="宋体" w:eastAsia="宋体" w:cs="宋体"/>
          <w:color w:val="auto"/>
          <w:sz w:val="22"/>
          <w:szCs w:val="22"/>
          <w:highlight w:val="none"/>
        </w:rPr>
        <w:t>终止合同</w:t>
      </w:r>
      <w:r>
        <w:rPr>
          <w:rFonts w:hint="eastAsia" w:ascii="宋体" w:hAnsi="宋体" w:eastAsia="宋体" w:cs="宋体"/>
          <w:color w:val="auto"/>
          <w:sz w:val="22"/>
          <w:szCs w:val="22"/>
          <w:highlight w:val="none"/>
          <w:lang w:eastAsia="zh-CN"/>
        </w:rPr>
        <w:t>并按乙方不能交货的违约条款执行</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有权从履约保证金中得到违约金补偿。</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不能交货，履约保证金将被没收</w:t>
      </w:r>
      <w:r>
        <w:rPr>
          <w:rFonts w:hint="eastAsia" w:ascii="宋体" w:hAnsi="宋体" w:eastAsia="宋体" w:cs="宋体"/>
          <w:color w:val="auto"/>
          <w:sz w:val="22"/>
          <w:szCs w:val="22"/>
          <w:highlight w:val="none"/>
          <w:lang w:eastAsia="zh-CN"/>
        </w:rPr>
        <w:t>并</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偿付违约金。违约金按合同总价的10-30%计算。</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r>
        <w:rPr>
          <w:rFonts w:hint="eastAsia" w:ascii="宋体" w:hAnsi="宋体" w:eastAsia="宋体" w:cs="宋体"/>
          <w:color w:val="auto"/>
          <w:sz w:val="22"/>
          <w:szCs w:val="22"/>
          <w:highlight w:val="none"/>
          <w:lang w:eastAsia="zh-CN"/>
        </w:rPr>
        <w:t>退还履约保证金并</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偿付违约金。违约金的计算方法与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违约相同。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272"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履约保证金按付款方式及时退还，逾期支付，</w:t>
      </w:r>
      <w:r>
        <w:rPr>
          <w:rFonts w:hint="eastAsia" w:ascii="宋体" w:hAnsi="宋体" w:eastAsia="宋体" w:cs="宋体"/>
          <w:color w:val="auto"/>
          <w:sz w:val="22"/>
          <w:szCs w:val="22"/>
          <w:highlight w:val="none"/>
        </w:rPr>
        <w:t>应向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偿付违约金，</w:t>
      </w:r>
      <w:r>
        <w:rPr>
          <w:rFonts w:hint="eastAsia" w:ascii="宋体" w:hAnsi="宋体" w:eastAsia="宋体" w:cs="宋体"/>
          <w:color w:val="auto"/>
          <w:sz w:val="22"/>
          <w:szCs w:val="22"/>
          <w:highlight w:val="none"/>
          <w:lang w:eastAsia="zh-CN"/>
        </w:rPr>
        <w:t>自逾期之日起，</w:t>
      </w:r>
      <w:r>
        <w:rPr>
          <w:rFonts w:hint="eastAsia" w:ascii="宋体" w:hAnsi="宋体" w:eastAsia="宋体" w:cs="宋体"/>
          <w:color w:val="auto"/>
          <w:sz w:val="22"/>
          <w:szCs w:val="22"/>
          <w:highlight w:val="none"/>
        </w:rPr>
        <w:t>每逾一</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违约罚款按</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的0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%计</w:t>
      </w:r>
      <w:r>
        <w:rPr>
          <w:rFonts w:hint="eastAsia" w:ascii="宋体" w:hAnsi="宋体" w:eastAsia="宋体" w:cs="宋体"/>
          <w:color w:val="auto"/>
          <w:sz w:val="22"/>
          <w:szCs w:val="22"/>
          <w:highlight w:val="none"/>
          <w:lang w:eastAsia="zh-CN"/>
        </w:rPr>
        <w:t>付，直至付款完成。</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经双方协商同意延期交货</w:t>
      </w:r>
      <w:r>
        <w:rPr>
          <w:rFonts w:hint="eastAsia" w:ascii="宋体" w:hAnsi="宋体" w:eastAsia="宋体" w:cs="宋体"/>
          <w:color w:val="auto"/>
          <w:sz w:val="22"/>
          <w:szCs w:val="22"/>
          <w:highlight w:val="none"/>
          <w:lang w:eastAsia="zh-CN"/>
        </w:rPr>
        <w:t>或延长履约保证金期限或</w:t>
      </w:r>
      <w:r>
        <w:rPr>
          <w:rFonts w:hint="eastAsia" w:ascii="宋体" w:hAnsi="宋体" w:eastAsia="宋体" w:cs="宋体"/>
          <w:color w:val="auto"/>
          <w:sz w:val="22"/>
          <w:szCs w:val="22"/>
          <w:highlight w:val="none"/>
        </w:rPr>
        <w:t>同意退货且无需罚款者不在此例。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、转让和分包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  未经</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事先书面同意，</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不得部分转让或分包或全部转让其应履行的合同义务。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、争端的解决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合同实施或与合同有关的一切争端，</w:t>
      </w:r>
      <w:r>
        <w:rPr>
          <w:rFonts w:hint="eastAsia" w:ascii="宋体" w:hAnsi="宋体" w:eastAsia="宋体" w:cs="宋体"/>
          <w:color w:val="auto"/>
          <w:sz w:val="22"/>
          <w:szCs w:val="22"/>
          <w:highlight w:val="none"/>
          <w:lang w:eastAsia="zh-CN"/>
        </w:rPr>
        <w:t>甲乙</w:t>
      </w:r>
      <w:r>
        <w:rPr>
          <w:rFonts w:hint="eastAsia" w:ascii="宋体" w:hAnsi="宋体" w:eastAsia="宋体" w:cs="宋体"/>
          <w:color w:val="auto"/>
          <w:sz w:val="22"/>
          <w:szCs w:val="22"/>
          <w:highlight w:val="none"/>
        </w:rPr>
        <w:t>双方首先应通过友好协商解决，如果协商仍得不到解决，任何一方可向温州市瓯海区人民法院申请诉讼。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、约定事项：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  本合同一式伍份，</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两份。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.2  合同经甲</w:t>
      </w:r>
      <w:r>
        <w:rPr>
          <w:rFonts w:hint="eastAsia" w:ascii="宋体" w:hAnsi="宋体" w:eastAsia="宋体" w:cs="宋体"/>
          <w:color w:val="auto"/>
          <w:sz w:val="22"/>
          <w:szCs w:val="22"/>
          <w:highlight w:val="none"/>
          <w:lang w:eastAsia="zh-CN"/>
        </w:rPr>
        <w:t>方、</w:t>
      </w:r>
      <w:r>
        <w:rPr>
          <w:rFonts w:hint="eastAsia" w:ascii="宋体" w:hAnsi="宋体" w:eastAsia="宋体" w:cs="宋体"/>
          <w:color w:val="auto"/>
          <w:sz w:val="22"/>
          <w:szCs w:val="22"/>
          <w:highlight w:val="none"/>
        </w:rPr>
        <w:t>乙</w:t>
      </w:r>
      <w:r>
        <w:rPr>
          <w:rFonts w:hint="eastAsia" w:ascii="宋体" w:hAnsi="宋体" w:eastAsia="宋体" w:cs="宋体"/>
          <w:color w:val="auto"/>
          <w:sz w:val="22"/>
          <w:szCs w:val="22"/>
          <w:highlight w:val="none"/>
          <w:lang w:eastAsia="zh-CN"/>
        </w:rPr>
        <w:t>方</w:t>
      </w:r>
      <w:r>
        <w:rPr>
          <w:rFonts w:hint="eastAsia" w:ascii="宋体" w:hAnsi="宋体" w:eastAsia="宋体" w:cs="宋体"/>
          <w:color w:val="auto"/>
          <w:sz w:val="22"/>
          <w:szCs w:val="22"/>
          <w:highlight w:val="none"/>
        </w:rPr>
        <w:t>签字盖章后生效。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  如需修改或补充合同内容，经协商，双方应签署书面修改或补充协议，该协议将作为本合同的一个组成部分。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.4  </w:t>
      </w:r>
      <w:r>
        <w:rPr>
          <w:rFonts w:hint="eastAsia" w:ascii="宋体" w:hAnsi="宋体" w:eastAsia="宋体" w:cs="宋体"/>
          <w:b/>
          <w:color w:val="auto"/>
          <w:sz w:val="22"/>
          <w:szCs w:val="22"/>
          <w:highlight w:val="none"/>
        </w:rPr>
        <w:t>本合同未尽事宜及对合同内容如有异议，以</w:t>
      </w:r>
      <w:r>
        <w:rPr>
          <w:rFonts w:hint="eastAsia" w:ascii="宋体" w:hAnsi="宋体" w:eastAsia="宋体" w:cs="宋体"/>
          <w:b/>
          <w:color w:val="auto"/>
          <w:sz w:val="22"/>
          <w:szCs w:val="22"/>
          <w:highlight w:val="none"/>
          <w:lang w:val="en-US" w:eastAsia="zh-CN"/>
        </w:rPr>
        <w:t>招标</w:t>
      </w:r>
      <w:r>
        <w:rPr>
          <w:rFonts w:hint="eastAsia" w:ascii="宋体" w:hAnsi="宋体" w:eastAsia="宋体" w:cs="宋体"/>
          <w:b/>
          <w:color w:val="auto"/>
          <w:sz w:val="22"/>
          <w:szCs w:val="22"/>
          <w:highlight w:val="none"/>
          <w:lang w:eastAsia="zh-CN"/>
        </w:rPr>
        <w:t>文件、</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响应文件和在招标现场承诺为准，</w:t>
      </w:r>
      <w:r>
        <w:rPr>
          <w:rFonts w:hint="eastAsia" w:ascii="宋体" w:hAnsi="宋体" w:eastAsia="宋体" w:cs="宋体"/>
          <w:color w:val="auto"/>
          <w:sz w:val="22"/>
          <w:szCs w:val="22"/>
          <w:highlight w:val="none"/>
        </w:rPr>
        <w:t>如遇国家法律、法规及政策另有规定的，从其规定。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浙江安防职业技术学院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 xml:space="preserve">（盖章）：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法人代表：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法人代表：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委托代理人（签字）：                                委托代理人（签字）：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联系电话：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联系电话：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    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地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址：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纳税人名称：</w:t>
      </w:r>
      <w:r>
        <w:rPr>
          <w:rFonts w:hint="eastAsia" w:ascii="宋体" w:hAnsi="宋体" w:eastAsia="宋体" w:cs="宋体"/>
          <w:color w:val="auto"/>
          <w:sz w:val="22"/>
          <w:szCs w:val="22"/>
          <w:highlight w:val="none"/>
          <w:lang w:eastAsia="zh-CN"/>
        </w:rPr>
        <w:t>浙江安防职业技术学院</w:t>
      </w:r>
      <w:r>
        <w:rPr>
          <w:rFonts w:hint="eastAsia" w:ascii="宋体" w:hAnsi="宋体" w:eastAsia="宋体" w:cs="宋体"/>
          <w:color w:val="auto"/>
          <w:sz w:val="22"/>
          <w:szCs w:val="22"/>
          <w:highlight w:val="none"/>
        </w:rPr>
        <w:t xml:space="preserve">                    纳税人名称：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纳税人识别号：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纳税人识别号：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开户行：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开户行：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账号： </w:t>
      </w:r>
    </w:p>
    <w:p>
      <w:pPr>
        <w:jc w:val="center"/>
        <w:rPr>
          <w:rFonts w:ascii="黑体" w:hAnsi="黑体" w:eastAsia="黑体"/>
          <w:color w:val="auto"/>
          <w:sz w:val="22"/>
          <w:szCs w:val="22"/>
        </w:rPr>
      </w:pPr>
    </w:p>
    <w:p>
      <w:pPr>
        <w:jc w:val="center"/>
        <w:rPr>
          <w:rFonts w:ascii="黑体" w:hAnsi="黑体" w:eastAsia="黑体"/>
          <w:color w:val="auto"/>
          <w:sz w:val="28"/>
          <w:szCs w:val="28"/>
        </w:rPr>
      </w:pPr>
    </w:p>
    <w:p>
      <w:pPr>
        <w:jc w:val="center"/>
        <w:rPr>
          <w:rFonts w:hAnsi="宋体" w:cs="宋体"/>
          <w:b/>
          <w:bCs/>
          <w:color w:val="auto"/>
          <w:sz w:val="28"/>
          <w:szCs w:val="28"/>
        </w:rPr>
      </w:pPr>
    </w:p>
    <w:p>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2"/>
      <w:bookmarkStart w:id="54" w:name="_Toc4063"/>
      <w:r>
        <w:rPr>
          <w:rFonts w:hint="eastAsia" w:ascii="黑体" w:hAnsi="黑体" w:eastAsia="黑体"/>
          <w:b/>
          <w:bCs/>
          <w:color w:val="auto"/>
          <w:kern w:val="44"/>
          <w:sz w:val="36"/>
          <w:szCs w:val="36"/>
        </w:rPr>
        <w:t>第四部分  附   件</w:t>
      </w:r>
      <w:bookmarkEnd w:id="53"/>
      <w:bookmarkEnd w:id="54"/>
    </w:p>
    <w:p>
      <w:pPr>
        <w:pStyle w:val="4"/>
        <w:spacing w:line="240" w:lineRule="auto"/>
        <w:rPr>
          <w:rFonts w:ascii="宋体" w:hAnsi="宋体" w:eastAsia="宋体" w:cs="宋体"/>
          <w:color w:val="auto"/>
          <w:sz w:val="24"/>
          <w:szCs w:val="24"/>
        </w:rPr>
      </w:pPr>
      <w:bookmarkStart w:id="55" w:name="_Toc26723"/>
      <w:bookmarkStart w:id="56" w:name="_Toc230773784"/>
      <w:r>
        <w:rPr>
          <w:rFonts w:hint="eastAsia" w:ascii="宋体" w:hAnsi="宋体" w:eastAsia="宋体" w:cs="宋体"/>
          <w:color w:val="auto"/>
          <w:sz w:val="24"/>
          <w:szCs w:val="24"/>
        </w:rPr>
        <w:t>附件一 投标函</w:t>
      </w:r>
      <w:bookmarkEnd w:id="55"/>
      <w:bookmarkEnd w:id="56"/>
    </w:p>
    <w:p>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bookmarkStart w:id="57" w:name="_Toc195336280"/>
      <w:bookmarkStart w:id="58" w:name="_Toc218392089"/>
      <w:bookmarkStart w:id="59"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pStyle w:val="4"/>
        <w:spacing w:line="240" w:lineRule="auto"/>
        <w:rPr>
          <w:rFonts w:ascii="宋体" w:hAnsi="宋体" w:eastAsia="宋体" w:cs="宋体"/>
          <w:color w:val="auto"/>
          <w:sz w:val="24"/>
          <w:szCs w:val="24"/>
        </w:rPr>
      </w:pPr>
      <w:bookmarkStart w:id="60" w:name="_Toc28942"/>
      <w:r>
        <w:rPr>
          <w:rFonts w:hint="eastAsia" w:ascii="宋体" w:hAnsi="宋体" w:eastAsia="宋体" w:cs="宋体"/>
          <w:color w:val="auto"/>
          <w:sz w:val="24"/>
          <w:szCs w:val="24"/>
        </w:rPr>
        <w:t>附件二</w:t>
      </w:r>
      <w:bookmarkEnd w:id="57"/>
      <w:bookmarkEnd w:id="58"/>
      <w:r>
        <w:rPr>
          <w:rFonts w:hint="eastAsia" w:ascii="宋体" w:hAnsi="宋体" w:eastAsia="宋体" w:cs="宋体"/>
          <w:color w:val="auto"/>
          <w:sz w:val="24"/>
          <w:szCs w:val="24"/>
        </w:rPr>
        <w:t xml:space="preserve"> 投标报价一览表</w:t>
      </w:r>
      <w:bookmarkEnd w:id="59"/>
      <w:bookmarkEnd w:id="60"/>
    </w:p>
    <w:p>
      <w:pPr>
        <w:pStyle w:val="18"/>
        <w:rPr>
          <w:color w:val="auto"/>
        </w:rPr>
      </w:pPr>
    </w:p>
    <w:p>
      <w:pPr>
        <w:spacing w:line="400" w:lineRule="exact"/>
        <w:jc w:val="center"/>
        <w:rPr>
          <w:rFonts w:ascii="宋体" w:hAnsi="宋体" w:cs="宋体"/>
          <w:b/>
          <w:bCs/>
          <w:color w:val="auto"/>
          <w:sz w:val="28"/>
          <w:szCs w:val="28"/>
        </w:rPr>
      </w:pPr>
      <w:bookmarkStart w:id="61" w:name="_Toc195336281"/>
      <w:bookmarkStart w:id="62" w:name="_Toc345161250"/>
      <w:bookmarkStart w:id="63" w:name="_Toc218392090"/>
      <w:bookmarkStart w:id="64" w:name="_Toc230773786"/>
      <w:bookmarkStart w:id="65" w:name="_Toc230773789"/>
      <w:r>
        <w:rPr>
          <w:rFonts w:hint="eastAsia" w:ascii="宋体" w:hAnsi="宋体" w:cs="宋体"/>
          <w:b/>
          <w:bCs/>
          <w:color w:val="auto"/>
          <w:sz w:val="28"/>
          <w:szCs w:val="28"/>
        </w:rPr>
        <w:t>投标报价一览表</w:t>
      </w:r>
    </w:p>
    <w:p>
      <w:pPr>
        <w:spacing w:line="380" w:lineRule="exact"/>
        <w:jc w:val="center"/>
        <w:rPr>
          <w:rFonts w:ascii="宋体" w:hAnsi="宋体" w:cs="宋体"/>
          <w:b/>
          <w:bCs/>
          <w:color w:val="auto"/>
          <w:sz w:val="28"/>
        </w:rPr>
      </w:pPr>
    </w:p>
    <w:p>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pPr>
              <w:spacing w:line="380" w:lineRule="exact"/>
              <w:jc w:val="center"/>
              <w:rPr>
                <w:rFonts w:ascii="宋体" w:hAnsi="宋体" w:cs="宋体"/>
                <w:color w:val="auto"/>
                <w:sz w:val="22"/>
                <w:szCs w:val="22"/>
              </w:rPr>
            </w:pPr>
            <w:r>
              <w:rPr>
                <w:rFonts w:hint="eastAsia" w:ascii="宋体" w:hAnsi="宋体" w:cs="宋体"/>
                <w:color w:val="auto"/>
                <w:sz w:val="22"/>
                <w:szCs w:val="22"/>
              </w:rPr>
              <w:t>智能制造领域中外人文交流人才培养基地（一期）</w:t>
            </w: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pPr>
              <w:spacing w:line="380" w:lineRule="exact"/>
              <w:jc w:val="center"/>
              <w:rPr>
                <w:rFonts w:ascii="宋体" w:hAnsi="宋体" w:cs="宋体"/>
                <w:color w:val="auto"/>
                <w:sz w:val="22"/>
                <w:szCs w:val="22"/>
              </w:rPr>
            </w:pPr>
          </w:p>
        </w:tc>
        <w:tc>
          <w:tcPr>
            <w:tcW w:w="1007" w:type="pct"/>
            <w:vMerge w:val="continue"/>
            <w:vAlign w:val="center"/>
          </w:tcPr>
          <w:p>
            <w:pPr>
              <w:spacing w:line="380" w:lineRule="exact"/>
              <w:jc w:val="center"/>
              <w:rPr>
                <w:rFonts w:ascii="宋体" w:hAnsi="宋体" w:cs="宋体"/>
                <w:color w:val="auto"/>
                <w:sz w:val="22"/>
                <w:szCs w:val="22"/>
              </w:rPr>
            </w:pP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pPr>
              <w:spacing w:line="380" w:lineRule="exact"/>
              <w:jc w:val="center"/>
              <w:rPr>
                <w:rFonts w:ascii="宋体" w:hAnsi="宋体"/>
                <w:bCs/>
                <w:color w:val="auto"/>
                <w:sz w:val="22"/>
                <w:szCs w:val="22"/>
              </w:rPr>
            </w:pPr>
          </w:p>
        </w:tc>
      </w:tr>
    </w:tbl>
    <w:p>
      <w:pPr>
        <w:spacing w:line="440" w:lineRule="exact"/>
        <w:ind w:left="528" w:leftChars="38" w:hanging="448" w:hangingChars="203"/>
        <w:rPr>
          <w:rFonts w:ascii="宋体" w:hAnsi="宋体" w:cs="宋体"/>
          <w:b/>
          <w:bCs/>
          <w:color w:val="auto"/>
          <w:sz w:val="22"/>
          <w:szCs w:val="22"/>
        </w:rPr>
      </w:pPr>
      <w:r>
        <w:rPr>
          <w:rFonts w:hint="eastAsia" w:ascii="宋体" w:hAnsi="宋体" w:cs="宋体"/>
          <w:b/>
          <w:bCs/>
          <w:color w:val="auto"/>
          <w:sz w:val="22"/>
          <w:szCs w:val="22"/>
        </w:rPr>
        <w:t>说明：</w:t>
      </w:r>
    </w:p>
    <w:p>
      <w:pPr>
        <w:spacing w:line="440" w:lineRule="exact"/>
        <w:ind w:left="521" w:leftChars="248" w:firstLine="216" w:firstLineChars="98"/>
        <w:rPr>
          <w:rFonts w:ascii="宋体" w:hAnsi="宋体"/>
          <w:b/>
          <w:bCs/>
          <w:color w:val="auto"/>
          <w:sz w:val="22"/>
          <w:szCs w:val="22"/>
        </w:rPr>
      </w:pPr>
      <w:r>
        <w:rPr>
          <w:rFonts w:hint="eastAsia" w:ascii="宋体" w:hAnsi="宋体"/>
          <w:b/>
          <w:bCs/>
          <w:color w:val="auto"/>
          <w:sz w:val="22"/>
          <w:szCs w:val="22"/>
        </w:rPr>
        <w:t>1.此栏内投标报价应与附件三“投标分项报价表”中相应总计价相一致；</w:t>
      </w:r>
    </w:p>
    <w:p>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pPr>
        <w:spacing w:line="440" w:lineRule="exact"/>
        <w:ind w:firstLine="9460" w:firstLineChars="4300"/>
        <w:rPr>
          <w:rFonts w:ascii="宋体" w:hAnsi="宋体" w:cs="宋体"/>
          <w:color w:val="auto"/>
          <w:sz w:val="22"/>
          <w:szCs w:val="22"/>
        </w:rPr>
      </w:pPr>
    </w:p>
    <w:p>
      <w:pPr>
        <w:spacing w:line="440" w:lineRule="exact"/>
        <w:ind w:firstLine="9460" w:firstLineChars="4300"/>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440" w:lineRule="exact"/>
        <w:rPr>
          <w:rFonts w:ascii="宋体" w:hAnsi="宋体" w:cs="宋体"/>
          <w:color w:val="auto"/>
          <w:sz w:val="22"/>
          <w:szCs w:val="22"/>
        </w:rPr>
      </w:pPr>
    </w:p>
    <w:p>
      <w:pPr>
        <w:pStyle w:val="4"/>
        <w:spacing w:line="240" w:lineRule="auto"/>
        <w:rPr>
          <w:rFonts w:ascii="宋体" w:hAnsi="宋体" w:eastAsia="宋体"/>
          <w:color w:val="auto"/>
          <w:sz w:val="24"/>
          <w:szCs w:val="24"/>
        </w:rPr>
      </w:pPr>
      <w:bookmarkStart w:id="66" w:name="_Toc340922814"/>
      <w:r>
        <w:rPr>
          <w:rFonts w:ascii="宋体" w:hAnsi="宋体" w:eastAsia="宋体"/>
          <w:color w:val="auto"/>
          <w:sz w:val="24"/>
          <w:szCs w:val="24"/>
        </w:rPr>
        <w:br w:type="page"/>
      </w:r>
      <w:bookmarkStart w:id="67" w:name="_Toc32212"/>
      <w:r>
        <w:rPr>
          <w:rFonts w:hint="eastAsia" w:ascii="宋体" w:hAnsi="宋体" w:eastAsia="宋体"/>
          <w:color w:val="auto"/>
          <w:sz w:val="24"/>
          <w:szCs w:val="24"/>
        </w:rPr>
        <w:t>附件三 投标分项报价表</w:t>
      </w:r>
      <w:bookmarkEnd w:id="66"/>
      <w:bookmarkEnd w:id="67"/>
    </w:p>
    <w:p>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379"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4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29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641"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494"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42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pPr>
              <w:spacing w:line="400" w:lineRule="exact"/>
              <w:jc w:val="center"/>
              <w:rPr>
                <w:rFonts w:ascii="宋体" w:hAnsi="宋体"/>
                <w:color w:val="auto"/>
                <w:sz w:val="22"/>
                <w:szCs w:val="22"/>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pPr>
              <w:spacing w:line="400" w:lineRule="exact"/>
              <w:jc w:val="center"/>
              <w:rPr>
                <w:rFonts w:ascii="宋体" w:hAnsi="宋体"/>
                <w:color w:val="auto"/>
                <w:sz w:val="22"/>
                <w:szCs w:val="22"/>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pPr>
              <w:spacing w:line="380" w:lineRule="exact"/>
              <w:jc w:val="center"/>
              <w:rPr>
                <w:rFonts w:ascii="宋体" w:hAnsi="宋体"/>
                <w:bCs/>
                <w:color w:val="auto"/>
                <w:sz w:val="22"/>
                <w:szCs w:val="22"/>
                <w:highlight w:val="yellow"/>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7</w:t>
            </w:r>
          </w:p>
        </w:tc>
        <w:tc>
          <w:tcPr>
            <w:tcW w:w="1379" w:type="pct"/>
            <w:vAlign w:val="center"/>
          </w:tcPr>
          <w:p>
            <w:pPr>
              <w:spacing w:line="400" w:lineRule="exact"/>
              <w:rPr>
                <w:rFonts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8</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9</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其他</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292" w:type="pct"/>
            <w:gridSpan w:val="7"/>
            <w:vAlign w:val="center"/>
          </w:tcPr>
          <w:p>
            <w:pPr>
              <w:spacing w:line="380" w:lineRule="exact"/>
              <w:jc w:val="center"/>
              <w:rPr>
                <w:rFonts w:ascii="宋体" w:hAnsi="宋体"/>
                <w:bCs/>
                <w:color w:val="auto"/>
                <w:sz w:val="22"/>
                <w:szCs w:val="22"/>
              </w:rPr>
            </w:pPr>
          </w:p>
        </w:tc>
      </w:tr>
    </w:tbl>
    <w:p>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pPr>
        <w:spacing w:line="440" w:lineRule="exact"/>
        <w:ind w:firstLine="72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4.</w:t>
      </w:r>
      <w:r>
        <w:rPr>
          <w:rFonts w:hint="eastAsia" w:ascii="宋体" w:hAnsi="宋体"/>
          <w:b/>
          <w:bCs/>
          <w:color w:val="auto"/>
          <w:sz w:val="22"/>
          <w:szCs w:val="22"/>
        </w:rPr>
        <w:t>▲</w:t>
      </w:r>
      <w:r>
        <w:rPr>
          <w:rFonts w:hint="eastAsia" w:ascii="宋体" w:hAnsi="宋体" w:eastAsia="宋体"/>
          <w:color w:val="auto"/>
          <w:sz w:val="22"/>
          <w:szCs w:val="22"/>
          <w:u w:val="single"/>
          <w:lang w:val="en-US" w:eastAsia="zh-CN"/>
        </w:rPr>
        <w:t>考虑学校后期资产管理，本项目中实训室改造预算</w:t>
      </w:r>
      <w:r>
        <w:rPr>
          <w:rFonts w:hint="eastAsia" w:ascii="宋体" w:hAnsi="宋体"/>
          <w:color w:val="auto"/>
          <w:sz w:val="22"/>
          <w:szCs w:val="22"/>
          <w:u w:val="single"/>
          <w:lang w:val="en-US" w:eastAsia="zh-CN"/>
        </w:rPr>
        <w:t>27</w:t>
      </w:r>
      <w:r>
        <w:rPr>
          <w:rFonts w:hint="eastAsia" w:ascii="宋体" w:hAnsi="宋体" w:eastAsia="宋体"/>
          <w:color w:val="auto"/>
          <w:sz w:val="22"/>
          <w:szCs w:val="22"/>
          <w:u w:val="single"/>
          <w:lang w:val="en-US" w:eastAsia="zh-CN"/>
        </w:rPr>
        <w:t>万</w:t>
      </w:r>
      <w:r>
        <w:rPr>
          <w:rFonts w:hint="eastAsia" w:ascii="宋体" w:hAnsi="宋体"/>
          <w:color w:val="auto"/>
          <w:sz w:val="22"/>
          <w:szCs w:val="22"/>
          <w:u w:val="single"/>
          <w:lang w:val="en-US" w:eastAsia="zh-CN"/>
        </w:rPr>
        <w:t>元</w:t>
      </w:r>
      <w:r>
        <w:rPr>
          <w:rFonts w:hint="eastAsia" w:ascii="宋体" w:hAnsi="宋体" w:eastAsia="宋体"/>
          <w:color w:val="auto"/>
          <w:sz w:val="22"/>
          <w:szCs w:val="22"/>
          <w:u w:val="single"/>
          <w:lang w:val="en-US" w:eastAsia="zh-CN"/>
        </w:rPr>
        <w:t>（供应商分项报价不得超对应金额）</w:t>
      </w:r>
      <w:r>
        <w:rPr>
          <w:rFonts w:hint="eastAsia" w:ascii="宋体" w:hAnsi="宋体" w:eastAsia="宋体"/>
          <w:color w:val="auto"/>
          <w:sz w:val="22"/>
          <w:szCs w:val="22"/>
          <w:lang w:val="en-US" w:eastAsia="zh-CN"/>
        </w:rPr>
        <w:t>。</w:t>
      </w:r>
    </w:p>
    <w:p>
      <w:pPr>
        <w:pStyle w:val="17"/>
        <w:ind w:firstLine="560"/>
        <w:rPr>
          <w:rFonts w:ascii="仿宋_GB2312"/>
          <w:color w:val="auto"/>
          <w:sz w:val="28"/>
          <w:szCs w:val="28"/>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380" w:lineRule="exact"/>
        <w:ind w:firstLine="9460" w:firstLineChars="4300"/>
        <w:rPr>
          <w:rFonts w:ascii="宋体" w:hAnsi="宋体" w:cs="宋体"/>
          <w:color w:val="auto"/>
          <w:sz w:val="22"/>
          <w:szCs w:val="22"/>
        </w:rPr>
      </w:pPr>
    </w:p>
    <w:p>
      <w:pPr>
        <w:pStyle w:val="4"/>
        <w:spacing w:line="240" w:lineRule="auto"/>
        <w:rPr>
          <w:rFonts w:ascii="宋体" w:hAnsi="宋体" w:cs="宋体"/>
          <w:color w:val="auto"/>
          <w:sz w:val="24"/>
        </w:rPr>
      </w:pPr>
      <w:r>
        <w:rPr>
          <w:rFonts w:hint="eastAsia" w:ascii="宋体" w:hAnsi="宋体" w:cs="宋体"/>
          <w:color w:val="auto"/>
          <w:sz w:val="22"/>
          <w:szCs w:val="22"/>
        </w:rPr>
        <w:br w:type="page"/>
      </w:r>
      <w:bookmarkEnd w:id="61"/>
      <w:bookmarkEnd w:id="62"/>
      <w:bookmarkEnd w:id="63"/>
      <w:bookmarkEnd w:id="64"/>
      <w:bookmarkStart w:id="68" w:name="_Toc2784"/>
      <w:r>
        <w:rPr>
          <w:rFonts w:hint="eastAsia" w:ascii="宋体" w:hAnsi="宋体" w:eastAsia="宋体"/>
          <w:color w:val="auto"/>
          <w:sz w:val="24"/>
          <w:szCs w:val="24"/>
        </w:rPr>
        <w:t>附件四 资格证明文件</w:t>
      </w:r>
      <w:bookmarkEnd w:id="65"/>
      <w:bookmarkEnd w:id="68"/>
    </w:p>
    <w:p>
      <w:pPr>
        <w:jc w:val="center"/>
        <w:rPr>
          <w:rFonts w:ascii="宋体" w:hAnsi="宋体" w:cs="宋体"/>
          <w:b/>
          <w:color w:val="auto"/>
          <w:sz w:val="28"/>
          <w:szCs w:val="28"/>
        </w:rPr>
      </w:pPr>
      <w:r>
        <w:rPr>
          <w:rFonts w:hint="eastAsia" w:ascii="宋体" w:hAnsi="宋体" w:cs="宋体"/>
          <w:b/>
          <w:color w:val="auto"/>
          <w:sz w:val="28"/>
          <w:szCs w:val="28"/>
        </w:rPr>
        <w:t>资格证明文件</w:t>
      </w:r>
    </w:p>
    <w:p>
      <w:pPr>
        <w:spacing w:line="440" w:lineRule="exact"/>
        <w:jc w:val="center"/>
        <w:rPr>
          <w:rFonts w:ascii="宋体" w:hAnsi="宋体" w:cs="宋体"/>
          <w:b/>
          <w:color w:val="auto"/>
          <w:szCs w:val="22"/>
        </w:rPr>
      </w:pPr>
      <w:r>
        <w:rPr>
          <w:rFonts w:hint="eastAsia" w:ascii="宋体" w:hAnsi="宋体" w:cs="宋体"/>
          <w:b/>
          <w:color w:val="auto"/>
          <w:sz w:val="24"/>
        </w:rPr>
        <w:t>（1）法定代表人身份证明法定代表人、单位负责人或自然人本人的身份证明（适用于法定代表人、单位负责人或者自然人本人代表投标人参加投标）</w:t>
      </w:r>
    </w:p>
    <w:p>
      <w:pPr>
        <w:autoSpaceDE w:val="0"/>
        <w:autoSpaceDN w:val="0"/>
        <w:adjustRightInd w:val="0"/>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pPr>
        <w:autoSpaceDE w:val="0"/>
        <w:autoSpaceDN w:val="0"/>
        <w:adjustRightInd w:val="0"/>
        <w:jc w:val="left"/>
        <w:rPr>
          <w:rFonts w:ascii="宋体" w:hAnsi="宋体" w:cs="宋体"/>
          <w:color w:val="auto"/>
          <w:sz w:val="22"/>
          <w:szCs w:val="22"/>
        </w:rPr>
      </w:pPr>
    </w:p>
    <w:p>
      <w:pPr>
        <w:spacing w:line="380" w:lineRule="exact"/>
        <w:jc w:val="center"/>
        <w:rPr>
          <w:rFonts w:ascii="宋体" w:hAnsi="宋体" w:cs="宋体"/>
          <w:b/>
          <w:color w:val="auto"/>
          <w:sz w:val="24"/>
        </w:rPr>
      </w:pPr>
    </w:p>
    <w:p>
      <w:pPr>
        <w:spacing w:line="380" w:lineRule="exact"/>
        <w:rPr>
          <w:rFonts w:ascii="宋体" w:hAnsi="宋体" w:cs="宋体"/>
          <w:b/>
          <w:color w:val="auto"/>
          <w:sz w:val="24"/>
        </w:rPr>
      </w:pPr>
      <w:r>
        <w:rPr>
          <w:rFonts w:hint="eastAsia" w:ascii="宋体" w:hAnsi="宋体" w:cs="宋体"/>
          <w:b/>
          <w:color w:val="auto"/>
          <w:sz w:val="24"/>
        </w:rPr>
        <w:t>附：法定代表人身份证明</w:t>
      </w:r>
    </w:p>
    <w:p>
      <w:pPr>
        <w:spacing w:line="380" w:lineRule="exact"/>
        <w:rPr>
          <w:rFonts w:ascii="宋体" w:hAnsi="宋体" w:cs="宋体"/>
          <w:b/>
          <w:color w:val="auto"/>
          <w:sz w:val="24"/>
        </w:rPr>
      </w:pPr>
    </w:p>
    <w:tbl>
      <w:tblPr>
        <w:tblStyle w:val="36"/>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pPr>
        <w:spacing w:line="460" w:lineRule="exact"/>
        <w:rPr>
          <w:rFonts w:ascii="宋体" w:hAnsi="宋体" w:cs="宋体"/>
          <w:color w:val="auto"/>
          <w:sz w:val="22"/>
          <w:szCs w:val="22"/>
        </w:rPr>
      </w:pPr>
    </w:p>
    <w:p>
      <w:pPr>
        <w:spacing w:line="460" w:lineRule="exact"/>
        <w:rPr>
          <w:rFonts w:ascii="宋体" w:hAnsi="宋体" w:cs="宋体"/>
          <w:b/>
          <w:color w:val="auto"/>
          <w:sz w:val="24"/>
        </w:rPr>
      </w:pPr>
      <w:r>
        <w:rPr>
          <w:rFonts w:hint="eastAsia" w:ascii="宋体" w:hAnsi="宋体" w:cs="宋体"/>
          <w:b/>
          <w:color w:val="auto"/>
          <w:sz w:val="24"/>
        </w:rPr>
        <w:t>浙江安防职业技术学院：</w:t>
      </w:r>
    </w:p>
    <w:p>
      <w:pPr>
        <w:spacing w:line="440" w:lineRule="exact"/>
        <w:rPr>
          <w:rFonts w:ascii="宋体" w:hAnsi="宋体" w:cs="宋体"/>
          <w:color w:val="auto"/>
          <w:sz w:val="22"/>
          <w:szCs w:val="22"/>
          <w:u w:val="single"/>
        </w:rPr>
      </w:pP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pPr>
        <w:spacing w:line="440" w:lineRule="exact"/>
        <w:ind w:firstLine="295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附：</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pPr>
        <w:spacing w:line="440" w:lineRule="exact"/>
        <w:ind w:firstLine="220" w:firstLineChars="100"/>
        <w:rPr>
          <w:rFonts w:ascii="宋体" w:hAnsi="宋体" w:cs="宋体"/>
          <w:color w:val="auto"/>
          <w:sz w:val="22"/>
          <w:szCs w:val="22"/>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440" w:lineRule="exact"/>
        <w:rPr>
          <w:rFonts w:ascii="宋体" w:hAnsi="宋体" w:cs="宋体"/>
          <w:b/>
          <w:bCs/>
          <w:color w:val="auto"/>
          <w:sz w:val="22"/>
          <w:szCs w:val="22"/>
        </w:rPr>
      </w:pPr>
    </w:p>
    <w:p>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pPr>
        <w:pStyle w:val="18"/>
        <w:rPr>
          <w:color w:val="auto"/>
        </w:rPr>
      </w:pPr>
    </w:p>
    <w:p>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pPr>
        <w:widowControl/>
        <w:adjustRightInd w:val="0"/>
        <w:snapToGrid w:val="0"/>
        <w:spacing w:line="440" w:lineRule="exact"/>
        <w:ind w:firstLine="440" w:firstLineChars="200"/>
        <w:jc w:val="left"/>
        <w:rPr>
          <w:rFonts w:ascii="宋体" w:hAnsi="宋体" w:cs="Arial"/>
          <w:color w:val="auto"/>
          <w:sz w:val="22"/>
          <w:szCs w:val="22"/>
        </w:rPr>
      </w:pP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pPr>
        <w:pStyle w:val="18"/>
        <w:rPr>
          <w:rFonts w:ascii="宋体" w:hAnsi="宋体"/>
          <w:color w:val="auto"/>
          <w:sz w:val="22"/>
          <w:szCs w:val="22"/>
        </w:rPr>
      </w:pPr>
    </w:p>
    <w:p>
      <w:pPr>
        <w:pStyle w:val="88"/>
        <w:rPr>
          <w:rFonts w:hAnsi="宋体"/>
          <w:color w:val="auto"/>
          <w:sz w:val="22"/>
          <w:szCs w:val="22"/>
        </w:rPr>
      </w:pPr>
    </w:p>
    <w:p>
      <w:pPr>
        <w:rPr>
          <w:rFonts w:ascii="宋体" w:hAnsi="宋体"/>
          <w:color w:val="auto"/>
          <w:sz w:val="22"/>
          <w:szCs w:val="22"/>
        </w:rPr>
      </w:pPr>
    </w:p>
    <w:p>
      <w:pPr>
        <w:pStyle w:val="18"/>
        <w:rPr>
          <w:rFonts w:ascii="宋体" w:hAnsi="宋体"/>
          <w:color w:val="auto"/>
          <w:sz w:val="22"/>
          <w:szCs w:val="22"/>
        </w:rPr>
      </w:pPr>
    </w:p>
    <w:p>
      <w:pPr>
        <w:pStyle w:val="88"/>
        <w:rPr>
          <w:rFonts w:hAnsi="宋体"/>
          <w:color w:val="auto"/>
          <w:sz w:val="22"/>
          <w:szCs w:val="22"/>
        </w:rPr>
      </w:pPr>
    </w:p>
    <w:p>
      <w:pPr>
        <w:rPr>
          <w:rFonts w:ascii="宋体" w:hAnsi="宋体"/>
          <w:color w:val="auto"/>
          <w:sz w:val="22"/>
          <w:szCs w:val="22"/>
        </w:rPr>
      </w:pPr>
    </w:p>
    <w:p>
      <w:pPr>
        <w:pStyle w:val="18"/>
        <w:rPr>
          <w:rFonts w:ascii="宋体" w:hAnsi="宋体"/>
          <w:color w:val="auto"/>
          <w:sz w:val="22"/>
          <w:szCs w:val="22"/>
        </w:rPr>
      </w:pPr>
    </w:p>
    <w:p>
      <w:pPr>
        <w:pStyle w:val="88"/>
        <w:rPr>
          <w:color w:val="auto"/>
        </w:rPr>
      </w:pPr>
    </w:p>
    <w:p>
      <w:pPr>
        <w:rPr>
          <w:rFonts w:ascii="宋体" w:hAnsi="宋体" w:cs="宋体"/>
          <w:b/>
          <w:color w:val="auto"/>
          <w:sz w:val="24"/>
        </w:rPr>
      </w:pPr>
    </w:p>
    <w:p>
      <w:pPr>
        <w:rPr>
          <w:rFonts w:ascii="宋体" w:hAnsi="宋体" w:cs="宋体"/>
          <w:b/>
          <w:color w:val="auto"/>
          <w:sz w:val="24"/>
        </w:rPr>
      </w:pPr>
      <w:bookmarkStart w:id="69" w:name="_Toc184281694"/>
      <w:bookmarkStart w:id="70" w:name="_Toc230773787"/>
      <w:bookmarkStart w:id="71" w:name="_Toc218392091"/>
      <w:bookmarkStart w:id="72" w:name="_Toc184281693"/>
      <w:r>
        <w:rPr>
          <w:rFonts w:hint="eastAsia" w:ascii="宋体" w:hAnsi="宋体" w:cs="宋体"/>
          <w:b/>
          <w:color w:val="auto"/>
          <w:sz w:val="24"/>
        </w:rPr>
        <w:br w:type="page"/>
      </w:r>
    </w:p>
    <w:p>
      <w:pPr>
        <w:widowControl/>
        <w:spacing w:before="100" w:beforeAutospacing="1" w:after="100" w:afterAutospacing="1" w:line="360" w:lineRule="auto"/>
        <w:jc w:val="center"/>
        <w:rPr>
          <w:rFonts w:ascii="新宋体" w:hAnsi="新宋体" w:eastAsia="新宋体" w:cs="新宋体"/>
          <w:color w:val="auto"/>
          <w:sz w:val="22"/>
          <w:szCs w:val="22"/>
        </w:rPr>
      </w:pPr>
      <w:r>
        <w:rPr>
          <w:rFonts w:hint="eastAsia" w:ascii="宋体" w:hAnsi="宋体" w:cs="宋体"/>
          <w:b/>
          <w:color w:val="auto"/>
          <w:sz w:val="24"/>
        </w:rPr>
        <w:t>（4）联合体协议书（如为联合体投标，请提供）</w:t>
      </w:r>
    </w:p>
    <w:p>
      <w:pPr>
        <w:widowControl/>
        <w:spacing w:before="100" w:beforeAutospacing="1" w:after="100" w:afterAutospacing="1" w:line="360" w:lineRule="auto"/>
        <w:jc w:val="center"/>
        <w:rPr>
          <w:rFonts w:ascii="新宋体" w:hAnsi="新宋体" w:eastAsia="新宋体" w:cs="新宋体"/>
          <w:color w:val="auto"/>
          <w:sz w:val="22"/>
          <w:szCs w:val="22"/>
        </w:rPr>
      </w:pPr>
    </w:p>
    <w:p>
      <w:pPr>
        <w:widowControl/>
        <w:snapToGrid w:val="0"/>
        <w:spacing w:line="360" w:lineRule="auto"/>
        <w:ind w:firstLine="440" w:firstLineChars="200"/>
        <w:jc w:val="left"/>
        <w:rPr>
          <w:rFonts w:ascii="宋体" w:hAnsi="宋体" w:cs="仿宋_GB2312"/>
          <w:color w:val="auto"/>
          <w:sz w:val="22"/>
          <w:u w:val="single"/>
        </w:rPr>
      </w:pPr>
      <w:r>
        <w:rPr>
          <w:rFonts w:ascii="宋体" w:hAnsi="宋体" w:cs="仿宋_GB2312"/>
          <w:color w:val="auto"/>
          <w:sz w:val="22"/>
        </w:rPr>
        <w:t xml:space="preserve">甲公司（全称）： </w:t>
      </w:r>
      <w:r>
        <w:rPr>
          <w:rFonts w:ascii="宋体" w:hAnsi="宋体" w:cs="仿宋_GB2312"/>
          <w:color w:val="auto"/>
          <w:sz w:val="22"/>
          <w:u w:val="single"/>
        </w:rPr>
        <w:t xml:space="preserve">             </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 xml:space="preserve">乙公司（全称）： </w:t>
      </w:r>
      <w:r>
        <w:rPr>
          <w:rFonts w:ascii="宋体" w:hAnsi="宋体" w:cs="仿宋_GB2312"/>
          <w:color w:val="auto"/>
          <w:sz w:val="22"/>
          <w:u w:val="single"/>
        </w:rPr>
        <w:t xml:space="preserve">             </w:t>
      </w:r>
    </w:p>
    <w:p>
      <w:pPr>
        <w:snapToGrid w:val="0"/>
        <w:spacing w:line="360" w:lineRule="auto"/>
        <w:ind w:firstLine="440" w:firstLineChars="200"/>
        <w:rPr>
          <w:rFonts w:ascii="宋体" w:hAnsi="宋体" w:cs="仿宋_GB2312"/>
          <w:color w:val="auto"/>
          <w:sz w:val="22"/>
        </w:rPr>
      </w:pP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本协议书各方遵循平等、自愿、公平和诚实信用的原则，共同愿意组成联合体，实施、完成合同内容。现就下列有关事宜，订立本协议书。</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1.（甲公司名称）为联合体主办人，（乙公司名称）为联合体成员；</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 联合体内部有关事项规定如下：</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2.1 联合体由主办人负责与采购人联系；</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2.2 合同一切工作由联合体主办人负责组织，由联合体各方按内部划分比例具体实施；</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2.3 联合体将严格按照招标文件的各项要求，切实执行一切合同文件，共同承担合同约定的一切义务和责任，同时按照内部划分的职责，各自承担自身的责任和风险；</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2.4 联合体内部各自按下列分工负责本项目工作：</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主办人（甲公司名称）承担本项目的</w:t>
      </w:r>
      <w:r>
        <w:rPr>
          <w:rFonts w:ascii="宋体" w:hAnsi="宋体" w:cs="仿宋_GB2312"/>
          <w:color w:val="auto"/>
          <w:sz w:val="22"/>
          <w:u w:val="single"/>
        </w:rPr>
        <w:t xml:space="preserve">                </w:t>
      </w:r>
      <w:r>
        <w:rPr>
          <w:rFonts w:ascii="宋体" w:hAnsi="宋体" w:cs="仿宋_GB2312"/>
          <w:color w:val="auto"/>
          <w:sz w:val="22"/>
        </w:rPr>
        <w:t>等工作，联合体成员（乙公司名称）各承担本项目的</w:t>
      </w:r>
      <w:r>
        <w:rPr>
          <w:rFonts w:ascii="宋体" w:hAnsi="宋体" w:cs="仿宋_GB2312"/>
          <w:color w:val="auto"/>
          <w:sz w:val="22"/>
          <w:u w:val="single"/>
        </w:rPr>
        <w:t xml:space="preserve">                </w:t>
      </w:r>
      <w:r>
        <w:rPr>
          <w:rFonts w:ascii="宋体" w:hAnsi="宋体" w:cs="仿宋_GB2312"/>
          <w:color w:val="auto"/>
          <w:sz w:val="22"/>
        </w:rPr>
        <w:t>等工作；</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2.5 联合体在合同实施过程中的有关费用</w:t>
      </w:r>
      <w:r>
        <w:rPr>
          <w:rFonts w:hint="eastAsia" w:ascii="宋体" w:hAnsi="宋体" w:cs="仿宋_GB2312"/>
          <w:color w:val="auto"/>
          <w:sz w:val="22"/>
        </w:rPr>
        <w:t>情况：</w:t>
      </w:r>
      <w:r>
        <w:rPr>
          <w:rFonts w:hint="eastAsia" w:ascii="宋体" w:hAnsi="宋体" w:cs="仿宋_GB2312"/>
          <w:color w:val="auto"/>
          <w:sz w:val="22"/>
          <w:u w:val="single"/>
        </w:rPr>
        <w:t xml:space="preserve"> </w:t>
      </w:r>
      <w:r>
        <w:rPr>
          <w:rFonts w:ascii="宋体" w:hAnsi="宋体" w:cs="仿宋_GB2312"/>
          <w:color w:val="auto"/>
          <w:sz w:val="22"/>
          <w:u w:val="single"/>
        </w:rPr>
        <w:t xml:space="preserve">                </w:t>
      </w:r>
      <w:r>
        <w:rPr>
          <w:rFonts w:ascii="宋体" w:hAnsi="宋体" w:cs="仿宋_GB2312"/>
          <w:color w:val="auto"/>
          <w:sz w:val="22"/>
        </w:rPr>
        <w:t>。</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3. 联合体主办人应将本协议书送交采购人；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4. 本协议书自签署之日起生效，至各方履行完</w:t>
      </w:r>
      <w:r>
        <w:rPr>
          <w:color w:val="auto"/>
        </w:rPr>
        <w:fldChar w:fldCharType="begin"/>
      </w:r>
      <w:r>
        <w:rPr>
          <w:color w:val="auto"/>
        </w:rPr>
        <w:instrText xml:space="preserve"> HYPERLINK "https://baike.baidu.com/item/%E5%8B%98%E5%AF%9F%E8%AE%BE%E8%AE%A1%E5%90%88%E5%90%8C" \t "_blank" </w:instrText>
      </w:r>
      <w:r>
        <w:rPr>
          <w:color w:val="auto"/>
        </w:rPr>
        <w:fldChar w:fldCharType="separate"/>
      </w:r>
      <w:r>
        <w:rPr>
          <w:rFonts w:ascii="宋体" w:hAnsi="宋体" w:cs="仿宋_GB2312"/>
          <w:color w:val="auto"/>
          <w:sz w:val="22"/>
        </w:rPr>
        <w:t>合同</w:t>
      </w:r>
      <w:r>
        <w:rPr>
          <w:rFonts w:ascii="宋体" w:hAnsi="宋体" w:cs="仿宋_GB2312"/>
          <w:color w:val="auto"/>
          <w:sz w:val="22"/>
        </w:rPr>
        <w:fldChar w:fldCharType="end"/>
      </w:r>
      <w:r>
        <w:rPr>
          <w:rFonts w:ascii="宋体" w:hAnsi="宋体" w:cs="仿宋_GB2312"/>
          <w:color w:val="auto"/>
          <w:sz w:val="22"/>
        </w:rPr>
        <w:t>全部义务后自行失效，并随合同的终止而终止；</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5. 本协议书正本一式伍份，联合体主办人及成员各执壹份，交采购人执贰份，交采购代理机构壹份。</w:t>
      </w:r>
    </w:p>
    <w:p>
      <w:pPr>
        <w:snapToGrid w:val="0"/>
        <w:spacing w:line="360" w:lineRule="auto"/>
        <w:ind w:firstLine="440" w:firstLineChars="200"/>
        <w:rPr>
          <w:rFonts w:ascii="宋体" w:hAnsi="宋体" w:cs="仿宋_GB2312"/>
          <w:color w:val="auto"/>
          <w:sz w:val="22"/>
        </w:rPr>
      </w:pPr>
    </w:p>
    <w:p>
      <w:pPr>
        <w:pStyle w:val="19"/>
        <w:ind w:firstLine="210"/>
        <w:rPr>
          <w:rFonts w:ascii="宋体" w:hAnsi="宋体"/>
          <w:color w:val="auto"/>
        </w:rPr>
      </w:pPr>
    </w:p>
    <w:p>
      <w:pPr>
        <w:pStyle w:val="19"/>
        <w:ind w:firstLine="210"/>
        <w:rPr>
          <w:rFonts w:ascii="宋体" w:hAnsi="宋体"/>
          <w:color w:val="auto"/>
        </w:rPr>
      </w:pP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甲公司名称：（公章）                     乙公司名称：（公章）</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法定代表人：                             法定代表人：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委托代理人：                             委托代理人：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联系电话：                               联系电话：</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日期：      年      月    日             日期：       年     月     日</w:t>
      </w:r>
    </w:p>
    <w:p>
      <w:pPr>
        <w:spacing w:line="360" w:lineRule="auto"/>
        <w:rPr>
          <w:rFonts w:ascii="宋体" w:hAnsi="宋体"/>
          <w:color w:val="auto"/>
          <w:sz w:val="22"/>
          <w:szCs w:val="22"/>
          <w:u w:val="single"/>
        </w:rPr>
        <w:sectPr>
          <w:pgSz w:w="11906" w:h="16838"/>
          <w:pgMar w:top="1134" w:right="1134" w:bottom="1134" w:left="1134" w:header="851" w:footer="992" w:gutter="0"/>
          <w:cols w:space="720" w:num="1"/>
          <w:docGrid w:linePitch="312" w:charSpace="0"/>
        </w:sectPr>
      </w:pPr>
    </w:p>
    <w:p>
      <w:pPr>
        <w:spacing w:line="380" w:lineRule="exact"/>
        <w:jc w:val="center"/>
        <w:rPr>
          <w:rFonts w:ascii="宋体" w:hAnsi="宋体" w:cs="宋体"/>
          <w:b/>
          <w:color w:val="auto"/>
          <w:sz w:val="24"/>
        </w:rPr>
      </w:pPr>
    </w:p>
    <w:p>
      <w:pPr>
        <w:pStyle w:val="4"/>
        <w:spacing w:line="240" w:lineRule="auto"/>
        <w:rPr>
          <w:rFonts w:ascii="宋体" w:hAnsi="宋体" w:eastAsia="宋体" w:cs="宋体"/>
          <w:color w:val="auto"/>
          <w:sz w:val="24"/>
          <w:szCs w:val="24"/>
        </w:rPr>
      </w:pPr>
      <w:bookmarkStart w:id="73" w:name="_Toc4756"/>
      <w:r>
        <w:rPr>
          <w:rFonts w:hint="eastAsia" w:ascii="宋体" w:hAnsi="宋体" w:eastAsia="宋体" w:cs="宋体"/>
          <w:color w:val="auto"/>
          <w:sz w:val="24"/>
          <w:szCs w:val="24"/>
        </w:rPr>
        <w:t>附件</w:t>
      </w:r>
      <w:bookmarkEnd w:id="69"/>
      <w:bookmarkEnd w:id="70"/>
      <w:bookmarkEnd w:id="71"/>
      <w:r>
        <w:rPr>
          <w:rFonts w:hint="eastAsia" w:ascii="宋体" w:hAnsi="宋体" w:eastAsia="宋体" w:cs="宋体"/>
          <w:color w:val="auto"/>
          <w:sz w:val="24"/>
          <w:szCs w:val="24"/>
        </w:rPr>
        <w:t>五 商务条款、技术规格偏离表</w:t>
      </w:r>
      <w:bookmarkEnd w:id="73"/>
    </w:p>
    <w:p>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投标文件</w:t>
            </w:r>
          </w:p>
          <w:p>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商</w:t>
            </w:r>
          </w:p>
          <w:p>
            <w:pPr>
              <w:spacing w:line="380" w:lineRule="exact"/>
              <w:jc w:val="center"/>
              <w:rPr>
                <w:rFonts w:ascii="宋体" w:hAnsi="宋体" w:cs="宋体"/>
                <w:b/>
                <w:color w:val="auto"/>
                <w:sz w:val="22"/>
              </w:rPr>
            </w:pPr>
            <w:r>
              <w:rPr>
                <w:rFonts w:hint="eastAsia" w:ascii="宋体" w:hAnsi="宋体" w:cs="宋体"/>
                <w:b/>
                <w:color w:val="auto"/>
                <w:sz w:val="22"/>
              </w:rPr>
              <w:t>务</w:t>
            </w:r>
          </w:p>
          <w:p>
            <w:pPr>
              <w:spacing w:line="380" w:lineRule="exact"/>
              <w:jc w:val="center"/>
              <w:rPr>
                <w:rFonts w:ascii="宋体" w:hAnsi="宋体" w:cs="宋体"/>
                <w:b/>
                <w:color w:val="auto"/>
                <w:sz w:val="22"/>
              </w:rPr>
            </w:pPr>
            <w:r>
              <w:rPr>
                <w:rFonts w:hint="eastAsia" w:ascii="宋体" w:hAnsi="宋体" w:cs="宋体"/>
                <w:b/>
                <w:color w:val="auto"/>
                <w:sz w:val="22"/>
              </w:rPr>
              <w:t>条</w:t>
            </w:r>
          </w:p>
          <w:p>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技</w:t>
            </w:r>
          </w:p>
          <w:p>
            <w:pPr>
              <w:spacing w:line="380" w:lineRule="exact"/>
              <w:jc w:val="center"/>
              <w:rPr>
                <w:rFonts w:ascii="宋体" w:hAnsi="宋体" w:cs="宋体"/>
                <w:b/>
                <w:color w:val="auto"/>
                <w:sz w:val="22"/>
              </w:rPr>
            </w:pPr>
            <w:r>
              <w:rPr>
                <w:rFonts w:hint="eastAsia" w:ascii="宋体" w:hAnsi="宋体" w:cs="宋体"/>
                <w:b/>
                <w:color w:val="auto"/>
                <w:sz w:val="22"/>
              </w:rPr>
              <w:t>术</w:t>
            </w:r>
          </w:p>
          <w:p>
            <w:pPr>
              <w:spacing w:line="380" w:lineRule="exact"/>
              <w:jc w:val="center"/>
              <w:rPr>
                <w:rFonts w:ascii="宋体" w:hAnsi="宋体" w:cs="宋体"/>
                <w:b/>
                <w:color w:val="auto"/>
                <w:sz w:val="22"/>
              </w:rPr>
            </w:pPr>
            <w:r>
              <w:rPr>
                <w:rFonts w:hint="eastAsia" w:ascii="宋体" w:hAnsi="宋体" w:cs="宋体"/>
                <w:b/>
                <w:color w:val="auto"/>
                <w:sz w:val="22"/>
              </w:rPr>
              <w:t>规</w:t>
            </w:r>
          </w:p>
          <w:p>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bl>
    <w:p>
      <w:pPr>
        <w:pStyle w:val="23"/>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pStyle w:val="18"/>
        <w:rPr>
          <w:color w:val="auto"/>
        </w:rPr>
      </w:pPr>
    </w:p>
    <w:p>
      <w:pPr>
        <w:pStyle w:val="4"/>
        <w:spacing w:line="240" w:lineRule="auto"/>
        <w:rPr>
          <w:rFonts w:ascii="宋体" w:hAnsi="宋体" w:eastAsia="宋体" w:cs="宋体"/>
          <w:color w:val="auto"/>
          <w:sz w:val="24"/>
          <w:szCs w:val="24"/>
        </w:rPr>
      </w:pPr>
      <w:bookmarkStart w:id="74" w:name="_Toc21537"/>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74"/>
    </w:p>
    <w:p>
      <w:pPr>
        <w:numPr>
          <w:ilvl w:val="0"/>
          <w:numId w:val="2"/>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bl>
    <w:p>
      <w:pPr>
        <w:spacing w:line="380" w:lineRule="exact"/>
        <w:ind w:firstLine="5963" w:firstLineChars="2700"/>
        <w:rPr>
          <w:rFonts w:ascii="宋体" w:hAnsi="宋体"/>
          <w:b/>
          <w:bCs/>
          <w:color w:val="auto"/>
          <w:sz w:val="22"/>
          <w:szCs w:val="22"/>
        </w:rPr>
      </w:pPr>
    </w:p>
    <w:p>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bl>
    <w:p>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pPr>
        <w:spacing w:line="440" w:lineRule="exact"/>
        <w:jc w:val="left"/>
        <w:rPr>
          <w:rFonts w:ascii="宋体" w:hAnsi="宋体"/>
          <w:b/>
          <w:bCs/>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pPr>
        <w:pStyle w:val="4"/>
        <w:spacing w:line="240" w:lineRule="auto"/>
        <w:rPr>
          <w:rFonts w:ascii="宋体" w:hAnsi="宋体" w:eastAsia="宋体" w:cs="宋体"/>
          <w:color w:val="auto"/>
          <w:sz w:val="24"/>
          <w:szCs w:val="24"/>
        </w:rPr>
      </w:pPr>
      <w:bookmarkStart w:id="75" w:name="_Toc5613"/>
      <w:bookmarkStart w:id="76" w:name="_Toc460707936"/>
      <w:bookmarkStart w:id="77" w:name="_Toc405195141"/>
      <w:r>
        <w:rPr>
          <w:rFonts w:hint="eastAsia" w:ascii="宋体" w:hAnsi="宋体" w:eastAsia="宋体" w:cs="宋体"/>
          <w:color w:val="auto"/>
          <w:sz w:val="24"/>
          <w:szCs w:val="24"/>
        </w:rPr>
        <w:t>附件七 同类项目业绩一览表</w:t>
      </w:r>
      <w:bookmarkEnd w:id="75"/>
      <w:bookmarkEnd w:id="76"/>
    </w:p>
    <w:p>
      <w:pPr>
        <w:spacing w:line="440" w:lineRule="exact"/>
        <w:rPr>
          <w:rFonts w:ascii="宋体" w:hAnsi="宋体"/>
          <w:b/>
          <w:bCs/>
          <w:color w:val="auto"/>
          <w:sz w:val="24"/>
        </w:rPr>
      </w:pPr>
    </w:p>
    <w:p>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pPr>
        <w:spacing w:line="380" w:lineRule="exact"/>
        <w:ind w:left="-357" w:leftChars="-170" w:firstLine="216" w:firstLineChars="98"/>
        <w:rPr>
          <w:rFonts w:ascii="宋体" w:hAnsi="宋体" w:cs="宋体"/>
          <w:b/>
          <w:bCs/>
          <w:color w:val="auto"/>
          <w:sz w:val="22"/>
          <w:szCs w:val="22"/>
        </w:rPr>
      </w:pPr>
    </w:p>
    <w:p>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bl>
    <w:p>
      <w:pPr>
        <w:spacing w:line="440" w:lineRule="exact"/>
        <w:rPr>
          <w:rFonts w:ascii="宋体" w:hAnsi="宋体" w:cs="宋体"/>
          <w:b/>
          <w:color w:val="auto"/>
          <w:sz w:val="22"/>
          <w:szCs w:val="22"/>
        </w:rPr>
      </w:pPr>
      <w:bookmarkStart w:id="78" w:name="_Toc469730741"/>
      <w:bookmarkStart w:id="79" w:name="_Toc54034498"/>
      <w:bookmarkStart w:id="80" w:name="_Toc13603237"/>
      <w:bookmarkStart w:id="81" w:name="_Toc82417917"/>
      <w:bookmarkStart w:id="82" w:name="_Toc480204650"/>
      <w:r>
        <w:rPr>
          <w:rFonts w:hint="eastAsia" w:ascii="宋体" w:hAnsi="宋体" w:cs="宋体"/>
          <w:b/>
          <w:color w:val="auto"/>
          <w:sz w:val="22"/>
          <w:szCs w:val="22"/>
        </w:rPr>
        <w:t>注：根据商务技术评分要求提供证明材料。</w:t>
      </w:r>
    </w:p>
    <w:p>
      <w:pPr>
        <w:tabs>
          <w:tab w:val="left" w:pos="720"/>
          <w:tab w:val="left" w:pos="1260"/>
          <w:tab w:val="left" w:pos="5355"/>
        </w:tabs>
        <w:spacing w:line="430" w:lineRule="exact"/>
        <w:rPr>
          <w:rFonts w:ascii="宋体" w:hAnsi="宋体" w:cs="宋体"/>
          <w:bCs/>
          <w:color w:val="auto"/>
          <w:sz w:val="22"/>
          <w:szCs w:val="22"/>
        </w:rPr>
      </w:pPr>
    </w:p>
    <w:p>
      <w:pPr>
        <w:spacing w:line="440" w:lineRule="exact"/>
        <w:ind w:firstLine="4400" w:firstLineChars="2000"/>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ind w:firstLine="4400" w:firstLineChars="2000"/>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78"/>
    <w:bookmarkEnd w:id="79"/>
    <w:bookmarkEnd w:id="80"/>
    <w:bookmarkEnd w:id="81"/>
    <w:bookmarkEnd w:id="82"/>
    <w:p>
      <w:pPr>
        <w:pStyle w:val="88"/>
        <w:rPr>
          <w:color w:val="auto"/>
        </w:rPr>
      </w:pPr>
    </w:p>
    <w:p>
      <w:pPr>
        <w:pStyle w:val="4"/>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83" w:name="_Toc20385"/>
      <w:bookmarkStart w:id="84" w:name="_Toc19422"/>
      <w:bookmarkStart w:id="85" w:name="_Toc524273184"/>
      <w:bookmarkStart w:id="86" w:name="_Toc40035657"/>
      <w:bookmarkStart w:id="87" w:name="_Toc10560"/>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83"/>
      <w:bookmarkEnd w:id="84"/>
      <w:bookmarkEnd w:id="85"/>
      <w:bookmarkEnd w:id="86"/>
      <w:bookmarkEnd w:id="87"/>
    </w:p>
    <w:p>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pPr>
        <w:spacing w:line="440" w:lineRule="atLeast"/>
        <w:jc w:val="left"/>
        <w:rPr>
          <w:rFonts w:ascii="宋体" w:hAnsi="宋体"/>
          <w:b/>
          <w:color w:val="auto"/>
          <w:sz w:val="22"/>
        </w:rPr>
      </w:pPr>
      <w:r>
        <w:rPr>
          <w:rFonts w:hint="eastAsia" w:ascii="宋体" w:hAnsi="宋体"/>
          <w:b/>
          <w:color w:val="auto"/>
          <w:sz w:val="22"/>
        </w:rPr>
        <w:t>（1）符合中小企业划分标准；</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享受小微企业价格折扣应提供以下证明材料（资格文件中）</w:t>
      </w:r>
      <w:r>
        <w:rPr>
          <w:rFonts w:hint="eastAsia" w:ascii="宋体" w:hAnsi="宋体"/>
          <w:color w:val="auto"/>
          <w:sz w:val="22"/>
        </w:rPr>
        <w:t>：</w:t>
      </w:r>
    </w:p>
    <w:p>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rPr>
        <w:t>资格文件中）</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享受残疾人福利性单位格折扣应提供以下证明材料（资格文件中）</w:t>
      </w:r>
      <w:r>
        <w:rPr>
          <w:rFonts w:hint="eastAsia" w:ascii="宋体" w:hAnsi="宋体"/>
          <w:color w:val="auto"/>
          <w:sz w:val="22"/>
        </w:rPr>
        <w:t>：</w:t>
      </w:r>
    </w:p>
    <w:p>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pPr>
        <w:pStyle w:val="18"/>
        <w:spacing w:line="440" w:lineRule="exact"/>
        <w:ind w:left="860"/>
        <w:jc w:val="center"/>
        <w:rPr>
          <w:rFonts w:ascii="宋体" w:hAnsi="宋体"/>
          <w:b/>
          <w:bCs/>
          <w:color w:val="auto"/>
          <w:sz w:val="24"/>
        </w:rPr>
      </w:pPr>
      <w:r>
        <w:rPr>
          <w:rFonts w:ascii="宋体" w:hAnsi="宋体"/>
          <w:b/>
          <w:bCs/>
          <w:color w:val="auto"/>
          <w:sz w:val="24"/>
        </w:rPr>
        <w:t>中小企业声明函（货物）</w:t>
      </w:r>
    </w:p>
    <w:p>
      <w:pPr>
        <w:pStyle w:val="18"/>
        <w:spacing w:line="440" w:lineRule="exact"/>
        <w:rPr>
          <w:rFonts w:ascii="宋体" w:hAnsi="宋体"/>
          <w:b/>
          <w:color w:val="auto"/>
          <w:sz w:val="22"/>
          <w:szCs w:val="22"/>
        </w:rPr>
      </w:pPr>
    </w:p>
    <w:p>
      <w:pPr>
        <w:pStyle w:val="18"/>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pPr>
        <w:pStyle w:val="18"/>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pPr>
        <w:pStyle w:val="18"/>
        <w:spacing w:line="480" w:lineRule="exact"/>
        <w:ind w:left="860"/>
        <w:rPr>
          <w:rFonts w:ascii="宋体" w:hAnsi="宋体"/>
          <w:color w:val="auto"/>
          <w:sz w:val="22"/>
          <w:szCs w:val="22"/>
        </w:rPr>
      </w:pPr>
      <w:r>
        <w:rPr>
          <w:rFonts w:ascii="宋体" w:hAnsi="宋体"/>
          <w:color w:val="auto"/>
          <w:sz w:val="22"/>
          <w:szCs w:val="22"/>
        </w:rPr>
        <w:t>……</w:t>
      </w:r>
    </w:p>
    <w:p>
      <w:pPr>
        <w:pStyle w:val="18"/>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pPr>
        <w:pStyle w:val="18"/>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pPr>
        <w:pStyle w:val="18"/>
        <w:spacing w:before="105" w:line="480" w:lineRule="exact"/>
        <w:ind w:right="417" w:firstLine="2860" w:firstLineChars="1300"/>
        <w:rPr>
          <w:rFonts w:ascii="宋体" w:hAnsi="宋体"/>
          <w:color w:val="auto"/>
          <w:sz w:val="22"/>
          <w:szCs w:val="22"/>
        </w:rPr>
      </w:pPr>
    </w:p>
    <w:p>
      <w:pPr>
        <w:pStyle w:val="18"/>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pPr>
        <w:pStyle w:val="18"/>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pPr>
        <w:spacing w:line="440" w:lineRule="exact"/>
        <w:rPr>
          <w:rFonts w:ascii="宋体" w:hAnsi="宋体"/>
          <w:color w:val="auto"/>
          <w:sz w:val="22"/>
          <w:szCs w:val="22"/>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说明：</w:t>
      </w:r>
    </w:p>
    <w:p>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pPr>
        <w:pStyle w:val="18"/>
        <w:rPr>
          <w:rFonts w:ascii="宋体" w:hAnsi="宋体"/>
          <w:color w:val="auto"/>
        </w:rPr>
      </w:pPr>
    </w:p>
    <w:p>
      <w:pPr>
        <w:pStyle w:val="50"/>
        <w:rPr>
          <w:color w:val="auto"/>
        </w:rPr>
      </w:pPr>
    </w:p>
    <w:p>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pPr>
        <w:spacing w:line="588" w:lineRule="exact"/>
        <w:rPr>
          <w:rFonts w:ascii="新宋体" w:hAnsi="新宋体" w:eastAsia="新宋体"/>
          <w:b/>
          <w:color w:val="auto"/>
          <w:spacing w:val="6"/>
          <w:sz w:val="30"/>
          <w:szCs w:val="30"/>
        </w:rPr>
      </w:pP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pPr>
        <w:spacing w:line="588" w:lineRule="exact"/>
        <w:ind w:firstLine="440" w:firstLineChars="200"/>
        <w:rPr>
          <w:rFonts w:ascii="宋体" w:hAnsi="宋体" w:cs="宋体"/>
          <w:color w:val="auto"/>
          <w:sz w:val="22"/>
          <w:szCs w:val="22"/>
        </w:rPr>
      </w:pPr>
    </w:p>
    <w:p>
      <w:pPr>
        <w:spacing w:line="588" w:lineRule="exact"/>
        <w:ind w:firstLine="440" w:firstLineChars="200"/>
        <w:rPr>
          <w:rFonts w:ascii="宋体" w:hAnsi="宋体" w:cs="宋体"/>
          <w:color w:val="auto"/>
          <w:sz w:val="22"/>
          <w:szCs w:val="22"/>
        </w:rPr>
      </w:pPr>
    </w:p>
    <w:p>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pPr>
        <w:pStyle w:val="18"/>
        <w:rPr>
          <w:color w:val="auto"/>
        </w:rPr>
      </w:pPr>
    </w:p>
    <w:p>
      <w:pPr>
        <w:pStyle w:val="18"/>
        <w:rPr>
          <w:color w:val="auto"/>
        </w:rPr>
      </w:pPr>
    </w:p>
    <w:p>
      <w:pPr>
        <w:spacing w:line="588" w:lineRule="exact"/>
        <w:rPr>
          <w:rFonts w:ascii="宋体" w:hAnsi="宋体" w:cs="宋体"/>
          <w:color w:val="auto"/>
          <w:sz w:val="22"/>
          <w:szCs w:val="22"/>
        </w:rPr>
      </w:pPr>
      <w:r>
        <w:rPr>
          <w:rFonts w:hint="eastAsia" w:ascii="宋体" w:hAnsi="宋体" w:cs="宋体"/>
          <w:color w:val="auto"/>
          <w:sz w:val="22"/>
          <w:szCs w:val="22"/>
        </w:rPr>
        <w:t>备注说明：</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pPr>
        <w:spacing w:line="420" w:lineRule="exact"/>
        <w:rPr>
          <w:color w:val="auto"/>
        </w:rPr>
      </w:pPr>
    </w:p>
    <w:p>
      <w:pPr>
        <w:pStyle w:val="18"/>
        <w:rPr>
          <w:color w:val="auto"/>
        </w:rPr>
      </w:pPr>
    </w:p>
    <w:p>
      <w:pPr>
        <w:pStyle w:val="18"/>
        <w:rPr>
          <w:color w:val="auto"/>
        </w:rPr>
      </w:pPr>
    </w:p>
    <w:p>
      <w:pPr>
        <w:spacing w:line="440" w:lineRule="exact"/>
        <w:rPr>
          <w:rFonts w:ascii="宋体" w:hAnsi="宋体" w:cs="宋体"/>
          <w:b/>
          <w:color w:val="auto"/>
          <w:sz w:val="24"/>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pPr>
        <w:spacing w:line="440" w:lineRule="exact"/>
        <w:rPr>
          <w:rFonts w:ascii="宋体" w:hAnsi="宋体" w:cs="宋体"/>
          <w:color w:val="auto"/>
          <w:sz w:val="22"/>
          <w:szCs w:val="22"/>
        </w:rPr>
      </w:pPr>
      <w:r>
        <w:rPr>
          <w:rFonts w:hint="eastAsia" w:ascii="宋体" w:hAnsi="宋体" w:cs="宋体"/>
          <w:color w:val="auto"/>
          <w:sz w:val="22"/>
          <w:szCs w:val="22"/>
        </w:rPr>
        <w:t>1、政策依据</w:t>
      </w:r>
    </w:p>
    <w:p>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pPr>
        <w:pStyle w:val="18"/>
        <w:rPr>
          <w:color w:val="auto"/>
        </w:rPr>
      </w:pPr>
    </w:p>
    <w:p>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pPr>
        <w:spacing w:line="360" w:lineRule="auto"/>
        <w:jc w:val="center"/>
        <w:rPr>
          <w:rFonts w:ascii="宋体" w:hAnsi="宋体"/>
          <w:b/>
          <w:bCs/>
          <w:color w:val="auto"/>
          <w:sz w:val="24"/>
        </w:rPr>
      </w:pPr>
      <w:r>
        <w:rPr>
          <w:rFonts w:hint="eastAsia" w:ascii="宋体" w:hAnsi="宋体"/>
          <w:b/>
          <w:bCs/>
          <w:color w:val="auto"/>
          <w:sz w:val="24"/>
        </w:rPr>
        <w:t>节能环保产品声明函</w:t>
      </w:r>
    </w:p>
    <w:p>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pPr>
        <w:spacing w:line="460" w:lineRule="atLeast"/>
        <w:rPr>
          <w:rFonts w:ascii="宋体" w:hAnsi="宋体"/>
          <w:color w:val="auto"/>
          <w:sz w:val="22"/>
        </w:rPr>
      </w:pPr>
    </w:p>
    <w:p>
      <w:pPr>
        <w:pStyle w:val="18"/>
        <w:rPr>
          <w:color w:val="auto"/>
        </w:rPr>
      </w:pPr>
    </w:p>
    <w:p>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pPr>
        <w:spacing w:line="460" w:lineRule="atLeast"/>
        <w:rPr>
          <w:rFonts w:ascii="宋体" w:hAnsi="宋体"/>
          <w:color w:val="auto"/>
          <w:sz w:val="28"/>
          <w:szCs w:val="28"/>
        </w:rPr>
      </w:pPr>
      <w:r>
        <w:rPr>
          <w:rFonts w:hint="eastAsia" w:ascii="宋体" w:hAnsi="宋体"/>
          <w:color w:val="auto"/>
          <w:sz w:val="22"/>
        </w:rPr>
        <w:t xml:space="preserve">日 期：                  </w:t>
      </w:r>
    </w:p>
    <w:p>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pPr>
        <w:spacing w:line="360" w:lineRule="auto"/>
        <w:jc w:val="center"/>
        <w:rPr>
          <w:rFonts w:ascii="宋体" w:hAnsi="宋体"/>
          <w:b/>
          <w:bCs/>
          <w:color w:val="auto"/>
          <w:sz w:val="24"/>
        </w:rPr>
      </w:pPr>
      <w:r>
        <w:rPr>
          <w:rFonts w:hint="eastAsia" w:ascii="宋体" w:hAnsi="宋体"/>
          <w:b/>
          <w:bCs/>
          <w:color w:val="auto"/>
          <w:sz w:val="24"/>
        </w:rPr>
        <w:t>节能（环保）产品清单</w:t>
      </w:r>
    </w:p>
    <w:p>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pPr>
        <w:pStyle w:val="18"/>
        <w:rPr>
          <w:color w:val="auto"/>
        </w:rPr>
      </w:pPr>
    </w:p>
    <w:p>
      <w:pPr>
        <w:rPr>
          <w:rFonts w:ascii="宋体" w:hAnsi="宋体"/>
          <w:color w:val="auto"/>
          <w:sz w:val="22"/>
        </w:rPr>
      </w:pPr>
      <w:r>
        <w:rPr>
          <w:rFonts w:hint="eastAsia" w:ascii="宋体" w:hAnsi="宋体"/>
          <w:color w:val="auto"/>
          <w:sz w:val="22"/>
        </w:rPr>
        <w:t>（1）所投产品中已列入《节能产品政府采购品目清单》明细</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pPr>
        <w:spacing w:line="460" w:lineRule="exact"/>
        <w:rPr>
          <w:rFonts w:ascii="宋体" w:hAnsi="宋体"/>
          <w:b/>
          <w:color w:val="auto"/>
          <w:sz w:val="22"/>
        </w:rPr>
      </w:pPr>
      <w:r>
        <w:rPr>
          <w:rFonts w:hint="eastAsia" w:ascii="宋体" w:hAnsi="宋体"/>
          <w:b/>
          <w:color w:val="auto"/>
          <w:sz w:val="22"/>
        </w:rPr>
        <w:t>2、表格可以延续。</w:t>
      </w:r>
    </w:p>
    <w:p>
      <w:pPr>
        <w:pStyle w:val="18"/>
        <w:rPr>
          <w:color w:val="auto"/>
        </w:rPr>
      </w:pPr>
    </w:p>
    <w:p>
      <w:pPr>
        <w:spacing w:line="440" w:lineRule="atLeast"/>
        <w:rPr>
          <w:rFonts w:ascii="宋体" w:hAnsi="宋体"/>
          <w:color w:val="auto"/>
          <w:sz w:val="22"/>
        </w:rPr>
      </w:pPr>
      <w:r>
        <w:rPr>
          <w:rFonts w:hint="eastAsia" w:ascii="宋体" w:hAnsi="宋体"/>
          <w:color w:val="auto"/>
          <w:sz w:val="22"/>
        </w:rPr>
        <w:t xml:space="preserve">供应商名称（盖章）：        </w:t>
      </w:r>
    </w:p>
    <w:p>
      <w:pPr>
        <w:pStyle w:val="18"/>
        <w:rPr>
          <w:rFonts w:ascii="宋体" w:hAnsi="宋体" w:cs="宋体"/>
          <w:color w:val="auto"/>
        </w:rPr>
      </w:pPr>
      <w:r>
        <w:rPr>
          <w:rFonts w:hint="eastAsia" w:ascii="宋体" w:hAnsi="宋体"/>
          <w:color w:val="auto"/>
          <w:kern w:val="0"/>
          <w:sz w:val="22"/>
        </w:rPr>
        <w:t xml:space="preserve">日 期： </w:t>
      </w:r>
    </w:p>
    <w:p>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72"/>
    <w:bookmarkEnd w:id="77"/>
    <w:p>
      <w:pPr>
        <w:pStyle w:val="3"/>
        <w:spacing w:line="600" w:lineRule="exact"/>
        <w:jc w:val="center"/>
        <w:rPr>
          <w:rFonts w:ascii="黑体" w:hAnsi="黑体" w:eastAsia="黑体"/>
          <w:bCs/>
          <w:color w:val="auto"/>
          <w:sz w:val="36"/>
          <w:szCs w:val="36"/>
        </w:rPr>
      </w:pPr>
      <w:bookmarkStart w:id="88" w:name="_Toc230773793"/>
      <w:bookmarkStart w:id="89" w:name="_Toc19456"/>
      <w:r>
        <w:rPr>
          <w:rFonts w:hint="eastAsia" w:ascii="黑体" w:hAnsi="黑体" w:eastAsia="黑体"/>
          <w:bCs/>
          <w:color w:val="auto"/>
          <w:sz w:val="36"/>
          <w:szCs w:val="36"/>
        </w:rPr>
        <w:t>第五部分  招标内容及要求</w:t>
      </w:r>
      <w:bookmarkEnd w:id="88"/>
      <w:bookmarkEnd w:id="89"/>
    </w:p>
    <w:p>
      <w:pPr>
        <w:pStyle w:val="4"/>
        <w:spacing w:line="680" w:lineRule="exact"/>
        <w:jc w:val="center"/>
        <w:rPr>
          <w:rFonts w:ascii="宋体" w:hAnsi="宋体" w:eastAsia="宋体"/>
          <w:color w:val="auto"/>
          <w:sz w:val="28"/>
          <w:szCs w:val="28"/>
        </w:rPr>
      </w:pPr>
      <w:bookmarkStart w:id="90" w:name="_Toc498696426"/>
      <w:bookmarkStart w:id="91" w:name="_Toc27120"/>
      <w:bookmarkStart w:id="92" w:name="_Toc524273187"/>
      <w:bookmarkStart w:id="93" w:name="_Toc23272"/>
      <w:r>
        <w:rPr>
          <w:rFonts w:hint="eastAsia" w:ascii="宋体" w:hAnsi="宋体" w:eastAsia="宋体"/>
          <w:color w:val="auto"/>
          <w:sz w:val="28"/>
          <w:szCs w:val="28"/>
        </w:rPr>
        <w:t>一、</w:t>
      </w:r>
      <w:bookmarkEnd w:id="90"/>
      <w:r>
        <w:rPr>
          <w:rFonts w:hint="eastAsia" w:ascii="宋体" w:hAnsi="宋体" w:eastAsia="宋体"/>
          <w:color w:val="auto"/>
          <w:sz w:val="28"/>
          <w:szCs w:val="28"/>
        </w:rPr>
        <w:t>相关说明</w:t>
      </w:r>
      <w:bookmarkEnd w:id="91"/>
      <w:bookmarkEnd w:id="92"/>
    </w:p>
    <w:bookmarkEnd w:id="93"/>
    <w:p>
      <w:pPr>
        <w:spacing w:line="440" w:lineRule="exact"/>
        <w:ind w:left="550" w:hanging="550" w:hangingChars="250"/>
        <w:rPr>
          <w:rFonts w:ascii="宋体" w:hAnsi="宋体" w:cs="宋体"/>
          <w:color w:val="auto"/>
          <w:sz w:val="22"/>
          <w:szCs w:val="22"/>
        </w:rPr>
      </w:pPr>
      <w:bookmarkStart w:id="94" w:name="_Toc56694061"/>
      <w:bookmarkStart w:id="95"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pPr>
        <w:spacing w:line="440" w:lineRule="exact"/>
        <w:ind w:left="539" w:hanging="539" w:hangingChars="245"/>
        <w:rPr>
          <w:rFonts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本项目采购预算为人民币壹佰伍拾万元整（￥1500000.00元），投标人最后报价超过预算的，按无效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pPr>
        <w:rPr>
          <w:color w:val="auto"/>
        </w:rPr>
      </w:pPr>
    </w:p>
    <w:p>
      <w:pPr>
        <w:pStyle w:val="4"/>
        <w:numPr>
          <w:ilvl w:val="0"/>
          <w:numId w:val="3"/>
        </w:numPr>
        <w:spacing w:line="680" w:lineRule="exact"/>
        <w:jc w:val="center"/>
        <w:rPr>
          <w:rFonts w:ascii="宋体" w:hAnsi="宋体" w:eastAsia="宋体"/>
          <w:color w:val="auto"/>
          <w:sz w:val="28"/>
          <w:szCs w:val="28"/>
        </w:rPr>
      </w:pPr>
      <w:bookmarkStart w:id="96" w:name="_Toc20424"/>
      <w:bookmarkStart w:id="97" w:name="_Toc26765"/>
      <w:r>
        <w:rPr>
          <w:rFonts w:hint="eastAsia" w:ascii="宋体" w:hAnsi="宋体" w:eastAsia="宋体"/>
          <w:color w:val="auto"/>
          <w:sz w:val="28"/>
          <w:szCs w:val="28"/>
        </w:rPr>
        <w:t>采购内容及要求</w:t>
      </w:r>
      <w:bookmarkEnd w:id="96"/>
      <w:bookmarkEnd w:id="97"/>
    </w:p>
    <w:p>
      <w:pPr>
        <w:rPr>
          <w:color w:val="auto"/>
        </w:rPr>
      </w:pPr>
    </w:p>
    <w:p>
      <w:pPr>
        <w:pStyle w:val="18"/>
        <w:rPr>
          <w:rFonts w:ascii="宋体" w:hAnsi="宋体" w:cs="宋体"/>
          <w:b/>
          <w:bCs/>
          <w:color w:val="auto"/>
          <w:sz w:val="22"/>
          <w:szCs w:val="28"/>
        </w:rPr>
      </w:pPr>
      <w:r>
        <w:rPr>
          <w:rFonts w:hint="eastAsia" w:ascii="宋体" w:hAnsi="宋体" w:cs="宋体"/>
          <w:b/>
          <w:bCs/>
          <w:color w:val="auto"/>
          <w:sz w:val="22"/>
          <w:szCs w:val="28"/>
        </w:rPr>
        <w:t>1.   采购内容</w:t>
      </w:r>
    </w:p>
    <w:tbl>
      <w:tblPr>
        <w:tblStyle w:val="36"/>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494"/>
        <w:gridCol w:w="1025"/>
        <w:gridCol w:w="989"/>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60"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序号</w:t>
            </w:r>
          </w:p>
        </w:tc>
        <w:tc>
          <w:tcPr>
            <w:tcW w:w="2285"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设备名称</w:t>
            </w:r>
          </w:p>
        </w:tc>
        <w:tc>
          <w:tcPr>
            <w:tcW w:w="521"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单位</w:t>
            </w:r>
          </w:p>
        </w:tc>
        <w:tc>
          <w:tcPr>
            <w:tcW w:w="503"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数量</w:t>
            </w:r>
          </w:p>
        </w:tc>
        <w:tc>
          <w:tcPr>
            <w:tcW w:w="1329"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0"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w:t>
            </w:r>
          </w:p>
        </w:tc>
        <w:tc>
          <w:tcPr>
            <w:tcW w:w="2285" w:type="pct"/>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工业机器人应用编程实验台</w:t>
            </w:r>
          </w:p>
        </w:tc>
        <w:tc>
          <w:tcPr>
            <w:tcW w:w="521"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套</w:t>
            </w:r>
          </w:p>
        </w:tc>
        <w:tc>
          <w:tcPr>
            <w:tcW w:w="503" w:type="pct"/>
            <w:vAlign w:val="center"/>
          </w:tcPr>
          <w:p>
            <w:pPr>
              <w:widowControl/>
              <w:jc w:val="center"/>
              <w:rPr>
                <w:rFonts w:ascii="宋体" w:hAnsi="宋体" w:cs="宋体"/>
                <w:color w:val="auto"/>
                <w:sz w:val="22"/>
                <w:szCs w:val="22"/>
                <w:lang w:bidi="ar"/>
              </w:rPr>
            </w:pPr>
            <w:r>
              <w:rPr>
                <w:rFonts w:ascii="宋体" w:hAnsi="宋体" w:cs="宋体"/>
                <w:color w:val="auto"/>
                <w:szCs w:val="21"/>
              </w:rPr>
              <w:t>2</w:t>
            </w:r>
          </w:p>
        </w:tc>
        <w:tc>
          <w:tcPr>
            <w:tcW w:w="1329" w:type="pct"/>
            <w:vAlign w:val="center"/>
          </w:tcPr>
          <w:p>
            <w:pPr>
              <w:widowControl/>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2</w:t>
            </w:r>
          </w:p>
        </w:tc>
        <w:tc>
          <w:tcPr>
            <w:tcW w:w="2285" w:type="pct"/>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自动化生产线设备</w:t>
            </w:r>
          </w:p>
        </w:tc>
        <w:tc>
          <w:tcPr>
            <w:tcW w:w="521"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lang w:bidi="ar"/>
              </w:rPr>
              <w:t>套</w:t>
            </w:r>
          </w:p>
        </w:tc>
        <w:tc>
          <w:tcPr>
            <w:tcW w:w="503"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23</w:t>
            </w:r>
          </w:p>
        </w:tc>
        <w:tc>
          <w:tcPr>
            <w:tcW w:w="1329" w:type="pct"/>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3</w:t>
            </w:r>
          </w:p>
        </w:tc>
        <w:tc>
          <w:tcPr>
            <w:tcW w:w="2285" w:type="pct"/>
            <w:vAlign w:val="center"/>
          </w:tcPr>
          <w:p>
            <w:pPr>
              <w:widowControl/>
              <w:jc w:val="center"/>
              <w:rPr>
                <w:rFonts w:ascii="宋体" w:hAnsi="宋体" w:cs="宋体"/>
                <w:color w:val="auto"/>
                <w:sz w:val="22"/>
                <w:szCs w:val="22"/>
              </w:rPr>
            </w:pPr>
            <w:r>
              <w:rPr>
                <w:rFonts w:hint="eastAsia" w:ascii="宋体" w:hAnsi="宋体" w:cs="宋体"/>
                <w:color w:val="auto"/>
                <w:sz w:val="22"/>
                <w:szCs w:val="22"/>
              </w:rPr>
              <w:t>数据采集系统</w:t>
            </w:r>
          </w:p>
        </w:tc>
        <w:tc>
          <w:tcPr>
            <w:tcW w:w="521"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套</w:t>
            </w:r>
          </w:p>
        </w:tc>
        <w:tc>
          <w:tcPr>
            <w:tcW w:w="503"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1</w:t>
            </w:r>
          </w:p>
        </w:tc>
        <w:tc>
          <w:tcPr>
            <w:tcW w:w="1329" w:type="pct"/>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4</w:t>
            </w:r>
          </w:p>
        </w:tc>
        <w:tc>
          <w:tcPr>
            <w:tcW w:w="2285" w:type="pct"/>
            <w:vAlign w:val="center"/>
          </w:tcPr>
          <w:p>
            <w:pPr>
              <w:widowControl/>
              <w:jc w:val="center"/>
              <w:rPr>
                <w:rFonts w:ascii="宋体" w:hAnsi="宋体" w:cs="宋体"/>
                <w:color w:val="auto"/>
                <w:sz w:val="22"/>
                <w:szCs w:val="22"/>
              </w:rPr>
            </w:pPr>
            <w:r>
              <w:rPr>
                <w:rFonts w:hint="eastAsia" w:ascii="宋体" w:hAnsi="宋体" w:cs="宋体"/>
                <w:color w:val="auto"/>
                <w:sz w:val="22"/>
                <w:szCs w:val="22"/>
              </w:rPr>
              <w:t>现代电气控制系统安装与调试实训考核装置</w:t>
            </w:r>
          </w:p>
        </w:tc>
        <w:tc>
          <w:tcPr>
            <w:tcW w:w="521"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lang w:bidi="ar"/>
              </w:rPr>
              <w:t>套</w:t>
            </w:r>
          </w:p>
        </w:tc>
        <w:tc>
          <w:tcPr>
            <w:tcW w:w="503"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1</w:t>
            </w:r>
          </w:p>
        </w:tc>
        <w:tc>
          <w:tcPr>
            <w:tcW w:w="1329" w:type="pct"/>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5</w:t>
            </w:r>
          </w:p>
        </w:tc>
        <w:tc>
          <w:tcPr>
            <w:tcW w:w="2285" w:type="pct"/>
            <w:vAlign w:val="center"/>
          </w:tcPr>
          <w:p>
            <w:pPr>
              <w:widowControl/>
              <w:jc w:val="center"/>
              <w:rPr>
                <w:rFonts w:ascii="宋体" w:hAnsi="宋体" w:cs="宋体"/>
                <w:color w:val="auto"/>
                <w:sz w:val="22"/>
                <w:szCs w:val="22"/>
              </w:rPr>
            </w:pPr>
            <w:r>
              <w:rPr>
                <w:rFonts w:hint="eastAsia" w:ascii="宋体" w:hAnsi="宋体" w:cs="宋体"/>
                <w:color w:val="auto"/>
                <w:szCs w:val="21"/>
                <w:lang w:bidi="ar"/>
              </w:rPr>
              <w:t>实训室改造</w:t>
            </w:r>
          </w:p>
        </w:tc>
        <w:tc>
          <w:tcPr>
            <w:tcW w:w="521"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项</w:t>
            </w:r>
          </w:p>
        </w:tc>
        <w:tc>
          <w:tcPr>
            <w:tcW w:w="503" w:type="pct"/>
            <w:vAlign w:val="center"/>
          </w:tcPr>
          <w:p>
            <w:pPr>
              <w:widowControl/>
              <w:jc w:val="center"/>
              <w:rPr>
                <w:rFonts w:ascii="宋体" w:hAnsi="宋体" w:cs="宋体"/>
                <w:color w:val="auto"/>
                <w:sz w:val="22"/>
                <w:szCs w:val="22"/>
                <w:lang w:bidi="ar"/>
              </w:rPr>
            </w:pPr>
            <w:r>
              <w:rPr>
                <w:rFonts w:hint="eastAsia" w:ascii="宋体" w:hAnsi="宋体" w:cs="宋体"/>
                <w:color w:val="auto"/>
                <w:szCs w:val="21"/>
              </w:rPr>
              <w:t>1</w:t>
            </w:r>
          </w:p>
        </w:tc>
        <w:tc>
          <w:tcPr>
            <w:tcW w:w="1329" w:type="pct"/>
            <w:vAlign w:val="center"/>
          </w:tcPr>
          <w:p>
            <w:pPr>
              <w:widowControl/>
              <w:jc w:val="center"/>
              <w:rPr>
                <w:rFonts w:ascii="宋体" w:hAnsi="宋体" w:cs="宋体"/>
                <w:color w:val="auto"/>
                <w:sz w:val="22"/>
                <w:szCs w:val="22"/>
                <w:lang w:bidi="ar"/>
              </w:rPr>
            </w:pPr>
          </w:p>
        </w:tc>
      </w:tr>
    </w:tbl>
    <w:p>
      <w:pPr>
        <w:spacing w:line="440" w:lineRule="exact"/>
        <w:rPr>
          <w:rFonts w:ascii="宋体" w:hAnsi="宋体" w:cs="宋体"/>
          <w:b/>
          <w:bCs/>
          <w:color w:val="auto"/>
          <w:sz w:val="22"/>
          <w:szCs w:val="28"/>
        </w:rPr>
      </w:pPr>
    </w:p>
    <w:p>
      <w:pPr>
        <w:spacing w:line="440" w:lineRule="exact"/>
        <w:rPr>
          <w:rFonts w:ascii="宋体" w:hAnsi="宋体" w:cs="宋体"/>
          <w:color w:val="auto"/>
          <w:sz w:val="22"/>
          <w:szCs w:val="28"/>
        </w:rPr>
      </w:pPr>
      <w:r>
        <w:rPr>
          <w:rFonts w:hint="eastAsia" w:ascii="宋体" w:hAnsi="宋体" w:cs="宋体"/>
          <w:b/>
          <w:bCs/>
          <w:color w:val="auto"/>
          <w:sz w:val="22"/>
          <w:szCs w:val="28"/>
        </w:rPr>
        <w:t>2.   详细技术参数</w:t>
      </w:r>
    </w:p>
    <w:tbl>
      <w:tblPr>
        <w:tblStyle w:val="36"/>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832"/>
        <w:gridCol w:w="621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16"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序号</w:t>
            </w:r>
          </w:p>
        </w:tc>
        <w:tc>
          <w:tcPr>
            <w:tcW w:w="931"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设备名称</w:t>
            </w:r>
          </w:p>
        </w:tc>
        <w:tc>
          <w:tcPr>
            <w:tcW w:w="3159"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技术参数及要求</w:t>
            </w:r>
          </w:p>
        </w:tc>
        <w:tc>
          <w:tcPr>
            <w:tcW w:w="592"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w:t>
            </w:r>
          </w:p>
        </w:tc>
        <w:tc>
          <w:tcPr>
            <w:tcW w:w="931" w:type="pct"/>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工业机器人应用编程实验台</w:t>
            </w:r>
          </w:p>
        </w:tc>
        <w:tc>
          <w:tcPr>
            <w:tcW w:w="3159" w:type="pct"/>
            <w:vAlign w:val="center"/>
          </w:tcPr>
          <w:p>
            <w:pPr>
              <w:spacing w:line="360" w:lineRule="exact"/>
              <w:rPr>
                <w:rFonts w:ascii="宋体" w:hAnsi="宋体" w:cs="宋体"/>
                <w:color w:val="auto"/>
                <w:sz w:val="22"/>
                <w:szCs w:val="22"/>
              </w:rPr>
            </w:pPr>
            <w:r>
              <w:rPr>
                <w:rFonts w:hint="eastAsia" w:ascii="宋体" w:hAnsi="宋体" w:cs="宋体"/>
                <w:color w:val="auto"/>
                <w:kern w:val="2"/>
                <w:sz w:val="22"/>
                <w:szCs w:val="22"/>
              </w:rPr>
              <w:t>一、</w:t>
            </w:r>
            <w:r>
              <w:rPr>
                <w:rFonts w:hint="eastAsia" w:ascii="宋体" w:hAnsi="宋体" w:cs="宋体"/>
                <w:color w:val="auto"/>
                <w:sz w:val="22"/>
                <w:szCs w:val="22"/>
              </w:rPr>
              <w:t>设备总体要求</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1.设备要求以模块化设计，系统须融入工业机器人技术、机械传动技术、电子电工技术、多种作业技术、智能传感技术、可编程控制技术、机器视觉技术、计算机技术、串口通信技术、以太网通讯技术等先进制造技术，涵盖工业机器人、机械设计、电气自动化、智能传感、智能制造等多门学科的专业知识，</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★2.设备要求必须具有工业机器人应用编程职业技能类等级考证功能。</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3.要求该装置至少由六轴工业机器人、操作实验台、机器人快换工装夹具、轨迹模块、绘图模块、搬运模块、码垛模块、视觉检测模块、电气控制模块、通用电气接口模块等组成。</w:t>
            </w:r>
          </w:p>
          <w:p>
            <w:pPr>
              <w:spacing w:line="360" w:lineRule="exact"/>
              <w:rPr>
                <w:rFonts w:ascii="宋体" w:hAnsi="宋体" w:cs="宋体"/>
                <w:color w:val="auto"/>
                <w:sz w:val="22"/>
                <w:szCs w:val="22"/>
              </w:rPr>
            </w:pPr>
            <w:r>
              <w:rPr>
                <w:rFonts w:hint="eastAsia" w:ascii="宋体" w:hAnsi="宋体" w:cs="宋体"/>
                <w:color w:val="auto"/>
                <w:kern w:val="2"/>
                <w:sz w:val="22"/>
                <w:szCs w:val="22"/>
              </w:rPr>
              <w:t>二、</w:t>
            </w:r>
            <w:r>
              <w:rPr>
                <w:rFonts w:hint="eastAsia" w:ascii="宋体" w:hAnsi="宋体" w:cs="宋体"/>
                <w:color w:val="auto"/>
                <w:sz w:val="22"/>
                <w:szCs w:val="22"/>
              </w:rPr>
              <w:t>技术参数要求：</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1、输入电源：AC 220V±10%  50Hz</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2、输入功率：≤3 k</w:t>
            </w:r>
            <w:r>
              <w:rPr>
                <w:rFonts w:ascii="宋体" w:hAnsi="宋体" w:cs="宋体"/>
                <w:color w:val="auto"/>
                <w:sz w:val="22"/>
                <w:szCs w:val="22"/>
              </w:rPr>
              <w:t>W</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3、工作环境：温度：-10℃～+40℃；相对湿度：≤90%（+20℃）；海拔高度：≤4000m ；空气清洁，无腐蚀性及爆炸性气体，无导电及能破坏绝缘的尘埃。</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4、设备重量: ≤150kg</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5、设备外形尺寸（长宽高）：≥1300mm×1200mm×1500mm </w:t>
            </w:r>
          </w:p>
          <w:p>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6、本质安全：具有接地保护、漏电保护功能，安全性符合相关的国家标准。采用高绝缘的安全型插座及带绝缘护套的高强度安全型实验导线。</w:t>
            </w:r>
          </w:p>
          <w:p>
            <w:pPr>
              <w:spacing w:line="360" w:lineRule="exact"/>
              <w:rPr>
                <w:rFonts w:ascii="宋体" w:hAnsi="宋体" w:cs="宋体"/>
                <w:color w:val="auto"/>
                <w:sz w:val="22"/>
                <w:szCs w:val="22"/>
              </w:rPr>
            </w:pPr>
            <w:r>
              <w:rPr>
                <w:rFonts w:hint="eastAsia" w:ascii="宋体" w:hAnsi="宋体" w:cs="宋体"/>
                <w:color w:val="auto"/>
                <w:kern w:val="2"/>
                <w:sz w:val="22"/>
                <w:szCs w:val="22"/>
              </w:rPr>
              <w:t>三、</w:t>
            </w:r>
            <w:r>
              <w:rPr>
                <w:rFonts w:hint="eastAsia" w:ascii="宋体" w:hAnsi="宋体" w:cs="宋体"/>
                <w:color w:val="auto"/>
                <w:sz w:val="22"/>
                <w:szCs w:val="22"/>
              </w:rPr>
              <w:t>设备模块功能要求（投标文件中需提供详细清单列表）</w:t>
            </w:r>
          </w:p>
          <w:p>
            <w:pPr>
              <w:spacing w:line="360" w:lineRule="exact"/>
              <w:rPr>
                <w:rFonts w:ascii="宋体" w:hAnsi="宋体" w:cs="宋体"/>
                <w:color w:val="auto"/>
                <w:sz w:val="22"/>
                <w:szCs w:val="22"/>
              </w:rPr>
            </w:pPr>
            <w:r>
              <w:rPr>
                <w:rFonts w:hint="eastAsia" w:ascii="宋体" w:hAnsi="宋体" w:cs="宋体"/>
                <w:color w:val="auto"/>
                <w:sz w:val="22"/>
                <w:szCs w:val="22"/>
              </w:rPr>
              <w:t>★1、工业机器人（投标时需提供生产厂家机器人的产品检测报告）</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六轴工业机器人要求至少具有6个自由度，串联关节型工业级；到达距离≥642mm；承重能力≥2kg；</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各轴运动范围：轴1旋转范围≤+165°～-165°；轴2手臂旋转范围≤+110°～-110°；轴3手臂旋转范围≤+75°～-90°；轴4手腕旋转范围≤+160°～-160°；轴5弯曲旋转范围≤+120°～-120°；轴6翻转旋转范围≤+400°～-400°；</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机器人主体外壳要求采用非金属高强度轻质材料制成。操作安全性高：要求采用由先进制造工艺高强度轻质材料制成，在保证结构强度的同时，大大提高操作时安全性，电机需可限扭矩输出，具备多轴断电刹车，在任何情况下都能保证既“伤不到人”，也“伤不到设备”；投标时提供该模块的实物图或效果图。</w:t>
            </w:r>
          </w:p>
          <w:p>
            <w:pPr>
              <w:spacing w:line="360" w:lineRule="exact"/>
              <w:rPr>
                <w:rFonts w:ascii="宋体" w:hAnsi="宋体" w:cs="宋体"/>
                <w:color w:val="auto"/>
                <w:sz w:val="22"/>
                <w:szCs w:val="22"/>
              </w:rPr>
            </w:pPr>
            <w:r>
              <w:rPr>
                <w:rFonts w:hint="eastAsia" w:ascii="宋体" w:hAnsi="宋体" w:cs="宋体"/>
                <w:color w:val="auto"/>
                <w:kern w:val="2"/>
                <w:sz w:val="22"/>
                <w:szCs w:val="22"/>
              </w:rPr>
              <w:t>2、</w:t>
            </w:r>
            <w:r>
              <w:rPr>
                <w:rFonts w:hint="eastAsia" w:ascii="宋体" w:hAnsi="宋体" w:cs="宋体"/>
                <w:color w:val="auto"/>
                <w:sz w:val="22"/>
                <w:szCs w:val="22"/>
              </w:rPr>
              <w:t>工业机器人操作实验平台要求：</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机器人操作对象实训台承重主体为铝型材拼接而成，侧封板为钣金；为机器人、示教器、功能模块的安装提供标准的安装接口。保证稳定牢固。预留有标准气源和电气接口安装位置，根据模块的使用情况进行功能的扩展。为工业机器人、功能模块、功能套件提供稳定的电源。平台上可牢固安装多种多功能多应用模块。机器人操作对象实训台上矩阵式定位柱，以方便各个多功能多应用模块的安装和固定，实现模块的自定义位置安装，实训台内部安装抽拉式模块存放柜和工具存放抽屉，投标时提供该单元效果图或实物图。</w:t>
            </w:r>
          </w:p>
          <w:p>
            <w:pPr>
              <w:spacing w:line="360" w:lineRule="exact"/>
              <w:rPr>
                <w:rFonts w:ascii="宋体" w:hAnsi="宋体" w:cs="宋体"/>
                <w:color w:val="auto"/>
                <w:sz w:val="22"/>
                <w:szCs w:val="22"/>
              </w:rPr>
            </w:pPr>
            <w:r>
              <w:rPr>
                <w:rFonts w:hint="eastAsia" w:ascii="宋体" w:hAnsi="宋体" w:cs="宋体"/>
                <w:color w:val="auto"/>
                <w:kern w:val="2"/>
                <w:sz w:val="22"/>
                <w:szCs w:val="22"/>
              </w:rPr>
              <w:t>3、</w:t>
            </w:r>
            <w:r>
              <w:rPr>
                <w:rFonts w:hint="eastAsia" w:ascii="宋体" w:hAnsi="宋体" w:cs="宋体"/>
                <w:color w:val="auto"/>
                <w:sz w:val="22"/>
                <w:szCs w:val="22"/>
              </w:rPr>
              <w:t>机器人快换工装夹具</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由快换支架、检测传感器等组成。根据不同的实训目标和操作对象，提供多种不同的快换工具。放置带有定位和检测功能工具支架上，可根据不同的实训需求增加模块以及工具的种类和数量，投标时提供该单元效果图或实物图。</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1）快换支架</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单个支架外形尺寸（mm）（±10mm）：</w:t>
            </w:r>
            <w:r>
              <w:rPr>
                <w:rFonts w:hint="eastAsia" w:ascii="宋体" w:hAnsi="宋体" w:cs="宋体"/>
                <w:color w:val="auto"/>
                <w:sz w:val="22"/>
                <w:szCs w:val="22"/>
                <w:lang w:bidi="ar"/>
              </w:rPr>
              <w:t>≥</w:t>
            </w:r>
            <w:r>
              <w:rPr>
                <w:rFonts w:hint="eastAsia" w:ascii="宋体" w:hAnsi="宋体" w:cs="宋体"/>
                <w:color w:val="auto"/>
                <w:sz w:val="22"/>
                <w:szCs w:val="22"/>
              </w:rPr>
              <w:t>300×130×320mm</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数量：≥2个快换工具</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2）快换盘：</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快换装置材质：本体材质铝合金，紧锁机构合金钢</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承重：</w:t>
            </w:r>
            <w:r>
              <w:rPr>
                <w:rFonts w:hint="eastAsia" w:ascii="宋体" w:hAnsi="宋体" w:cs="宋体"/>
                <w:color w:val="auto"/>
                <w:sz w:val="22"/>
                <w:szCs w:val="22"/>
                <w:lang w:bidi="ar"/>
              </w:rPr>
              <w:t>≥</w:t>
            </w:r>
            <w:r>
              <w:rPr>
                <w:rFonts w:hint="eastAsia" w:ascii="宋体" w:hAnsi="宋体" w:cs="宋体"/>
                <w:color w:val="auto"/>
                <w:sz w:val="22"/>
                <w:szCs w:val="22"/>
              </w:rPr>
              <w:t>5kg</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允许力矩：</w:t>
            </w:r>
            <w:r>
              <w:rPr>
                <w:rFonts w:hint="eastAsia" w:ascii="宋体" w:hAnsi="宋体" w:cs="宋体"/>
                <w:color w:val="auto"/>
                <w:sz w:val="22"/>
                <w:szCs w:val="22"/>
                <w:lang w:bidi="ar"/>
              </w:rPr>
              <w:t>≥</w:t>
            </w:r>
            <w:r>
              <w:rPr>
                <w:rFonts w:hint="eastAsia" w:ascii="宋体" w:hAnsi="宋体" w:cs="宋体"/>
                <w:color w:val="auto"/>
                <w:sz w:val="22"/>
                <w:szCs w:val="22"/>
              </w:rPr>
              <w:t>40Nm</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工作压力：0.3-1Mpa</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重量：1.0kg</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3）单吸盘工具</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吸盘盘径：</w:t>
            </w:r>
            <w:r>
              <w:rPr>
                <w:rFonts w:hint="eastAsia" w:ascii="宋体" w:hAnsi="宋体" w:cs="宋体"/>
                <w:color w:val="auto"/>
                <w:sz w:val="22"/>
                <w:szCs w:val="22"/>
                <w:lang w:bidi="ar"/>
              </w:rPr>
              <w:t>≥</w:t>
            </w:r>
            <w:r>
              <w:rPr>
                <w:rFonts w:hint="eastAsia" w:ascii="宋体" w:hAnsi="宋体" w:cs="宋体"/>
                <w:color w:val="auto"/>
                <w:sz w:val="22"/>
                <w:szCs w:val="22"/>
              </w:rPr>
              <w:t>20mm</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吸附力≥10N</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配真空发生器和电磁阀</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4）手爪工具</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多种类型</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5）无源工具</w:t>
            </w:r>
          </w:p>
          <w:p>
            <w:pPr>
              <w:wordWrap w:val="0"/>
              <w:topLinePunct/>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工具类型：绘图笔</w:t>
            </w:r>
          </w:p>
          <w:p>
            <w:pPr>
              <w:spacing w:line="360" w:lineRule="exact"/>
              <w:rPr>
                <w:rFonts w:ascii="宋体" w:hAnsi="宋体" w:cs="宋体"/>
                <w:color w:val="auto"/>
                <w:sz w:val="22"/>
                <w:szCs w:val="22"/>
              </w:rPr>
            </w:pPr>
            <w:r>
              <w:rPr>
                <w:rFonts w:hint="eastAsia" w:ascii="宋体" w:hAnsi="宋体" w:cs="宋体"/>
                <w:color w:val="auto"/>
                <w:kern w:val="2"/>
                <w:sz w:val="22"/>
                <w:szCs w:val="22"/>
              </w:rPr>
              <w:t>4、</w:t>
            </w:r>
            <w:r>
              <w:rPr>
                <w:rFonts w:hint="eastAsia" w:ascii="宋体" w:hAnsi="宋体" w:cs="宋体"/>
                <w:color w:val="auto"/>
                <w:sz w:val="22"/>
                <w:szCs w:val="22"/>
              </w:rPr>
              <w:t>轨迹模块</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轨迹训练模型由优质铝材加工制造，表面阳极氧化处理、通过在平面、曲面上蚀刻四种不同图形规则的图案（三角形、圆形、风车图案、凹字形图案），可通过笔形绘图夹具描绘图形，训练对机器人基本的点示教，平面直线、曲线运动/曲面直线、曲线运动的轨迹示教。要求轨迹多样性，可以使用现有轨迹练习，也可利用磁性贴纸自行设计轨迹图进行练习，投标时提供该单元效果图或实物图。</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1）轨迹模块尺寸（mm）（±10mm）：≥320×300×104mm；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2）示教功能：点示教、直线轨迹、圆弧轨迹、曲线轨迹等</w:t>
            </w:r>
          </w:p>
          <w:p>
            <w:pPr>
              <w:spacing w:line="360" w:lineRule="exact"/>
              <w:rPr>
                <w:rFonts w:ascii="宋体" w:hAnsi="宋体" w:cs="宋体"/>
                <w:color w:val="auto"/>
                <w:sz w:val="22"/>
                <w:szCs w:val="22"/>
              </w:rPr>
            </w:pPr>
            <w:r>
              <w:rPr>
                <w:rFonts w:hint="eastAsia" w:ascii="宋体" w:hAnsi="宋体" w:cs="宋体"/>
                <w:color w:val="auto"/>
                <w:sz w:val="22"/>
                <w:szCs w:val="22"/>
              </w:rPr>
              <w:t>5、绘图模块</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由绘图固定底板、绘图纸、磁铁、不锈钢拉手等组成带有基础轨迹以及正交和非正交坐标系，带自定义图纸安装，安装方式磁性固定，模块通过支架进行多角度的安装。通过操作机器人利用绘图笔工具在绘图纸上进行绘图作业,可以训练对机器人基本的点示教、直线、曲线运动的掌握。要求轨迹多样，可以使用现有轨迹练习，自行设计轨迹图片进行更换。投标时提供该单元效果图或实物图。</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1）外形尺寸（±10mm）：≥360×280×60mm；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2）底座尺寸：≥360×280×10mm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3）图样张数：≥4张</w:t>
            </w:r>
          </w:p>
          <w:p>
            <w:pPr>
              <w:spacing w:line="360" w:lineRule="exact"/>
              <w:rPr>
                <w:rFonts w:ascii="宋体" w:hAnsi="宋体" w:cs="宋体"/>
                <w:color w:val="auto"/>
                <w:sz w:val="22"/>
                <w:szCs w:val="22"/>
              </w:rPr>
            </w:pPr>
            <w:r>
              <w:rPr>
                <w:rFonts w:hint="eastAsia" w:ascii="宋体" w:hAnsi="宋体" w:cs="宋体"/>
                <w:color w:val="auto"/>
                <w:sz w:val="22"/>
                <w:szCs w:val="22"/>
              </w:rPr>
              <w:t>6、搬运模块</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由固定底板、不锈钢拉手等组成。电机套件各零件对应放在固定底板定位槽内，工业机器人通过选择对应工具，可对机器人点对点搬运进行练习，且搬运的物料形状、角度的不同，更加深化了机器人点到点示教时的角度姿态等调整；同时满足平面，阵列，指定编号位置的搬运要求；可对机器人偏移指令，逻辑判断指令和计数器赋值的学习；提高学习者的编程能力，投标时提供该单元效果图或实物图。</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1）外形尺寸：≥350×280×150mm；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2）可容纳零件个数：≥16个</w:t>
            </w:r>
          </w:p>
          <w:p>
            <w:pPr>
              <w:spacing w:line="360" w:lineRule="exact"/>
              <w:rPr>
                <w:rFonts w:ascii="宋体" w:hAnsi="宋体" w:cs="宋体"/>
                <w:color w:val="auto"/>
                <w:sz w:val="22"/>
                <w:szCs w:val="22"/>
              </w:rPr>
            </w:pPr>
            <w:r>
              <w:rPr>
                <w:rFonts w:hint="eastAsia" w:ascii="宋体" w:hAnsi="宋体" w:cs="宋体"/>
                <w:color w:val="auto"/>
                <w:sz w:val="22"/>
                <w:szCs w:val="22"/>
              </w:rPr>
              <w:t>7、码垛模块</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由码垛固定底板、码垛物料、不锈钢拉手等组成。工业机器人通过吸盘工具按要求拾取码垛物料进行码垛任务，能练习对工业机器人码垛的理解并快速编程示教的强化训练。根据要求码垛零件被摆放到底板相应仓格内，机器人通过吸盘工具按要求拾取码垛零件进行码垛任务；码垛零件有长方形和正方形两种，操作者可根据需要选择摆放；可根据需要自由组合码垛出多种形状，同时也可进行拆垛练习。标时提供该单元效果图或实物图。</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1）外形尺寸（±10mm）：≥320×240×150mm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2）底座尺寸：≥320×240×10mm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3）码垛位置：≥2个</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4）零件容量：至少包含矩形工件10个和方形工件10个，可混装</w:t>
            </w:r>
          </w:p>
          <w:p>
            <w:pPr>
              <w:spacing w:line="360" w:lineRule="exact"/>
              <w:rPr>
                <w:rFonts w:ascii="宋体" w:hAnsi="宋体" w:cs="宋体"/>
                <w:color w:val="auto"/>
                <w:sz w:val="22"/>
                <w:szCs w:val="22"/>
              </w:rPr>
            </w:pPr>
            <w:r>
              <w:rPr>
                <w:rFonts w:hint="eastAsia" w:ascii="宋体" w:hAnsi="宋体" w:cs="宋体"/>
                <w:color w:val="auto"/>
                <w:sz w:val="22"/>
                <w:szCs w:val="22"/>
              </w:rPr>
              <w:t>8、视觉检测模块</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要求由工业视觉系统、视觉显示器、视觉光源、称重模块、固定底板等组成。 模块适配外围控制器套件和标准电气接口套件，检测零件的形状、颜色、坐标（X/Y/A）等信息，通过以太网和模拟量通道将检测结果发往机器人，配合工业机器人末端单吸盘工具将样件分拣定位抓取，使学生了解机器视觉在机器人控制系统中的应用。投标时提供该单元效果图或实物图。</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1）模块外形尺寸（±10mm）：≥340×245×580mm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2）底板尺寸：≥340×240×10mm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3）工业相机</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类型：彩色相机</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尺寸：≥29mm×29mm×30mm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镜头接口：C-Mount</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分辨率：≥2592×1944</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数据接口：USB3.0</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数字I/O：6-pinHirose接头提供供电和I/O：1路光耦隔离输入（Line0），1路光耦隔离输出（Line1），1路双向可配置非隔离I/O（Line2）</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传感器类型：CMOS，卷帘快门</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典型功耗：2.5W@5VDC（USB供电）</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工作温度0~50℃，储藏温度-30~70℃</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4）镜头：</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（1）像素：≥500W</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（2）焦距：≥12mm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（3）光圈：F2.0</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（4）外形尺寸Φ29.5×40.8mm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5）视觉控制器</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（1）处理器：IntelE3845，4核1.91GHz</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（2）图形处理器：</w:t>
            </w:r>
          </w:p>
          <w:p>
            <w:pPr>
              <w:wordWrap w:val="0"/>
              <w:topLinePunct/>
              <w:spacing w:line="36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集成Gen7GPU</w:t>
            </w:r>
          </w:p>
          <w:p>
            <w:pPr>
              <w:wordWrap w:val="0"/>
              <w:topLinePunct/>
              <w:spacing w:line="36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支持3D图像硬件加速</w:t>
            </w:r>
          </w:p>
          <w:p>
            <w:pPr>
              <w:wordWrap w:val="0"/>
              <w:topLinePunct/>
              <w:spacing w:line="36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支持多种格式的视频解码硬件加速</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（3）串口：1路半双工RS-485，1路RS-232</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（4）网络接口：3个标准RJ45Intel1210千兆网口</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（5）USB接口：1个USB3.0接口，3个USB2.0接口，支持扩展1个内置USB2.0接口</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（6）GPIO：支持4路光耦隔离输入，4路光耦隔离输出</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（7）光源接口：1路压控，输出电压0-24VDC，最大功率24W</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（8）外形尺寸：134.8mm*91mm*45mm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（9）重量：约650g</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（10）供电：DC24V/2.5A</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（11）典型功耗：≤34W</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6）光源:白色漫射LED环形灯</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7）算法平台软件：视觉软件</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（1）由近千个完全自主研发的图像处理算子和多种交互式开发工具组成，支持多种操作系统和图像采集硬件设备，能够满足机器视觉应用领域中定位、测量、识别、检测等需求</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（2）完全图形化交互界面，功能图标直观易懂，拖拽式操作能快速搭架视觉方案</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（3）用户可以根据需求创建视觉方案，还可以自定义运行界面，并在运行界面上集成背景图像或公司logo，满足客户个性化需求</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（4）兼容GigEVision和USB3.0Vision</w:t>
            </w:r>
            <w:r>
              <w:rPr>
                <w:rFonts w:hint="eastAsia" w:ascii="宋体" w:hAnsi="宋体" w:cs="宋体"/>
                <w:color w:val="auto"/>
                <w:sz w:val="22"/>
                <w:szCs w:val="22"/>
                <w:lang w:val="en-US" w:eastAsia="zh-CN"/>
              </w:rPr>
              <w:t>等</w:t>
            </w:r>
            <w:r>
              <w:rPr>
                <w:rFonts w:hint="eastAsia" w:ascii="宋体" w:hAnsi="宋体" w:cs="宋体"/>
                <w:color w:val="auto"/>
                <w:sz w:val="22"/>
                <w:szCs w:val="22"/>
              </w:rPr>
              <w:t>协议标准，可以接入多种品牌的相机。支持本地图像处理和相机数据图像处理</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（5）视觉软件可实现采集、定位、几何形状查找、测量、识别、颜色处理、缺陷检测、逻辑处理、深度学习等功能</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（6）将常用通信协议进行模块封装，供算法结果输出，目前支持接收数据、发送数据、PLC通信、IO通信和ModBus等通信。</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8）称重单元</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称重区域：≤φ100mm</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称重范围：0-1000g</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供电：18-30V</w:t>
            </w:r>
            <w:r>
              <w:rPr>
                <w:rFonts w:ascii="宋体" w:hAnsi="宋体" w:cs="宋体"/>
                <w:color w:val="auto"/>
                <w:sz w:val="22"/>
                <w:szCs w:val="22"/>
              </w:rPr>
              <w:t xml:space="preserve">  </w:t>
            </w:r>
            <w:r>
              <w:rPr>
                <w:rFonts w:hint="eastAsia" w:ascii="宋体" w:hAnsi="宋体" w:cs="宋体"/>
                <w:color w:val="auto"/>
                <w:sz w:val="22"/>
                <w:szCs w:val="22"/>
              </w:rPr>
              <w:t>DC</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精度：0.005%</w:t>
            </w:r>
          </w:p>
          <w:p>
            <w:pPr>
              <w:spacing w:line="360" w:lineRule="exact"/>
              <w:rPr>
                <w:rFonts w:ascii="宋体" w:hAnsi="宋体" w:cs="宋体"/>
                <w:color w:val="auto"/>
                <w:sz w:val="22"/>
                <w:szCs w:val="22"/>
              </w:rPr>
            </w:pPr>
            <w:r>
              <w:rPr>
                <w:rFonts w:hint="eastAsia" w:ascii="宋体" w:hAnsi="宋体" w:cs="宋体"/>
                <w:color w:val="auto"/>
                <w:sz w:val="22"/>
                <w:szCs w:val="22"/>
              </w:rPr>
              <w:t>9、电气控制模块</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1）可编程控制器</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（1）用户存储器容量：≥100K/4MB</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（2）数字量通道：≥14DI/10DO</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（3）模拟量通道：≥2AI</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（4）位存储器容量：≥8192byte</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（5）布尔运算执行速度：≥0.08us/指令</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（6）移动字执行速度：≥1.7us/指令</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（7）实数数学运算执行速度：≥2.3us/指令</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（8）以太网端口数：≥1</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（9）数据传输率：≥10/100Mb/s</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2）触摸屏</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（1）屏幕尺寸：≥7英寸</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（2）分辨率:≥800×480像素</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（3）色彩：≥65535</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（4）电压范围：19.2—28.8VDC</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（5）以太网端口数：≥2</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（6）防护等级≥IP65</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（7）用户数据可储存：≥10Mbyte</w:t>
            </w:r>
          </w:p>
          <w:p>
            <w:pPr>
              <w:spacing w:line="360" w:lineRule="exact"/>
              <w:rPr>
                <w:rFonts w:ascii="宋体" w:hAnsi="宋体" w:cs="宋体"/>
                <w:color w:val="auto"/>
                <w:sz w:val="22"/>
                <w:szCs w:val="22"/>
              </w:rPr>
            </w:pPr>
            <w:r>
              <w:rPr>
                <w:rFonts w:hint="eastAsia" w:ascii="宋体" w:hAnsi="宋体" w:cs="宋体"/>
                <w:color w:val="auto"/>
                <w:sz w:val="22"/>
                <w:szCs w:val="22"/>
              </w:rPr>
              <w:t>10、通用电气接口模块</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1)模块电气标准接口:24VDC供电端口</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2)数字量扩展模块电源电压：DC24V</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数字量通道：包含数字输入和数字输出</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3)以太网交换机</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电源电压：DC24V</w:t>
            </w:r>
          </w:p>
          <w:p>
            <w:pPr>
              <w:wordWrap w:val="0"/>
              <w:topLinePunct/>
              <w:spacing w:line="360" w:lineRule="exact"/>
              <w:ind w:firstLine="442" w:firstLineChars="201"/>
              <w:jc w:val="left"/>
              <w:rPr>
                <w:rFonts w:ascii="宋体" w:hAnsi="宋体" w:cs="宋体"/>
                <w:color w:val="auto"/>
                <w:sz w:val="22"/>
                <w:szCs w:val="22"/>
              </w:rPr>
            </w:pPr>
            <w:r>
              <w:rPr>
                <w:rFonts w:hint="eastAsia" w:ascii="宋体" w:hAnsi="宋体" w:cs="宋体"/>
                <w:color w:val="auto"/>
                <w:sz w:val="22"/>
                <w:szCs w:val="22"/>
              </w:rPr>
              <w:t>端口数量：≥8个</w:t>
            </w:r>
          </w:p>
          <w:p>
            <w:pPr>
              <w:spacing w:line="360" w:lineRule="exact"/>
              <w:rPr>
                <w:rFonts w:ascii="宋体" w:hAnsi="宋体" w:cs="宋体"/>
                <w:color w:val="auto"/>
                <w:sz w:val="22"/>
                <w:szCs w:val="22"/>
              </w:rPr>
            </w:pPr>
            <w:r>
              <w:rPr>
                <w:rFonts w:hint="eastAsia" w:ascii="宋体" w:hAnsi="宋体" w:cs="宋体"/>
                <w:color w:val="auto"/>
                <w:sz w:val="22"/>
                <w:szCs w:val="22"/>
              </w:rPr>
              <w:t>11、计算机桌椅</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要求主要由高密度中纤板及优质五金等组成，承受力强且不易变形。</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尺寸：≥580*400*780mm</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椅面尺寸：≥600×400mm，厚度≥15mm</w:t>
            </w:r>
          </w:p>
          <w:p>
            <w:pPr>
              <w:spacing w:line="360" w:lineRule="exact"/>
              <w:rPr>
                <w:rFonts w:ascii="宋体" w:hAnsi="宋体" w:cs="宋体"/>
                <w:color w:val="auto"/>
                <w:sz w:val="22"/>
                <w:szCs w:val="22"/>
              </w:rPr>
            </w:pPr>
            <w:r>
              <w:rPr>
                <w:rFonts w:hint="eastAsia" w:ascii="宋体" w:hAnsi="宋体" w:cs="宋体"/>
                <w:color w:val="auto"/>
                <w:sz w:val="22"/>
                <w:szCs w:val="22"/>
              </w:rPr>
              <w:t>12、无油静音气泵</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电源:220V</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额定功率:≥560W</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排气量:≥58L/min</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最高排气压力:≥0.8MPa</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储气罐容量:≥23L</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重量:≥25KG</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噪音:≤56dB</w:t>
            </w:r>
          </w:p>
          <w:p>
            <w:pPr>
              <w:spacing w:line="360" w:lineRule="exact"/>
              <w:rPr>
                <w:rFonts w:ascii="宋体" w:hAnsi="宋体" w:cs="宋体"/>
                <w:color w:val="auto"/>
                <w:sz w:val="22"/>
                <w:szCs w:val="22"/>
              </w:rPr>
            </w:pPr>
            <w:r>
              <w:rPr>
                <w:rFonts w:hint="eastAsia" w:ascii="宋体" w:hAnsi="宋体" w:cs="宋体"/>
                <w:color w:val="auto"/>
                <w:kern w:val="2"/>
                <w:sz w:val="22"/>
                <w:szCs w:val="22"/>
              </w:rPr>
              <w:t>四、</w:t>
            </w:r>
            <w:r>
              <w:rPr>
                <w:rFonts w:hint="eastAsia" w:ascii="宋体" w:hAnsi="宋体" w:cs="宋体"/>
                <w:color w:val="auto"/>
                <w:sz w:val="22"/>
                <w:szCs w:val="22"/>
              </w:rPr>
              <w:t>教学资源</w:t>
            </w:r>
          </w:p>
          <w:p>
            <w:pPr>
              <w:tabs>
                <w:tab w:val="left" w:pos="0"/>
              </w:tabs>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实训管理软件</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包含教师端管理软件一个，提供教师端与学生端的交互功能。使老师能够具备管理学生，监控学习质量的能力，通过教师端管理软件，老师能够向指定小组或某个学生发送程序案例，学生也可以向老师提交自己编写的程序作业，因而提高教学效率。教师端软件安装具有备份和还原功能。</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老师可以通过管理软件具备以下能力：</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（1）能够根据学生的基本情况将学生进行分组；</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（2）查看某个学生所在机器的基本参数及状态；</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（3）实时的查看某个学生的程序调试，以及程序运行状态；</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（4）与学生间进行程序文件的互传，实现收发作业功能；</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分组操作在区域“1”中能够看到，可以根据不同情况将学生进行分组；</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【新建】按钮支持老师新建一个小组；</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【删除】是将光标选中的小组删除；</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【打开】可以查看小组成员；</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【保存】是对小组修改信息的保存；</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【发送】可以向光标所在小组发送程序文件</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学生信息</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区域“2”展示小组成员；</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【添加】按钮可以添加一个新的小组成员；</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【修改】按钮可以修改光标所在位置的学生信息；</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【删除】将相应的学生从小组中删除；</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【发送】将向该同学发送程序文件；</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不同品牌的示教器</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区域“3”可以选择展示小组内不同的示教器；</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示教器展示</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区域“4”展示小组成员使用的示教器信息，当将鼠标放到某个示教器时，将在区域“5”展示该学生的个人信息；</w:t>
            </w:r>
          </w:p>
          <w:p>
            <w:pPr>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个人信息</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区域“5”展示个人信息，包括姓名、机器人IP、所在位置。位置[1,1]表示第一排，第一列；</w:t>
            </w:r>
          </w:p>
          <w:p>
            <w:pPr>
              <w:tabs>
                <w:tab w:val="left" w:pos="0"/>
              </w:tabs>
              <w:spacing w:line="360" w:lineRule="exact"/>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工业机器人多品牌仿真及实操及实控软件</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（1）能仿真控制至少三种品牌工业机器人；</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（2）最终需升级到</w:t>
            </w:r>
            <w:r>
              <w:rPr>
                <w:rFonts w:hint="eastAsia" w:hAnsi="宋体"/>
                <w:b w:val="0"/>
                <w:bCs w:val="0"/>
                <w:color w:val="auto"/>
                <w:sz w:val="22"/>
                <w:szCs w:val="22"/>
                <w:lang w:val="en-US" w:eastAsia="zh-CN"/>
              </w:rPr>
              <w:t>主流品牌</w:t>
            </w:r>
            <w:r>
              <w:rPr>
                <w:rFonts w:hint="eastAsia" w:hAnsi="宋体"/>
                <w:b w:val="0"/>
                <w:bCs w:val="0"/>
                <w:color w:val="auto"/>
                <w:sz w:val="22"/>
                <w:szCs w:val="22"/>
              </w:rPr>
              <w:t>机器人示教器模拟界面，能分别采用</w:t>
            </w:r>
            <w:r>
              <w:rPr>
                <w:rFonts w:hint="eastAsia" w:hAnsi="宋体"/>
                <w:b w:val="0"/>
                <w:bCs w:val="0"/>
                <w:color w:val="auto"/>
                <w:sz w:val="22"/>
                <w:szCs w:val="22"/>
                <w:lang w:val="en-US" w:eastAsia="zh-CN"/>
              </w:rPr>
              <w:t>主流品牌</w:t>
            </w:r>
            <w:r>
              <w:rPr>
                <w:rFonts w:hint="eastAsia" w:hAnsi="宋体"/>
                <w:b w:val="0"/>
                <w:bCs w:val="0"/>
                <w:color w:val="auto"/>
                <w:sz w:val="22"/>
                <w:szCs w:val="22"/>
              </w:rPr>
              <w:t>机器人的编程语言等离线模拟示教编程；</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（3）能仿真示教盒按键、菜单、状态显示功能并进行编辑和提示；</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（4）能实现机器人运动控制仿真，包括零点标定、手动操控、示教编程等；</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5）具有集成功能、预置功能、操作主功能、辅助示教功能，其中，集成功能为多机型、多模式等功能的实现；预置功能为机器人示教操作前的一些预备工作的设置功能；示教系统操作的主功能为三种模式下的示教操作功能的实现；辅助示教功能是为了帮助初学者便于快速的学习操作及编程而设定的一些参考和错误提示功能；</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（6）可对工业机器人电气硬件的系统设计，包含电控系统、主电路、控制电路、人机界面等器件选型测试，同时可对设计成果进行仿真和验证；</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（7）预留二次开发接口，机器人模型和场景用户可以自己添加；</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（8）软件需能兼容在机器人控制器平台中运行，能调用控制器底层运动控制函数库，如运动、逻辑、工艺等；</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9）多品牌示教器虚拟界面能显示手持示教盒上，通过在手持示教盒的操控能实现多品牌示教器界面及编程语言对实体机器人本体的示教编程及再现运行，实现实体机器人点到点、直线、圆弧、连续轨迹等运动，搭配周边设备可实现码垛、书写等应用的实训；</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（10）对本实训室工业机器人电气硬件的系统设计，包含电控系统、主电路、控制电路、人机界面等器件选型测试，同时可对设计成果对本实训室机器人通讯仿真，验证，控制。</w:t>
            </w:r>
          </w:p>
          <w:p>
            <w:pPr>
              <w:wordWrap w:val="0"/>
              <w:topLinePunct/>
              <w:spacing w:line="360" w:lineRule="exact"/>
              <w:ind w:firstLine="442" w:firstLineChars="201"/>
              <w:rPr>
                <w:rFonts w:ascii="宋体" w:hAnsi="宋体" w:cs="宋体"/>
                <w:color w:val="auto"/>
                <w:sz w:val="22"/>
                <w:szCs w:val="22"/>
              </w:rPr>
            </w:pPr>
            <w:r>
              <w:rPr>
                <w:rFonts w:hint="eastAsia" w:ascii="宋体" w:hAnsi="宋体" w:cs="宋体"/>
                <w:color w:val="auto"/>
                <w:sz w:val="22"/>
                <w:szCs w:val="22"/>
              </w:rPr>
              <w:t>★（11）投标时需提供计算机著作权证书扫描件。</w:t>
            </w:r>
          </w:p>
          <w:p>
            <w:pPr>
              <w:tabs>
                <w:tab w:val="left" w:pos="0"/>
              </w:tabs>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配套嵌入式软件</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该设备须具有软硬件结合功能且系统兼容性强，能够满足学校教学所需，为了确保所投设备的稳定性，要求所投设备具有配套的嵌入式机器人控制技术软件和配套的工业机器人应用技术控制系统软件以及配套的机器人智能通讯技术软件，软件要求为自主知识产权产品，★投标时需提供软件第三方证明材料，如著作权证明材料等。</w:t>
            </w:r>
          </w:p>
          <w:p>
            <w:pPr>
              <w:tabs>
                <w:tab w:val="left" w:pos="0"/>
              </w:tabs>
              <w:spacing w:line="360" w:lineRule="exact"/>
              <w:rPr>
                <w:rFonts w:ascii="宋体" w:hAnsi="宋体" w:cs="宋体"/>
                <w:color w:val="auto"/>
                <w:sz w:val="22"/>
                <w:szCs w:val="22"/>
              </w:rPr>
            </w:pPr>
            <w:r>
              <w:rPr>
                <w:rFonts w:ascii="宋体" w:hAnsi="宋体" w:cs="宋体"/>
                <w:color w:val="auto"/>
                <w:sz w:val="22"/>
                <w:szCs w:val="22"/>
              </w:rPr>
              <w:t>4、</w:t>
            </w:r>
            <w:r>
              <w:rPr>
                <w:rFonts w:hint="eastAsia" w:ascii="宋体" w:hAnsi="宋体" w:cs="宋体"/>
                <w:color w:val="auto"/>
                <w:sz w:val="22"/>
                <w:szCs w:val="22"/>
              </w:rPr>
              <w:t>在线学习平台（整个项目共配一套）</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1）总体要求</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平台要求为B2B2C类型，可以通过PC端或手机APP实现观看视频课程、网络直播、网上答疑、安排课前预习等，能适用于高校师生、企业员工的各类网络学习培训。★投标时提供PC版、IOS版、安卓版三个版本的计算机软件著作权复印件。</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2）平台支持要求</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能PC端网页版和手机微信公众号登录，适用于windows / ios等多系统，要求在PC机、平板或手机上均能使用。</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3）主要功能要求</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平台系统至少包含有课程、直播、题库、问答等模块。主要功能要求：（1）现建有较为丰富的教学资源，视频资源画面高清，主题知识点突出，能提供以下网络教学资源视频：1）工业三维设计软件；2）虚拟设计仿真实训系统；3）工业机器人实战；4）工业机器人实操与应用技巧；5）离线编程软件操作技巧；6）六轴机器人基础教学等。</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（2）具有较好的网络教学直播功能，可对每个网络学员的学习过程和阶段情况等实现完整的跟踪记录，支持随时上传或下载资料。</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（3）题库模块能进行网络考试测评，具有章节练习和模拟考试功能。</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4）核心技术要求</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（1）教学资源创建与共享。</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（2）网络直播：要求支持至少1500人实时观看，如果有需求可以提高同时在线人数。</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（3）网络测评考试</w:t>
            </w:r>
          </w:p>
          <w:p>
            <w:pPr>
              <w:pStyle w:val="88"/>
              <w:wordWrap w:val="0"/>
              <w:topLinePunct/>
              <w:autoSpaceDE/>
              <w:adjustRightInd/>
              <w:spacing w:line="360" w:lineRule="exact"/>
              <w:ind w:firstLine="440" w:firstLineChars="200"/>
              <w:rPr>
                <w:rFonts w:hAnsi="宋体"/>
                <w:b w:val="0"/>
                <w:bCs w:val="0"/>
                <w:color w:val="auto"/>
                <w:sz w:val="22"/>
                <w:szCs w:val="22"/>
              </w:rPr>
            </w:pPr>
            <w:r>
              <w:rPr>
                <w:rFonts w:hint="eastAsia" w:hAnsi="宋体"/>
                <w:b w:val="0"/>
                <w:bCs w:val="0"/>
                <w:color w:val="auto"/>
                <w:sz w:val="22"/>
                <w:szCs w:val="22"/>
              </w:rPr>
              <w:t>（4）网上答疑</w:t>
            </w:r>
          </w:p>
          <w:p>
            <w:pPr>
              <w:spacing w:line="360" w:lineRule="exact"/>
              <w:rPr>
                <w:rFonts w:ascii="宋体" w:hAnsi="宋体" w:cs="宋体"/>
                <w:color w:val="auto"/>
                <w:sz w:val="22"/>
                <w:szCs w:val="22"/>
              </w:rPr>
            </w:pPr>
            <w:r>
              <w:rPr>
                <w:rFonts w:hint="eastAsia" w:ascii="宋体" w:hAnsi="宋体" w:cs="宋体"/>
                <w:color w:val="auto"/>
                <w:kern w:val="2"/>
                <w:sz w:val="22"/>
                <w:szCs w:val="22"/>
              </w:rPr>
              <w:t>五、</w:t>
            </w:r>
            <w:r>
              <w:rPr>
                <w:rFonts w:hint="eastAsia" w:ascii="宋体" w:hAnsi="宋体" w:cs="宋体"/>
                <w:color w:val="auto"/>
                <w:sz w:val="22"/>
                <w:szCs w:val="22"/>
              </w:rPr>
              <w:t>实训项目要求</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1、硬件的安装与调试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（1）工业机器人底座的安装与调试技术</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（2）工业机器人安装与调试技术</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（3）工业机器人自动换夹具安装与调试技术</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（4）轨迹模块的安装与调试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(5)绘图模块的安装与调试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(6）搬运模块的安装与调试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(7）码垛模块的安装与调试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(8）视觉检测模块的安装与调试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2、电气安装与调试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（1）工业机器人本体与控制器之间的电气连接与调试技术</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（2）工业机器控制器和PLC之间电气连接与调试技术</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（3）工业机器人夹具电气连接与调试技术</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3、编程调试和应用</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（1）工业机器人编程调试软件的安装</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(2）工业机器人通过示教器对工业机器人的运作过程调试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（3）通过计算机软件对工业机器人的运作过程调试</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（4）通过I/0板对机器人运作的控制</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（5）机器人控制数据库的建立和应用</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（6）轨迹模块运行的编写</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(7)绘图模块运行的编写</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(8）搬运模块运行的编写</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(9）码垛模块运行的编写</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(10）视觉检测模块运行的编写</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（11）可编程控制器程序的编写和设计</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4、设备的维护和保养</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（1）能够按照机器人操作规程对机器人进行安全检查</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（2）根据系统的异常，机械故障进行简单的维修和保养</w:t>
            </w:r>
          </w:p>
          <w:p>
            <w:pPr>
              <w:widowControl/>
              <w:wordWrap w:val="0"/>
              <w:topLinePunct/>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（3）工业机器人的日、周、月检查与维护</w:t>
            </w:r>
          </w:p>
        </w:tc>
        <w:tc>
          <w:tcPr>
            <w:tcW w:w="592" w:type="pct"/>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2</w:t>
            </w:r>
          </w:p>
        </w:tc>
        <w:tc>
          <w:tcPr>
            <w:tcW w:w="931" w:type="pct"/>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自动化生产线设备</w:t>
            </w:r>
          </w:p>
        </w:tc>
        <w:tc>
          <w:tcPr>
            <w:tcW w:w="3159" w:type="pct"/>
            <w:vAlign w:val="center"/>
          </w:tcPr>
          <w:p>
            <w:pPr>
              <w:spacing w:line="400" w:lineRule="exact"/>
              <w:rPr>
                <w:rFonts w:ascii="宋体" w:hAnsi="宋体" w:cs="宋体"/>
                <w:b/>
                <w:bCs/>
                <w:color w:val="auto"/>
                <w:sz w:val="22"/>
                <w:szCs w:val="22"/>
              </w:rPr>
            </w:pPr>
            <w:r>
              <w:rPr>
                <w:rFonts w:hint="eastAsia" w:ascii="宋体" w:hAnsi="宋体" w:cs="宋体"/>
                <w:b/>
                <w:bCs/>
                <w:color w:val="auto"/>
                <w:sz w:val="22"/>
                <w:szCs w:val="22"/>
              </w:rPr>
              <w:t>一、设备整体要求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1.要求自动化生产线模块至少由安装在铝合金导轨式实训台上的送料单元、装配单元、和分拣单元以及可编程控制单元等组成。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要求设备的每一工作单元都可自成一个独立的系统，同时也都是一个机电一体化的系统。各个单元的执行机构基本上以气动执行机构为主，分拣单元的传送带驱动则采用了通用变频器驱动三相异步电动机的交流传动装置。位置控制和变频器技术是现代工业企业应用最为广泛的电气控制技术。</w:t>
            </w:r>
          </w:p>
          <w:p>
            <w:pPr>
              <w:spacing w:line="400" w:lineRule="exact"/>
              <w:rPr>
                <w:rFonts w:ascii="宋体" w:hAnsi="宋体" w:cs="宋体"/>
                <w:b/>
                <w:bCs/>
                <w:color w:val="auto"/>
                <w:sz w:val="22"/>
                <w:szCs w:val="22"/>
              </w:rPr>
            </w:pPr>
            <w:r>
              <w:rPr>
                <w:rFonts w:hint="eastAsia" w:ascii="宋体" w:hAnsi="宋体" w:cs="宋体"/>
                <w:b/>
                <w:bCs/>
                <w:color w:val="auto"/>
                <w:sz w:val="22"/>
                <w:szCs w:val="22"/>
              </w:rPr>
              <w:t>二、设备功能组成介绍</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1、供料单元</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供料单元的基本功能：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供料单元是设备中的起始单元，在整个系统中，起着向系统中的其他单元提供原料的作用。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供料单元的具体功能：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按照需要将放置在料仓中待加工工件（原料）自动地推出到物料台上，以便输送单元的机械手将其抓取，输送到其他单元上。</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供料单元的主要组成：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主要包括竖式料筒，顶料气缸，推料气缸，物料检测传感器部件，安装支架平台,材料检测装置部件,带保护接线端子单元等组成。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供料单元工作过程如下：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系统启动后，顶料气缸伸出顶住倒数第二个工件；推料气缸推出，把料槽中最底层的工件推到物料台上工件抓取位。工件到位传感器检测到工件到位后，推出气缸和顶料气缸逐个缩回，倒数第二层工件落到最底层，等待推出。搬运站机械手伸出并抓取该工件，并将其运送往加工站。</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2、装配单元</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装配单元的基本功能：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装配单元是设备中对工件处理的力一单元，在整个系统中，起着对输送站送来工件进行装配及小工件供料的作用。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装配单元的具体功能：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将该单元将料仓内的黑色或白色小圆柱工件进行送料抬上。</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（1）、把从加工单元已加工好的大工件进行装配（通过机械手把小工件装配到大工件内），然由输送单元的搬运机械手搬向分解单元。</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（2）、把从供料单元的大工件进行装配（通过机械手把小工件装配到大工件内），然由输送单元的搬运机械手搬加工单元进行冲压的加工。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装配单元的主要组成：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主要包括供料机构，旋转送料单元，机械手装配单元，放料台，带保护接线端子单元等组成。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装配单元工作过程如下：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当搬运站的机械手把工件运送到装配站物料台上时，顶料气缸伸出顶住供料单元倒数第二个工件；挡料气缸缩回，使料槽中最底层的小圆柱工件落到旋转供料台上，然后旋转供料单元顺时针旋转180度（右旋），到位后装配机械手按下降气动手爪→抓取小圆柱→手爪提升→手臂伸出→手爪下降→手爪松开的动作顺序，把小园柱工件顺利装入大工件中，机械手装配单元复位的同时，旋转送料单元逆时针旋转180度（左旋）回到原位，搬运站机械手伸出并抓取该工件，并将其运送往物料分解站。</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3、分拣单元</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分拣单元的基本功能：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完成将上一单元送来的已加工、装配的工件进行分拣，使不同颜色的工件从不同的料槽分流、分别进行组合的功能。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分拣单元的主要组成：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主要包括传送带机构，三相电机动力单元，分拣气动组件，传感器检测单元，高进度反馈和定位机构，带保护接线端子单元等组成。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分拣单元工作过程如下：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本站的功能是完成从装配站送来的装配好的工件进行分拣。当搬运站送来工件放到传送带上并为入料口光电传感器检测到时，即启动变频器，工件开始送入分拣区，如果进入分拣区工件为白色，则由检测白色物料的光纤传感器动作，作为1号槽推料气缸启动信号，将白色料推到1号槽里，如果进入分拣区工件为黑色，由检测黑色的光纤传感器作为2号槽推料气缸启动信号，将黑色料推到2号槽里。自动生产线的加工结束。</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4、可编程控制单元</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1）可编程控制单元基本功能：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以PLC主机编程来达到控制实训单元的目的，不仅可完成相关的课程设计实验，还可以搭配其他配套实训模块完成基本实验和应用实验，真正实现一机多能。</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2）工作条件需求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2.1工作电源：220V</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2.2外形尺寸：长×宽×高：≥580mm X 470mm X220mm</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2.3外壳材料：铝合金边框/防火板加贴3.0MM厚中纤板</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2.4安全措施：需具有短路保护、漏电过载过流保护功能，具有误操作保护功能；安全性符合相关的国标标准，所有材质均符合环保标准。</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 xml:space="preserve"> 3）具体组成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3.1要求实训系统采用优质高密度铝材框架结构，四周需为铝制材料包边设计，采用便携式箱式结构，加厚合页，箱体前面带扣式固定锁，中间配有便携式手柄，实验箱需采用银色或者黑色外壳；内部结构由8个特殊位置机位构成；箱子使用上开盖带支撑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3.2 PLC主机模块</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控制规模:24点输入，24点输出; 可扩展到128点。</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3.3自带两路输入电位器，8000步存储容量，并且可以连接多种扩展模块，特殊功能模块。</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3.4.配备有7条特殊的定位指令，包括零返回、绝对或相对地址表达方式及特殊脉冲输出控制。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3.5.可安装显示模块，能监控和编辑定时器、计数器和数据寄存器。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3.6.网络和数据通信功能:支持232，485，422通讯。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3.7.诊断电源、 PLC内部工作状态及编程的语法错误。接收并存储用户程序和数据。接收输入信号，送入数据寄存器并保存。执行监控程序和用户程序，完成数据和信息的逻辑运算，产生相应的控制信号，完成用户指令规定的各种操作。响应各种外部设备(如编程器、上位机、打印机等)的工作请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 3.8.总线运行：电源单元,CPU单元，编程器，扩展储存器，输入单元，输出单元，特殊I/0单元，通讯单元，PLC，PC机，终端设备，现场设备。</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 3.9.输入接口电路：采用光电耦合器，防止强电干扰R1为限流电阻，R2和C1构成滤波器，用以除去输入信号中的高频干扰。V1为光电耦合器，由发光二极管和光敏三极管组成，它将输入电路与内部电路(控制电路)隔离，提高输入单元的抗干扰能力。</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3.10存储器：可分为系统程序存储器和用户程序存储器，用户程序存储器又包括用户程序存储区和用户数据存储区。系统程序存储器：用于存放PLC生产厂商永久存储的程序和指令，称为监控程序。监控程序与PLC硬件组成和专用部件物性有关，用户不能访问和修改该存储器的内容。</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用户程序存储区：主要存放用户已编制好的程序或正在调试的应用程序。用户可擦除重新编程。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用户数据存储区：用于PLC工作过程中经常变化，需要随机存储存取的一些数据。</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 3.11机架和扩展接口：扩展接口用于将扩展单元与基本单元相连，使PLC的配置更加灵活，以满足不同控制系统的需求。若PLC主机板（又称基本单元）的I/O点数不能满足输入输出设备的需要时，可用扩展电缆将I/O扩展单元与基本单元相连，达到灵活配置，增加I/O点数的目的。</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3.12.端子排：额定电流32A；额定电压450V AC；拨线长度11MM；接线范围软线：0.08-2.5MM、硬线：0.2~4MM；外观尺寸：长宽高：31.3MM×48.2MM×6.MM；安全性：阻燃环保，采用全新工程塑料，灼热丝阻燃，离火立熄，使用更安全；弹簧材质AISI301；产品颜色：蓝/橘/黄绿色；硬线线径：0.2~4MM；导电材质：紫铜镀镍；软线线径：0.08~2.5MM；端子排数量：80个 ；端子排包括输入与输出</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3.13采用CPU：Intel Core i3 ；主板：工业主板；芯片：CPU：Intel Core i3  硬盘：64G SSD内存：4G/DDR3 ；集成显卡 音频：集成音频芯片 ； 显示器≥13.3英寸；分辨率:1366*768;面板类型:工控A规屏  响应时间:3MS  背光类型;LED背光寿命; 50000H ; 亮度;400CD/m2  ;触摸屏:电容触摸屏 ;单点寿命: 〉5000万次（电容）;触摸力度:45G-250G ;表面硬度:≥3H ;线性误差:〈1.5% ;玻璃种类:化学强化有机玻璃;USB;USB2.0*2 usb3.0*2;串行接口:COM*2;拓展显示:vga*1:高清接口:HDMI*1;网卡接口:LAN网口*1:电源接口:DC电源*1;音频接口:AUDIO输出;标准工作温差：.-10°C~60°C 较大可定温差-30°C~80°C；外壳工艺：边框镀铬工艺 强材料光泽度耐腐蚀圆弧黑边整体金属；软件环境:gx works 2。</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5、PLC教学资源（</w:t>
            </w:r>
            <w:r>
              <w:rPr>
                <w:rFonts w:hint="eastAsia" w:ascii="宋体" w:hAnsi="宋体" w:cs="宋体"/>
                <w:b/>
                <w:bCs/>
                <w:color w:val="auto"/>
                <w:sz w:val="22"/>
                <w:szCs w:val="22"/>
                <w:lang w:val="en-US" w:eastAsia="zh-CN"/>
              </w:rPr>
              <w:t>容量</w:t>
            </w:r>
            <w:r>
              <w:rPr>
                <w:rFonts w:hint="eastAsia" w:ascii="宋体" w:hAnsi="宋体" w:cs="宋体"/>
                <w:b/>
                <w:bCs/>
                <w:color w:val="auto"/>
                <w:sz w:val="22"/>
                <w:szCs w:val="22"/>
              </w:rPr>
              <w:t>不少于30G）：</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要求提供 PLC 学习资源库，此部分学习资料全部是PLC学习，内容主要是讲解三菱、AB、欧姆龙、施耐德、松下、台达、西门子、信捷等各品牌 PLC 的指令与功能、编程规则，在讲解过程中并有些针对性案例程序讲解。★投标文件中需提供资源的清单列表。</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6、PLC仿真系统软件：（投标时须提供软件著作权复印件）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该软件须至少包括四层电梯控制、邮件分拣、铁塔之光、自控轧钢机、交通灯控制、步进电机控制、电镀生产性控制、自动送料装车系统、水塔水位自动控制、多种液体混合、三相电机顺序控制、全自动洗衣机控制、小车运动控制、机械手搬运控制、加工中心选刀控制等十几种仿真模块。</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7、提供设备配套和设备相关的教学资源，主要包括：</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 配套PLC编程软件、触摸屏组态软件。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 配套主要设备（包括PLC、变频器等）的功能手册、案例资源等。</w:t>
            </w:r>
          </w:p>
        </w:tc>
        <w:tc>
          <w:tcPr>
            <w:tcW w:w="592" w:type="pct"/>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3</w:t>
            </w:r>
          </w:p>
        </w:tc>
        <w:tc>
          <w:tcPr>
            <w:tcW w:w="931" w:type="pct"/>
            <w:vAlign w:val="center"/>
          </w:tcPr>
          <w:p>
            <w:pPr>
              <w:widowControl/>
              <w:jc w:val="center"/>
              <w:rPr>
                <w:rFonts w:ascii="宋体" w:hAnsi="宋体" w:cs="宋体"/>
                <w:color w:val="auto"/>
                <w:sz w:val="22"/>
                <w:szCs w:val="22"/>
              </w:rPr>
            </w:pPr>
            <w:r>
              <w:rPr>
                <w:rFonts w:hint="eastAsia" w:ascii="宋体" w:hAnsi="宋体" w:cs="宋体"/>
                <w:color w:val="auto"/>
                <w:sz w:val="22"/>
                <w:szCs w:val="22"/>
              </w:rPr>
              <w:t>数据采集系统</w:t>
            </w:r>
          </w:p>
        </w:tc>
        <w:tc>
          <w:tcPr>
            <w:tcW w:w="3159" w:type="pct"/>
            <w:vAlign w:val="center"/>
          </w:tcPr>
          <w:p>
            <w:pPr>
              <w:spacing w:line="400" w:lineRule="exact"/>
              <w:rPr>
                <w:rFonts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一、设备数据采集系统的功能</w:t>
            </w:r>
            <w:r>
              <w:rPr>
                <w:rFonts w:hint="eastAsia" w:asciiTheme="minorEastAsia" w:hAnsiTheme="minorEastAsia" w:cstheme="minorEastAsia"/>
                <w:b/>
                <w:bCs/>
                <w:color w:val="auto"/>
                <w:sz w:val="22"/>
                <w:szCs w:val="22"/>
              </w:rPr>
              <w:t>要求</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1、数据采集管理系统</w:t>
            </w:r>
            <w:r>
              <w:rPr>
                <w:rFonts w:hint="eastAsia" w:asciiTheme="minorEastAsia" w:hAnsiTheme="minorEastAsia" w:cstheme="minorEastAsia"/>
                <w:color w:val="auto"/>
                <w:sz w:val="22"/>
                <w:szCs w:val="22"/>
              </w:rPr>
              <w:t>需</w:t>
            </w:r>
            <w:r>
              <w:rPr>
                <w:rFonts w:hint="eastAsia" w:asciiTheme="minorEastAsia" w:hAnsiTheme="minorEastAsia" w:eastAsiaTheme="minorEastAsia" w:cstheme="minorEastAsia"/>
                <w:color w:val="auto"/>
                <w:sz w:val="22"/>
                <w:szCs w:val="22"/>
                <w:lang w:eastAsia="zh-Hans"/>
              </w:rPr>
              <w:t>拥有强大的兼容性，操作系统及数据库</w:t>
            </w:r>
            <w:r>
              <w:rPr>
                <w:rFonts w:hint="eastAsia" w:asciiTheme="minorEastAsia" w:hAnsiTheme="minorEastAsia" w:cstheme="minorEastAsia"/>
                <w:color w:val="auto"/>
                <w:sz w:val="22"/>
                <w:szCs w:val="22"/>
              </w:rPr>
              <w:t>要求均</w:t>
            </w:r>
            <w:r>
              <w:rPr>
                <w:rFonts w:hint="eastAsia" w:asciiTheme="minorEastAsia" w:hAnsiTheme="minorEastAsia" w:eastAsiaTheme="minorEastAsia" w:cstheme="minorEastAsia"/>
                <w:color w:val="auto"/>
                <w:sz w:val="22"/>
                <w:szCs w:val="22"/>
                <w:lang w:eastAsia="zh-Hans"/>
              </w:rPr>
              <w:t>有兼容性，系统支持多款数据库，支持中英文，提高自动化采集强度，在数据采集方面占有绝对的优势。</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2、</w:t>
            </w:r>
            <w:r>
              <w:rPr>
                <w:rFonts w:hint="eastAsia" w:asciiTheme="minorEastAsia" w:hAnsiTheme="minorEastAsia" w:cstheme="minorEastAsia"/>
                <w:color w:val="auto"/>
                <w:sz w:val="22"/>
                <w:szCs w:val="22"/>
              </w:rPr>
              <w:t>要求</w:t>
            </w:r>
            <w:r>
              <w:rPr>
                <w:rFonts w:hint="eastAsia" w:asciiTheme="minorEastAsia" w:hAnsiTheme="minorEastAsia" w:eastAsiaTheme="minorEastAsia" w:cstheme="minorEastAsia"/>
                <w:color w:val="auto"/>
                <w:sz w:val="22"/>
                <w:szCs w:val="22"/>
                <w:lang w:eastAsia="zh-Hans"/>
              </w:rPr>
              <w:t>拥有与零件生产分析与零部件平均加工时间分析功能，前者分析内容包括</w:t>
            </w:r>
            <w:r>
              <w:rPr>
                <w:rFonts w:hint="eastAsia" w:asciiTheme="minorEastAsia" w:hAnsiTheme="minorEastAsia" w:eastAsiaTheme="minorEastAsia" w:cstheme="minorEastAsia"/>
                <w:color w:val="auto"/>
                <w:sz w:val="22"/>
                <w:szCs w:val="22"/>
              </w:rPr>
              <w:t>各种传感器的信号采集与分析</w:t>
            </w:r>
            <w:r>
              <w:rPr>
                <w:rFonts w:hint="eastAsia" w:asciiTheme="minorEastAsia" w:hAnsiTheme="minorEastAsia" w:eastAsiaTheme="minorEastAsia" w:cstheme="minorEastAsia"/>
                <w:color w:val="auto"/>
                <w:sz w:val="22"/>
                <w:szCs w:val="22"/>
                <w:lang w:eastAsia="zh-Hans"/>
              </w:rPr>
              <w:t>等。</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3、设备使用时</w:t>
            </w:r>
            <w:r>
              <w:rPr>
                <w:rFonts w:hint="eastAsia" w:asciiTheme="minorEastAsia" w:hAnsiTheme="minorEastAsia" w:cstheme="minorEastAsia"/>
                <w:color w:val="auto"/>
                <w:sz w:val="22"/>
                <w:szCs w:val="22"/>
              </w:rPr>
              <w:t>至少</w:t>
            </w:r>
            <w:r>
              <w:rPr>
                <w:rFonts w:hint="eastAsia" w:asciiTheme="minorEastAsia" w:hAnsiTheme="minorEastAsia" w:eastAsiaTheme="minorEastAsia" w:cstheme="minorEastAsia"/>
                <w:color w:val="auto"/>
                <w:sz w:val="22"/>
                <w:szCs w:val="22"/>
                <w:lang w:eastAsia="zh-Hans"/>
              </w:rPr>
              <w:t>具备生产率分析功能、生产用时分析功能、设备状态分布分析功能，设备用时、加工时间、调试时间，生产加工时的设备状态、计划用时、设备状态分布、可随意变换时间等都能够被系统很好地分析及反应出来。</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4、设备使用后</w:t>
            </w:r>
            <w:r>
              <w:rPr>
                <w:rFonts w:hint="eastAsia" w:asciiTheme="minorEastAsia" w:hAnsiTheme="minorEastAsia" w:cstheme="minorEastAsia"/>
                <w:color w:val="auto"/>
                <w:sz w:val="22"/>
                <w:szCs w:val="22"/>
              </w:rPr>
              <w:t>应</w:t>
            </w:r>
            <w:r>
              <w:rPr>
                <w:rFonts w:hint="eastAsia" w:asciiTheme="minorEastAsia" w:hAnsiTheme="minorEastAsia" w:eastAsiaTheme="minorEastAsia" w:cstheme="minorEastAsia"/>
                <w:color w:val="auto"/>
                <w:sz w:val="22"/>
                <w:szCs w:val="22"/>
                <w:lang w:eastAsia="zh-Hans"/>
              </w:rPr>
              <w:t>具有对采集到未按系统要求正确进入数据库的数据修复功能，系统自动显示这些数据的详细内容，并提示需要修改及补充信息，也支持删除数据功能。</w:t>
            </w:r>
          </w:p>
          <w:p>
            <w:pPr>
              <w:spacing w:line="400" w:lineRule="exact"/>
              <w:ind w:firstLine="442" w:firstLineChars="200"/>
              <w:rPr>
                <w:rFonts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二、设备数据采集系统</w:t>
            </w:r>
            <w:r>
              <w:rPr>
                <w:rFonts w:hint="eastAsia" w:asciiTheme="minorEastAsia" w:hAnsiTheme="minorEastAsia" w:cstheme="minorEastAsia"/>
                <w:b/>
                <w:bCs/>
                <w:color w:val="auto"/>
                <w:sz w:val="22"/>
                <w:szCs w:val="22"/>
              </w:rPr>
              <w:t>效果要求</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1、数据采集管理系统</w:t>
            </w:r>
            <w:r>
              <w:rPr>
                <w:rFonts w:hint="eastAsia" w:asciiTheme="minorEastAsia" w:hAnsiTheme="minorEastAsia" w:cstheme="minorEastAsia"/>
                <w:color w:val="auto"/>
                <w:sz w:val="22"/>
                <w:szCs w:val="22"/>
              </w:rPr>
              <w:t>应</w:t>
            </w:r>
            <w:r>
              <w:rPr>
                <w:rFonts w:hint="eastAsia" w:asciiTheme="minorEastAsia" w:hAnsiTheme="minorEastAsia" w:eastAsiaTheme="minorEastAsia" w:cstheme="minorEastAsia"/>
                <w:color w:val="auto"/>
                <w:sz w:val="22"/>
                <w:szCs w:val="22"/>
                <w:lang w:eastAsia="zh-Hans"/>
              </w:rPr>
              <w:t>具有强大的采集功能，数据精确可靠，安全可信，稳定性高。</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2、</w:t>
            </w:r>
            <w:r>
              <w:rPr>
                <w:rFonts w:hint="eastAsia" w:asciiTheme="minorEastAsia" w:hAnsiTheme="minorEastAsia" w:cstheme="minorEastAsia"/>
                <w:color w:val="auto"/>
                <w:sz w:val="22"/>
                <w:szCs w:val="22"/>
              </w:rPr>
              <w:t>要求</w:t>
            </w:r>
            <w:r>
              <w:rPr>
                <w:rFonts w:hint="eastAsia" w:asciiTheme="minorEastAsia" w:hAnsiTheme="minorEastAsia" w:eastAsiaTheme="minorEastAsia" w:cstheme="minorEastAsia"/>
                <w:color w:val="auto"/>
                <w:sz w:val="22"/>
                <w:szCs w:val="22"/>
                <w:lang w:eastAsia="zh-Hans"/>
              </w:rPr>
              <w:t>系统简洁美观，易操作，易掌握，强大的兼容性</w:t>
            </w:r>
            <w:r>
              <w:rPr>
                <w:rFonts w:hint="eastAsia" w:asciiTheme="minorEastAsia" w:hAnsiTheme="minorEastAsia" w:cstheme="minorEastAsia"/>
                <w:color w:val="auto"/>
                <w:sz w:val="22"/>
                <w:szCs w:val="22"/>
              </w:rPr>
              <w:t>可</w:t>
            </w:r>
            <w:r>
              <w:rPr>
                <w:rFonts w:hint="eastAsia" w:asciiTheme="minorEastAsia" w:hAnsiTheme="minorEastAsia" w:eastAsiaTheme="minorEastAsia" w:cstheme="minorEastAsia"/>
                <w:color w:val="auto"/>
                <w:sz w:val="22"/>
                <w:szCs w:val="22"/>
                <w:lang w:eastAsia="zh-Hans"/>
              </w:rPr>
              <w:t>降低操作步骤的繁复，</w:t>
            </w:r>
            <w:r>
              <w:rPr>
                <w:rFonts w:hint="eastAsia" w:asciiTheme="minorEastAsia" w:hAnsiTheme="minorEastAsia" w:cstheme="minorEastAsia"/>
                <w:color w:val="auto"/>
                <w:sz w:val="22"/>
                <w:szCs w:val="22"/>
              </w:rPr>
              <w:t>要求</w:t>
            </w:r>
            <w:r>
              <w:rPr>
                <w:rFonts w:hint="eastAsia" w:asciiTheme="minorEastAsia" w:hAnsiTheme="minorEastAsia" w:eastAsiaTheme="minorEastAsia" w:cstheme="minorEastAsia"/>
                <w:color w:val="auto"/>
                <w:sz w:val="22"/>
                <w:szCs w:val="22"/>
                <w:lang w:eastAsia="zh-Hans"/>
              </w:rPr>
              <w:t>灵活性高，有效派工，均衡负荷，实现车间作业的透明化，提高各部门的反应速度，即时解决问题。</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3、</w:t>
            </w:r>
            <w:r>
              <w:rPr>
                <w:rFonts w:hint="eastAsia" w:asciiTheme="minorEastAsia" w:hAnsiTheme="minorEastAsia" w:cstheme="minorEastAsia"/>
                <w:color w:val="auto"/>
                <w:sz w:val="22"/>
                <w:szCs w:val="22"/>
              </w:rPr>
              <w:t>可</w:t>
            </w:r>
            <w:r>
              <w:rPr>
                <w:rFonts w:hint="eastAsia" w:asciiTheme="minorEastAsia" w:hAnsiTheme="minorEastAsia" w:eastAsiaTheme="minorEastAsia" w:cstheme="minorEastAsia"/>
                <w:color w:val="auto"/>
                <w:sz w:val="22"/>
                <w:szCs w:val="22"/>
                <w:lang w:eastAsia="zh-Hans"/>
              </w:rPr>
              <w:t>合理利用和整合资源，减少浪费，更好地组织人员、设备、物料、生产环节等资源开展生产，达到人、机、料、法、环的协同生产，提高产能。</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4、</w:t>
            </w:r>
            <w:r>
              <w:rPr>
                <w:rFonts w:hint="eastAsia" w:asciiTheme="minorEastAsia" w:hAnsiTheme="minorEastAsia" w:cstheme="minorEastAsia"/>
                <w:color w:val="auto"/>
                <w:sz w:val="22"/>
                <w:szCs w:val="22"/>
              </w:rPr>
              <w:t>应可</w:t>
            </w:r>
            <w:r>
              <w:rPr>
                <w:rFonts w:hint="eastAsia" w:asciiTheme="minorEastAsia" w:hAnsiTheme="minorEastAsia" w:eastAsiaTheme="minorEastAsia" w:cstheme="minorEastAsia"/>
                <w:color w:val="auto"/>
                <w:sz w:val="22"/>
                <w:szCs w:val="22"/>
                <w:lang w:eastAsia="zh-Hans"/>
              </w:rPr>
              <w:t>实时自动获取制造车间设备的当前状态及设备生产利用率状况，监控生产现场产量与品质目标的达成，可规范企业的管理流程，企业各部分实现及时的信息交流，做到无纸化生产。</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5、设备</w:t>
            </w:r>
            <w:r>
              <w:rPr>
                <w:rFonts w:hint="eastAsia" w:asciiTheme="minorEastAsia" w:hAnsiTheme="minorEastAsia" w:cstheme="minorEastAsia"/>
                <w:color w:val="auto"/>
                <w:sz w:val="22"/>
                <w:szCs w:val="22"/>
              </w:rPr>
              <w:t>应</w:t>
            </w:r>
            <w:r>
              <w:rPr>
                <w:rFonts w:hint="eastAsia" w:asciiTheme="minorEastAsia" w:hAnsiTheme="minorEastAsia" w:eastAsiaTheme="minorEastAsia" w:cstheme="minorEastAsia"/>
                <w:color w:val="auto"/>
                <w:sz w:val="22"/>
                <w:szCs w:val="22"/>
                <w:lang w:eastAsia="zh-Hans"/>
              </w:rPr>
              <w:t>还可计算停机时间成本及故障时间成本，有效防止设备突发故障给生产制造带来的停滞影响，帮助企业设备管理部门做好各设备预防性维护准备。</w:t>
            </w:r>
          </w:p>
          <w:p>
            <w:pPr>
              <w:spacing w:line="400" w:lineRule="exact"/>
              <w:ind w:firstLine="442" w:firstLineChars="200"/>
              <w:rPr>
                <w:rFonts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三、设备基本参数</w:t>
            </w:r>
            <w:r>
              <w:rPr>
                <w:rFonts w:hint="eastAsia" w:asciiTheme="minorEastAsia" w:hAnsiTheme="minorEastAsia" w:cstheme="minorEastAsia"/>
                <w:b/>
                <w:bCs/>
                <w:color w:val="auto"/>
                <w:sz w:val="22"/>
                <w:szCs w:val="22"/>
              </w:rPr>
              <w:t>要求</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1.设备外观参数（长x宽x高）：≥600x600x1800mm, 防护等级:IP20，标准符合ANSI/EIA RS-310-D、IEC297-2、DIN41491; PART1、DIN41494; PART7、 GB/T3047.2- 92标准;兼容ETSI标准.</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2.显示器:</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2.1</w:t>
            </w:r>
            <w:r>
              <w:rPr>
                <w:rFonts w:hint="eastAsia" w:asciiTheme="minorEastAsia" w:hAnsiTheme="minorEastAsia" w:eastAsiaTheme="minorEastAsia" w:cstheme="minorEastAsia"/>
                <w:color w:val="auto"/>
                <w:sz w:val="22"/>
                <w:szCs w:val="22"/>
                <w:lang w:eastAsia="zh-Hans"/>
              </w:rPr>
              <w:t>）≥19寸，8U标准上架一体化工作站，高强度铝合金结构；</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2.2</w:t>
            </w:r>
            <w:r>
              <w:rPr>
                <w:rFonts w:hint="eastAsia" w:asciiTheme="minorEastAsia" w:hAnsiTheme="minorEastAsia" w:eastAsiaTheme="minorEastAsia" w:cstheme="minorEastAsia"/>
                <w:color w:val="auto"/>
                <w:sz w:val="22"/>
                <w:szCs w:val="22"/>
                <w:lang w:eastAsia="zh-Hans"/>
              </w:rPr>
              <w:t>）≥15″TFT 高亮LCD 液晶显示屏</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2.3</w:t>
            </w:r>
            <w:r>
              <w:rPr>
                <w:rFonts w:hint="eastAsia" w:asciiTheme="minorEastAsia" w:hAnsiTheme="minorEastAsia" w:eastAsiaTheme="minorEastAsia" w:cstheme="minorEastAsia"/>
                <w:color w:val="auto"/>
                <w:sz w:val="22"/>
                <w:szCs w:val="22"/>
                <w:lang w:eastAsia="zh-Hans"/>
              </w:rPr>
              <w:t>）可装配PICMG1.0和PICMG1.3标准底板和全长卡</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2.4</w:t>
            </w: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cstheme="minorEastAsia"/>
                <w:color w:val="auto"/>
                <w:sz w:val="22"/>
                <w:szCs w:val="22"/>
              </w:rPr>
              <w:t>至少</w:t>
            </w:r>
            <w:r>
              <w:rPr>
                <w:rFonts w:hint="eastAsia" w:asciiTheme="minorEastAsia" w:hAnsiTheme="minorEastAsia" w:eastAsiaTheme="minorEastAsia" w:cstheme="minorEastAsia"/>
                <w:color w:val="auto"/>
                <w:sz w:val="22"/>
                <w:szCs w:val="22"/>
                <w:lang w:eastAsia="zh-Hans"/>
              </w:rPr>
              <w:t>一个5.25″光驱空间，二个3.5″硬盘空间；</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2.5</w:t>
            </w:r>
            <w:r>
              <w:rPr>
                <w:rFonts w:hint="eastAsia" w:asciiTheme="minorEastAsia" w:hAnsiTheme="minorEastAsia" w:eastAsiaTheme="minorEastAsia" w:cstheme="minorEastAsia"/>
                <w:color w:val="auto"/>
                <w:sz w:val="22"/>
                <w:szCs w:val="22"/>
                <w:lang w:eastAsia="zh-Hans"/>
              </w:rPr>
              <w:t>）内置触摸鼠标与薄膜键盘；</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2.6</w:t>
            </w:r>
            <w:r>
              <w:rPr>
                <w:rFonts w:hint="eastAsia" w:asciiTheme="minorEastAsia" w:hAnsiTheme="minorEastAsia" w:eastAsiaTheme="minorEastAsia" w:cstheme="minorEastAsia"/>
                <w:color w:val="auto"/>
                <w:sz w:val="22"/>
                <w:szCs w:val="22"/>
                <w:lang w:eastAsia="zh-Hans"/>
              </w:rPr>
              <w:t>）箱体前端</w:t>
            </w:r>
            <w:r>
              <w:rPr>
                <w:rFonts w:hint="eastAsia" w:asciiTheme="minorEastAsia" w:hAnsiTheme="minorEastAsia" w:cstheme="minorEastAsia"/>
                <w:color w:val="auto"/>
                <w:sz w:val="22"/>
                <w:szCs w:val="22"/>
              </w:rPr>
              <w:t>至少</w:t>
            </w:r>
            <w:r>
              <w:rPr>
                <w:rFonts w:hint="eastAsia" w:asciiTheme="minorEastAsia" w:hAnsiTheme="minorEastAsia" w:eastAsiaTheme="minorEastAsia" w:cstheme="minorEastAsia"/>
                <w:color w:val="auto"/>
                <w:sz w:val="22"/>
                <w:szCs w:val="22"/>
                <w:lang w:eastAsia="zh-Hans"/>
              </w:rPr>
              <w:t>有2 个标准USB 接口；</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2.7</w:t>
            </w: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cstheme="minorEastAsia"/>
                <w:color w:val="auto"/>
                <w:sz w:val="22"/>
                <w:szCs w:val="22"/>
              </w:rPr>
              <w:t>要求</w:t>
            </w:r>
            <w:r>
              <w:rPr>
                <w:rFonts w:hint="eastAsia" w:asciiTheme="minorEastAsia" w:hAnsiTheme="minorEastAsia" w:eastAsiaTheme="minorEastAsia" w:cstheme="minorEastAsia"/>
                <w:color w:val="auto"/>
                <w:sz w:val="22"/>
                <w:szCs w:val="22"/>
                <w:lang w:eastAsia="zh-Hans"/>
              </w:rPr>
              <w:t>可安装于标准19″工业机柜</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3.主机系统：</w:t>
            </w:r>
          </w:p>
          <w:p>
            <w:pPr>
              <w:widowControl/>
              <w:spacing w:line="400" w:lineRule="exact"/>
              <w:ind w:firstLine="440" w:firstLineChars="200"/>
              <w:rPr>
                <w:rFonts w:asciiTheme="minorEastAsia" w:hAnsiTheme="minorEastAsia" w:eastAsiaTheme="minorEastAsia" w:cstheme="minorEastAsia"/>
                <w:color w:val="auto"/>
                <w:sz w:val="22"/>
                <w:szCs w:val="22"/>
                <w:lang w:eastAsia="zh-Hans"/>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3.1</w:t>
            </w:r>
            <w:r>
              <w:rPr>
                <w:rFonts w:hint="eastAsia" w:asciiTheme="minorEastAsia" w:hAnsiTheme="minorEastAsia" w:eastAsiaTheme="minorEastAsia" w:cstheme="minorEastAsia"/>
                <w:color w:val="auto"/>
                <w:sz w:val="22"/>
                <w:szCs w:val="22"/>
                <w:lang w:eastAsia="zh-Hans"/>
              </w:rPr>
              <w:t>）8 通道 14\12 位 100MS/s 采样数字化仪，专为输入信号高达 50M 的高频和高 动态范围的信号而设计。模拟输入范围可以通过软件编程设置为±1V 或者±5V，配备了容量高达 2GB 的板载内存。USB8584\8582 配备了 14\12 位高线性度的 AD 转换器，是无线通讯、雷达/声纳、超声、图形成 像等高动态范围应用的理想选择。</w:t>
            </w:r>
          </w:p>
          <w:p>
            <w:pPr>
              <w:widowControl/>
              <w:adjustRightInd w:val="0"/>
              <w:snapToGrid w:val="0"/>
              <w:spacing w:line="400" w:lineRule="exact"/>
              <w:textAlignment w:val="baseline"/>
              <w:rPr>
                <w:rFonts w:ascii="宋体" w:hAnsi="宋体" w:cs="宋体"/>
                <w:color w:val="auto"/>
                <w:sz w:val="22"/>
                <w:szCs w:val="22"/>
                <w:lang w:bidi="ar"/>
              </w:rPr>
            </w:pPr>
            <w:r>
              <w:rPr>
                <w:rFonts w:hint="eastAsia" w:asciiTheme="minorEastAsia" w:hAnsiTheme="minorEastAsia" w:eastAsiaTheme="minorEastAsia" w:cstheme="minorEastAsia"/>
                <w:color w:val="auto"/>
                <w:sz w:val="22"/>
                <w:szCs w:val="22"/>
                <w:lang w:eastAsia="zh-Hans"/>
              </w:rPr>
              <w:t>（</w:t>
            </w:r>
            <w:r>
              <w:rPr>
                <w:rFonts w:hint="eastAsia" w:asciiTheme="minorEastAsia" w:hAnsiTheme="minorEastAsia" w:eastAsiaTheme="minorEastAsia" w:cstheme="minorEastAsia"/>
                <w:color w:val="auto"/>
                <w:sz w:val="22"/>
                <w:szCs w:val="22"/>
              </w:rPr>
              <w:t>3.2</w:t>
            </w:r>
            <w:r>
              <w:rPr>
                <w:rFonts w:hint="eastAsia" w:asciiTheme="minorEastAsia" w:hAnsiTheme="minorEastAsia" w:eastAsiaTheme="minorEastAsia" w:cstheme="minorEastAsia"/>
                <w:color w:val="auto"/>
                <w:sz w:val="22"/>
                <w:szCs w:val="22"/>
                <w:lang w:eastAsia="zh-Hans"/>
              </w:rPr>
              <w:t>）多卡同步可通过采用主从卡级联，配合使用系统同步触发总线来实现。采用主从卡级联的方案时，主卡和从卡使用系统同步触发总线（STRIG）连接，从卡接收主卡输出的10M参考时钟，经过时钟电路提供给AD采样时钟；主卡使用内时钟模式和同步触发之外的其它触发模式，允许时钟输出，而从卡使用主卡10M时钟模式和同步信号触发模式，不允许时钟输出；待主卡、从卡按相应的时钟源模式被初始化完成后，先启动所有从卡，由于主卡还没有被启动没有输出时钟信号及同步触发信号，所以从卡进入等待状态，直到主卡被启动的同时所有的从卡被启动，即实现了多卡同步启动的功能。当您需要的采样通道数大于一个卡的通道数时，可考虑使用多卡。</w:t>
            </w:r>
          </w:p>
        </w:tc>
        <w:tc>
          <w:tcPr>
            <w:tcW w:w="592" w:type="pct"/>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4</w:t>
            </w:r>
          </w:p>
        </w:tc>
        <w:tc>
          <w:tcPr>
            <w:tcW w:w="931" w:type="pct"/>
            <w:vAlign w:val="center"/>
          </w:tcPr>
          <w:p>
            <w:pPr>
              <w:widowControl/>
              <w:jc w:val="center"/>
              <w:rPr>
                <w:rFonts w:ascii="宋体" w:hAnsi="宋体" w:cs="宋体"/>
                <w:color w:val="auto"/>
                <w:sz w:val="22"/>
                <w:szCs w:val="22"/>
              </w:rPr>
            </w:pPr>
            <w:r>
              <w:rPr>
                <w:rFonts w:hint="eastAsia" w:ascii="宋体" w:hAnsi="宋体" w:cs="宋体"/>
                <w:color w:val="auto"/>
                <w:sz w:val="22"/>
                <w:szCs w:val="22"/>
              </w:rPr>
              <w:t>现代电气控制系统安装与调试实训考核装置</w:t>
            </w:r>
          </w:p>
        </w:tc>
        <w:tc>
          <w:tcPr>
            <w:tcW w:w="3159" w:type="pct"/>
            <w:vAlign w:val="center"/>
          </w:tcPr>
          <w:p>
            <w:pPr>
              <w:spacing w:line="400" w:lineRule="exact"/>
              <w:rPr>
                <w:rFonts w:ascii="宋体" w:hAnsi="宋体" w:cs="宋体"/>
                <w:b/>
                <w:color w:val="auto"/>
                <w:sz w:val="22"/>
                <w:szCs w:val="22"/>
              </w:rPr>
            </w:pPr>
            <w:r>
              <w:rPr>
                <w:rFonts w:hint="eastAsia" w:ascii="宋体" w:hAnsi="宋体" w:cs="宋体"/>
                <w:b/>
                <w:color w:val="auto"/>
                <w:sz w:val="22"/>
                <w:szCs w:val="22"/>
              </w:rPr>
              <w:t>一、设备整体要求：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现代电气控制系统安装与调试实训考核装置要求是结合生产实际和职业岗位的技能要求，按照职业院校的教学和实训要求研制和开发的产品。该实训考核设备需为按高等职业学校的机电设备安装与维修、机电技术应用、电气运行与控制、电气技术应用和电子电器应用与维修等专业中主要由机械运动模块，继电模块，仪表显示模块，按钮单元，组态模块，特种电机单元，通信单元等。</w:t>
            </w:r>
          </w:p>
          <w:p>
            <w:pPr>
              <w:spacing w:line="400" w:lineRule="exact"/>
              <w:rPr>
                <w:rFonts w:ascii="宋体" w:hAnsi="宋体" w:cs="宋体"/>
                <w:b/>
                <w:color w:val="auto"/>
                <w:sz w:val="22"/>
                <w:szCs w:val="22"/>
              </w:rPr>
            </w:pPr>
            <w:r>
              <w:rPr>
                <w:rFonts w:hint="eastAsia" w:ascii="宋体" w:hAnsi="宋体" w:cs="宋体"/>
                <w:b/>
                <w:color w:val="auto"/>
                <w:sz w:val="22"/>
                <w:szCs w:val="22"/>
              </w:rPr>
              <w:t>二、实训考核装置的技术参数要求: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1、工作电源：三相五线制 AC 380 V±10%  50 Hz；</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2、设备外形尺寸不小于：长×宽×高850mm×800mm×1800mm；</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4、台架材料：柜式钢结构；</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5、整机消耗视在功率：≤1 KVA；</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6、安全保护措施：具有接地保护、短路保护、漏电过载过流保护功能，具有误操作保护功能；安全性符合相关的国标标准，所有材质均符合环保标准。</w:t>
            </w:r>
          </w:p>
          <w:p>
            <w:pPr>
              <w:spacing w:line="400" w:lineRule="exact"/>
              <w:rPr>
                <w:rFonts w:ascii="宋体" w:hAnsi="宋体" w:cs="宋体"/>
                <w:b/>
                <w:color w:val="auto"/>
                <w:sz w:val="22"/>
                <w:szCs w:val="22"/>
              </w:rPr>
            </w:pPr>
            <w:r>
              <w:rPr>
                <w:rFonts w:hint="eastAsia" w:ascii="宋体" w:hAnsi="宋体" w:cs="宋体"/>
                <w:b/>
                <w:color w:val="auto"/>
                <w:sz w:val="22"/>
                <w:szCs w:val="22"/>
              </w:rPr>
              <w:t>三、实训考核设备的结构与组成要求（投标时需提供详细的清单列表）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实训考核装置要求需包含实训柜体、门板电气控制元件（组件）、仪表等，实训考核单元挂板、网络组态挂板、PLC控制型机床挂板、电机单元、运动单元、温度控制组件、网孔挂板等组成，投标文件中提供实物图或效果图进行说明。</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主令电气及仪表单元：需包括进线电源控制与保护、主令电气控制元件、指示灯、触摸屏、显示仪表、紧急停止按钮等器件。控制信号和显示（指示）单元，在整个电气控制系统中，起着向系统中的其他单元提供控制信号的作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PLC网络组态单元：电气系统程序控制的主要（上位机）控制单元，在整个系统中，起着对输入信号处理和电气控制信号输出等重要作用。包括中型PLC、微型PLC、模拟量模块、扩展模块，4~20mA标准恒流源、0~10V标准恒压源、数字式显示仪表、伺服驱动器、步进驱动器等器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4、PLC控制单元：电气系统程序控制（下位机）的辅助控制单元，在整个系统中，起着对输入信号处理和电气控制信号输出等重要作用。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继电控制单元：实现基本的电机拖动控制的一个单元，在整个电气自动控制系统中，起着对PLC控制信号放大和执行的作用。同时可实现独立的继电拖动功能。包括接触器、中间继电器、热保护继电器、行程开关、时间继电器等。同时还安装由伺服、步进电机驱动的（可相互转换）小车运动装置，并且安装有传感器、微动开关、滚珠丝杠、增量型编码器等。</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6、PLC控制型机床电路智能考核单元：该单元通过智能答题器对典型机床电路故障现象的分析和判断，测量和检查故障点，也可以使用PLC编程控制，对典型机床电路进行PLC改造。包括铣床电路、镗床电路等。</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7、配套耗材套件：需包含一字螺丝刀、十字螺丝刀、套筒、剥线钳、电工钳、万用表等。</w:t>
            </w:r>
          </w:p>
          <w:p>
            <w:pPr>
              <w:spacing w:line="400" w:lineRule="exact"/>
              <w:rPr>
                <w:rFonts w:ascii="宋体" w:hAnsi="宋体" w:cs="宋体"/>
                <w:b/>
                <w:color w:val="auto"/>
                <w:sz w:val="22"/>
                <w:szCs w:val="22"/>
              </w:rPr>
            </w:pPr>
            <w:r>
              <w:rPr>
                <w:rFonts w:hint="eastAsia" w:ascii="宋体" w:hAnsi="宋体" w:cs="宋体"/>
                <w:b/>
                <w:color w:val="auto"/>
                <w:sz w:val="22"/>
                <w:szCs w:val="22"/>
              </w:rPr>
              <w:t>四、设备配套教学资源要求</w:t>
            </w:r>
          </w:p>
          <w:p>
            <w:pPr>
              <w:spacing w:line="400" w:lineRule="exact"/>
              <w:rPr>
                <w:rFonts w:ascii="宋体" w:hAnsi="宋体" w:cs="宋体"/>
                <w:b/>
                <w:bCs/>
                <w:color w:val="auto"/>
                <w:sz w:val="22"/>
                <w:szCs w:val="22"/>
              </w:rPr>
            </w:pPr>
            <w:r>
              <w:rPr>
                <w:rFonts w:hint="eastAsia" w:ascii="宋体" w:hAnsi="宋体" w:cs="宋体"/>
                <w:b/>
                <w:bCs/>
                <w:color w:val="auto"/>
                <w:sz w:val="22"/>
                <w:szCs w:val="22"/>
              </w:rPr>
              <w:t>1.智能化电气控制实训考核系统（智能实训与理论考核系统软件）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所配备的教学考核系统和相关设备符合劳动和社会保障部职业技能鉴定的要求。（★投标时提供佐证材料，加盖公章的复印件。）并具有如下特点和功能。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1.1特点要求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1）智能化：随机发送试卷、自动评分、自动将学生成绩发送给学生端。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2）网络化：基于以太网的 C/S模式，实现教师端 PC 控制多台学生端 PC。</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3）多种化：可以支持多种实训设备同时考核。</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1.2功能要求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1）学生信息模块：添加、修改、查找、删除学生记录</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2）教师信息模块：添加、修改、删除教师记录</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3）试卷管理：添加、修改、删除试题、试卷。</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4）考试管理：考试方案的设置，送试卷，交卷。</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5）成绩管理：成绩查找、导出、删除、打印。</w:t>
            </w:r>
          </w:p>
          <w:p>
            <w:pPr>
              <w:spacing w:line="400" w:lineRule="exact"/>
              <w:rPr>
                <w:rFonts w:ascii="宋体" w:hAnsi="宋体" w:cs="宋体"/>
                <w:b/>
                <w:bCs/>
                <w:color w:val="auto"/>
                <w:sz w:val="22"/>
                <w:szCs w:val="22"/>
              </w:rPr>
            </w:pPr>
            <w:r>
              <w:rPr>
                <w:rFonts w:hint="eastAsia" w:ascii="宋体" w:hAnsi="宋体" w:cs="宋体"/>
                <w:b/>
                <w:bCs/>
                <w:color w:val="auto"/>
                <w:sz w:val="22"/>
                <w:szCs w:val="22"/>
              </w:rPr>
              <w:t>2、维修电工电力拖动仿真软件（投标时提供软件著作权复印件）：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可满足学生对电气元件结构、作用、安装、接线、电路分析的多媒体教学和熟悉电气控制线路的虚拟接线实训及应知考核测试功能。电力拖动仿真软件至少应包含电拖专业里最基础、最重要的12种电路，分为电动机反接制动控制线路、电动机半波整流能耗制动控制线路、Y-△启动控制线路、按钮切换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与学生交互接线，一边原理图显示要连接的导线，一边提供元件，供学生根据原理图连接实物器件，错误连接应有相应提示。</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需满足以下功能：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2.1主界面上有元件结构、原理分析、实际接线、课堂练习四大模块。</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2.2单击“元件结构”按钮可进入元件结构的认识，元件结构主界面上有12种电路。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2.3单击任意种控制线路按钮弹出界面，包括实物图和线路图。用鼠标指向实物图上某个电气元件时，线路图上就会自动显示与之相对应的电气元件符号。用鼠标指向实物图上的某个电气元件时，线路图上会自动用红线将该电气元件的符号画出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2.4单击实物图上的电气元件，就弹出该电气元件的结构图，包括作用、结构、工作原理、安装方法、选用原则、注意事项等内容。</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2.5单击“电路解说”按钮，软件自动以文字和声音形式对电动机反接制动的原理的进行解说。单击“启动过程”按钮，软件自动用文字和红线在线路上进行绘制启动过程，单击“停止过程”按钮，软件自动用文字和红线在线路上进行绘制停止过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2.6单击任意种控制线路按钮会弹出该线路的布线原则界面，单击“对应关系”按钮会弹出该控制线路的对应关系界面，单击“主电路线路”按钮弹出主电路接线图。线路接线图及原理图可根据界面上的原理图，在界面上实物接线图上用鼠标来接线。实物接线图上的箭头指向的端点表示接线的起始点。如果不会接，可以直接单击原理图下面的“示范”按钮，系统将自动连接进行示范。单击“控制电路线路”按钮弹出主电路接线图。</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2.7在主界面上单击“课题练习”弹出课题练习主界在上图中输入题目的数量，单击“进入”按钮进入课题练习进行答题并交卷评分。</w:t>
            </w:r>
          </w:p>
          <w:p>
            <w:pPr>
              <w:spacing w:line="400" w:lineRule="exact"/>
              <w:rPr>
                <w:rFonts w:ascii="宋体" w:hAnsi="宋体" w:cs="宋体"/>
                <w:b/>
                <w:bCs/>
                <w:color w:val="auto"/>
                <w:sz w:val="22"/>
                <w:szCs w:val="22"/>
              </w:rPr>
            </w:pPr>
            <w:r>
              <w:rPr>
                <w:rFonts w:hint="eastAsia" w:ascii="宋体" w:hAnsi="宋体" w:cs="宋体"/>
                <w:b/>
                <w:bCs/>
                <w:color w:val="auto"/>
                <w:sz w:val="22"/>
                <w:szCs w:val="22"/>
              </w:rPr>
              <w:t>3、电工技能实训仿真软件：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软件要求是多媒体教学+仿真结合全套软件至少24套最常用的电路图仿真接线与运行实践操作，和现实操作一模一样，需包含以下主要模块：电工基本常识与操作、电工仪表、照明电路安装、电机与变压器、低压电路、电动机控制和电工识图。</w:t>
            </w:r>
          </w:p>
          <w:p>
            <w:pPr>
              <w:spacing w:line="400" w:lineRule="exact"/>
              <w:rPr>
                <w:rFonts w:ascii="宋体" w:hAnsi="宋体" w:cs="宋体"/>
                <w:b/>
                <w:bCs/>
                <w:color w:val="auto"/>
                <w:sz w:val="22"/>
                <w:szCs w:val="22"/>
              </w:rPr>
            </w:pPr>
            <w:r>
              <w:rPr>
                <w:rFonts w:hint="eastAsia" w:ascii="宋体" w:hAnsi="宋体" w:cs="宋体"/>
                <w:b/>
                <w:bCs/>
                <w:color w:val="auto"/>
                <w:sz w:val="22"/>
                <w:szCs w:val="22"/>
              </w:rPr>
              <w:t>4、在线学习平台要求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总体平台要求为B2B2C类型，可以通过PC端或手机APP实现观看视频课程、网络直播、网上答疑、安排课前预习等，能适用于高校师生、企业员工的各类网络学习培训。投标时提供PC版、IOS版、安卓版三个版本的计算机软件著作权复印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平台支持要求：能PC端网页版和手机微信公众号登录，适用于windows / ios等多系统，要求在PC机、平板或手机上均能使用。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主要功能要求：至少包含有课程、直播、题库、问答等模块。主要功能要求：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建有较为丰富的教学资源，视频资源画面高清，主题知识点突出，能提供以下网络教学资源视频：</w:t>
            </w:r>
          </w:p>
          <w:p>
            <w:pPr>
              <w:spacing w:line="400" w:lineRule="exact"/>
              <w:ind w:firstLine="440" w:firstLineChars="200"/>
              <w:rPr>
                <w:rFonts w:hint="eastAsia" w:ascii="宋体" w:hAnsi="宋体" w:eastAsia="宋体" w:cs="宋体"/>
                <w:b/>
                <w:bCs/>
                <w:color w:val="auto"/>
                <w:sz w:val="22"/>
                <w:szCs w:val="22"/>
                <w:lang w:eastAsia="zh-CN"/>
              </w:rPr>
            </w:pPr>
            <w:r>
              <w:rPr>
                <w:rFonts w:hint="eastAsia" w:ascii="宋体" w:hAnsi="宋体" w:cs="宋体"/>
                <w:color w:val="auto"/>
                <w:sz w:val="22"/>
                <w:szCs w:val="22"/>
              </w:rPr>
              <w:t>★</w:t>
            </w:r>
            <w:r>
              <w:rPr>
                <w:rFonts w:hint="eastAsia" w:ascii="宋体" w:hAnsi="宋体" w:cs="宋体"/>
                <w:b/>
                <w:bCs/>
                <w:color w:val="auto"/>
                <w:sz w:val="22"/>
                <w:szCs w:val="22"/>
              </w:rPr>
              <w:t>1.电气控制技术培训班课程如下</w:t>
            </w:r>
            <w:r>
              <w:rPr>
                <w:rFonts w:hint="eastAsia" w:ascii="宋体" w:hAnsi="宋体" w:cs="宋体"/>
                <w:b/>
                <w:bCs/>
                <w:color w:val="auto"/>
                <w:sz w:val="22"/>
                <w:szCs w:val="22"/>
                <w:lang w:eastAsia="zh-CN"/>
              </w:rPr>
              <w:t>（</w:t>
            </w:r>
            <w:r>
              <w:rPr>
                <w:rFonts w:hint="eastAsia" w:ascii="宋体" w:hAnsi="宋体" w:cs="宋体"/>
                <w:b/>
                <w:bCs/>
                <w:color w:val="auto"/>
                <w:sz w:val="22"/>
                <w:szCs w:val="22"/>
                <w:lang w:val="en-US" w:eastAsia="zh-CN"/>
              </w:rPr>
              <w:t>同类内容，名称不一致均可</w:t>
            </w:r>
            <w:r>
              <w:rPr>
                <w:rFonts w:hint="eastAsia" w:ascii="宋体" w:hAnsi="宋体" w:cs="宋体"/>
                <w:b/>
                <w:bCs/>
                <w:color w:val="auto"/>
                <w:sz w:val="22"/>
                <w:szCs w:val="22"/>
                <w:lang w:eastAsia="zh-CN"/>
              </w:rPr>
              <w:t>）：</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1.1三相异步电动机点动和连续运行控制试看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1.2电动机两地操作控制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1.3用接触器联锁的正反转控制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1.4自动往复循环控制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1.5用时间继电器控制Y-△启动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1.6用时间继电器控制单绕组双速异步电动机</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1.7两台电动机的顺序启动控制线路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1.8机床排故实训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1.9 PLC硬件介绍及使用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1.10PLC软件介绍及使用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1.11变频器使用操作面板运行</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1.12变频器多段速控制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1.13变频器模拟量调速控制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1.14触摸屏的简单界面制作</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1.15触摸屏、PLC、变频器的综合实训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1.16三相混合式步进电机位置控制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1.17交流伺服电机位置控制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1.18金属感应传感器的应用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1.19编码器的应用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1.20主站与从站的以太网通讯</w:t>
            </w:r>
          </w:p>
          <w:p>
            <w:pPr>
              <w:spacing w:line="400" w:lineRule="exact"/>
              <w:ind w:firstLine="440" w:firstLineChars="200"/>
              <w:rPr>
                <w:rFonts w:ascii="宋体" w:hAnsi="宋体" w:cs="宋体"/>
                <w:color w:val="auto"/>
                <w:sz w:val="22"/>
                <w:szCs w:val="22"/>
                <w:highlight w:val="yellow"/>
              </w:rPr>
            </w:pPr>
            <w:r>
              <w:rPr>
                <w:rFonts w:hint="eastAsia" w:ascii="宋体" w:hAnsi="宋体" w:cs="宋体"/>
                <w:color w:val="auto"/>
                <w:sz w:val="22"/>
                <w:szCs w:val="22"/>
              </w:rPr>
              <w:t>1.</w:t>
            </w:r>
            <w:r>
              <w:rPr>
                <w:rFonts w:hint="eastAsia" w:ascii="宋体" w:hAnsi="宋体" w:cs="宋体"/>
                <w:color w:val="auto"/>
                <w:sz w:val="22"/>
                <w:szCs w:val="22"/>
                <w:lang w:val="en-US" w:eastAsia="zh-CN"/>
              </w:rPr>
              <w:t>2</w:t>
            </w:r>
            <w:r>
              <w:rPr>
                <w:rFonts w:hint="eastAsia" w:ascii="宋体" w:hAnsi="宋体" w:cs="宋体"/>
                <w:color w:val="auto"/>
                <w:sz w:val="22"/>
                <w:szCs w:val="22"/>
              </w:rPr>
              <w:t>1综合实训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具有较好的网络教学直播功能，可对每个网络学员的学习过程和阶段情况等实现完整的跟踪记录，支持随时上传或下载资料。</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题库模块能进行网络考试测评，具有章节练习和模拟考试功能。</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核心技术要求；教学资源创建与共享；网络直播：要求支持至少1500人实时观看，如果有需求可以提高同时在线人数；网络测评考试；网上答疑。</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5、机床电路仿真软件要求（投标时须提供软件著作权复印件）：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系统包括平面磨床电、摇臂钻床、车床、起重机、镗床、万能外圆磨床、电动葫芦七种电路仿真。每种电路都采用FLASH动画技术，可以对电路上的开关进行操作，可以在每种电路上进设置故障，继电器、电动机及其它元器件运动状态可表示出来。</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6、投标时提供教材样本：</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内容要求包括教学设计、现代电气控制系统简介、现代电气控制系统的核心技术、现代电气控制系统的单元调试、现代电气控制系统的安装与调试以及现代电气技术新形态。</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7、PLC仿真系统软件：（投标时须提供软件著作权复印件）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该软件须至少包括四层电梯控制、邮件分拣、铁塔之光、自控轧钢机、交通灯控制、步进电机控制、电镀生产性控制、自动送料装车系统、水塔水位自动控制、多种液体混合、三相电机顺序控制、全自动洗衣机控制、小车运动控制、机械手搬运控制、加工中心选刀控制等十几种仿真模块。</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8、PLC 3D仿真软件（投标时须提供软件著作权复印件）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软件要求内容至少包含有 5 个实验：机械手控制实验、码垛堆积控制实验、物料分拣控制实验、自动仓储控制实验、自动封盖实物控制实验。每个实验分成两个部分，一部分是实训实验，另一部分是演示实验。在实训实验部分，学生可以通过自己编写 PLC 程序来控制机械的运动，而在演示实验部分，学生可以观看机械的一般运动过程， 有助于自己来编写 PLC 程序。</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9、PLC教学资源（容量不少于30G）：</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要求提供 PLC 学习资源库， 此部分学习资料全部是 PLC 学习， 内容主要是讲解三菱、AB、欧姆龙、施耐德、松下、台达、西门子、信捷等各品牌 PLC 的指令与功能、 编程规则， 在讲解过程中并有些针对性案例程序讲解。投标文件中提供清单列表及不少于5张的内容截图。</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10、MES系统</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须具备以下数据信息：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下单数据：包含机器号、计划分拣类别、计划分拣数量</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各机器状态数据采集：至少包含机器号、实际分拣数量、合格品数量、A产品分拣数量、B产品分拣数量、C产品分拣数量、产线运行时间、加工效率、传送带速度等</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总统计数据：至少包含总计划数量、总完成数量、总合格数量、总分拣A数量、总分拣B数量、总分拣C数量、总计划完成率、总合格品率</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要求系统基于基于TCP/IP协议，采用三层C/S架构，包括服务端、执行端、客户端。服务端需采用WCF、SOCKET等服务技术，保证与客户端、执行端通信的稳定性;执行端主要负责入库单、生产单、领料单的数据解析及硬件数据采集监控。</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系统主要包括：基础数据、物品管理、销售管理、生产管理、仓储管理、系统管理等多个模块组成。</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基础数据包括部门信息、职位信息、员工信息。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物品管理包括物料信息、产品管理、BOM信息、条型码管理。</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销售管理包括客户管理、订单管理。</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生产管理包括生产订单、生产调度、生产进度。</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仓储管理包括仓库信息、库存信息、送货信息、入库信息、领料信息、出库信息。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系统管理包括用户管理、密码管理。整个实训室共配一套</w:t>
            </w:r>
          </w:p>
          <w:p>
            <w:pPr>
              <w:spacing w:line="40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11、其他要求：</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该设备须具有软硬件结合功能且系统兼容性强，能够满足学校教学所需，为了确保所投设备的稳定性，要求所投设备具有配套的嵌入式PCL控制软件以及配套的电气控制系统应用软件，软件要求为自主知识产权产品，投标时需提供软件第三方证明材料，如著作权证明材料等。</w:t>
            </w:r>
          </w:p>
          <w:p>
            <w:pPr>
              <w:spacing w:line="400" w:lineRule="exact"/>
              <w:rPr>
                <w:rFonts w:ascii="宋体" w:hAnsi="宋体" w:cs="宋体"/>
                <w:b/>
                <w:color w:val="auto"/>
                <w:sz w:val="22"/>
                <w:szCs w:val="22"/>
              </w:rPr>
            </w:pPr>
            <w:r>
              <w:rPr>
                <w:rFonts w:hint="eastAsia" w:ascii="宋体" w:hAnsi="宋体" w:cs="宋体"/>
                <w:b/>
                <w:color w:val="auto"/>
                <w:sz w:val="22"/>
                <w:szCs w:val="22"/>
              </w:rPr>
              <w:t>五、实训考核设备的项目要求</w:t>
            </w:r>
            <w:r>
              <w:rPr>
                <w:rFonts w:hint="eastAsia" w:ascii="宋体" w:hAnsi="宋体" w:cs="宋体"/>
                <w:b/>
                <w:bCs/>
                <w:color w:val="auto"/>
                <w:sz w:val="22"/>
                <w:szCs w:val="22"/>
                <w:lang w:eastAsia="zh-CN"/>
              </w:rPr>
              <w:t>（</w:t>
            </w:r>
            <w:r>
              <w:rPr>
                <w:rFonts w:hint="eastAsia" w:ascii="宋体" w:hAnsi="宋体" w:cs="宋体"/>
                <w:b/>
                <w:bCs/>
                <w:color w:val="auto"/>
                <w:sz w:val="22"/>
                <w:szCs w:val="22"/>
                <w:lang w:val="en-US" w:eastAsia="zh-CN"/>
              </w:rPr>
              <w:t>同类内容，名称不一致均可</w:t>
            </w:r>
            <w:r>
              <w:rPr>
                <w:rFonts w:hint="eastAsia" w:ascii="宋体" w:hAnsi="宋体" w:cs="宋体"/>
                <w:b/>
                <w:bCs/>
                <w:color w:val="auto"/>
                <w:sz w:val="22"/>
                <w:szCs w:val="22"/>
                <w:lang w:eastAsia="zh-CN"/>
              </w:rPr>
              <w:t>）</w:t>
            </w:r>
            <w:r>
              <w:rPr>
                <w:rFonts w:hint="eastAsia" w:ascii="宋体" w:hAnsi="宋体" w:cs="宋体"/>
                <w:b/>
                <w:color w:val="auto"/>
                <w:sz w:val="22"/>
                <w:szCs w:val="22"/>
              </w:rPr>
              <w:t>:</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1、电力综合显示仪表的设置和使用；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2、三相异步电动机直接起动、停车的控制电路连接；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3、接触器联锁的三相交流异步电动机正、反转控制电路的连接；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4、按钮联锁的三相交流异步电动机正、反转控制电路的连接；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5、按钮、接触器联锁的三相交流异步电动机正、反转控制电路的连接；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6、万能转换开关控制三相异步电动机的正反转；</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7、三相交流异步电动机Y-△（手动切换）启动控制电路的连接；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8、三相交流异步电动机Y-△（时间继电器切换）启动控制电路的连接；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9、定子绕组串联电阻启动控制电路的连接； </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10、三相交流异步电动机能耗制动控制电路的连接；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11、三相交流异步电动机反接制动控制电路的连接；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12、多台（3台及以下）电动机的顺序控制电路的连接；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13、电动机的往返行程控制电路的连接；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14、普通车床控制电路的连接；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15、电动葫芦控制电路的连接；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16、三相交流异步电动机既能点动，又能连续转动的控制电路连接；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17、两地控制电路的连接；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18、按钮切换的双速电动机调速控制电路的连接；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19、时间继电器切换的双速电动机调速控制电路的连接；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20、离心开关配合的反接制动控制电路的连接；</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21、变频器面板功能参数设置和操作实训；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22、变频器对电机点动控制、启停控制；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23、电机转速多段控制；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24、工频、变频切换控制；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25、基于模拟量控制的电机开环调速；</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26、基于面板操作的电机开环调速；</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27、变频器的保护和报警功能实训；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28、基于PLC的变频器开环调速；</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29、PLC控制电机顺序启动；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30、PLC控制三相异步电动机Y-△启动电路；</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31、微型PLC的使用；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32、中型PLC的组态与基础使用；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33、多台PLC网络组态、主从站控制实训；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34、触摸屏的参数设置；</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35、触摸屏的编程；</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36、触摸屏、PLC、变频器的综合实训；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37、步进电机的控制；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38、步进驱动器的参数设置；</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39、步进电机的PLC开环控制；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40、增量型编码器的使用；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41、基于增量型编码器的步进电机控制；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42、交流伺服电机的控制；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43、流伺服驱动器的参数设置；</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44、交流伺服电机的PLC半闭环控制；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45、基于增量型编码器的伺服电机控制；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46、热电阻或热电偶的使用；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47、温度控制器的参数设置；</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48、基于热电阻（热电偶）的温度控制；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49、基于热电阻（热电偶）的PLC温度控制；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50、模拟量模块的使用；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51、基于模拟量的PLC控制；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52、传感器的使用；</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53、基于传感器的PLC位置控制；</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54、PLC控制机床电路实训；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55、电气系统的排故实训；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56、电气照明电路故障板检测实训；</w:t>
            </w:r>
          </w:p>
          <w:p>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57、电气动力电路故障板检测实训；</w:t>
            </w:r>
          </w:p>
          <w:p>
            <w:pPr>
              <w:widowControl/>
              <w:spacing w:line="400" w:lineRule="exact"/>
              <w:ind w:firstLine="440" w:firstLineChars="200"/>
              <w:jc w:val="left"/>
              <w:rPr>
                <w:rFonts w:ascii="宋体" w:hAnsi="宋体" w:cs="宋体"/>
                <w:color w:val="auto"/>
                <w:sz w:val="22"/>
                <w:szCs w:val="22"/>
                <w:lang w:bidi="ar"/>
              </w:rPr>
            </w:pPr>
            <w:r>
              <w:rPr>
                <w:rFonts w:hint="eastAsia" w:ascii="宋体" w:hAnsi="宋体" w:cs="宋体"/>
                <w:color w:val="auto"/>
                <w:sz w:val="22"/>
                <w:szCs w:val="22"/>
              </w:rPr>
              <w:t>58、电气电路故障板考核实训。</w:t>
            </w:r>
          </w:p>
        </w:tc>
        <w:tc>
          <w:tcPr>
            <w:tcW w:w="592" w:type="pct"/>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5</w:t>
            </w:r>
          </w:p>
        </w:tc>
        <w:tc>
          <w:tcPr>
            <w:tcW w:w="931" w:type="pct"/>
            <w:vAlign w:val="center"/>
          </w:tcPr>
          <w:p>
            <w:pPr>
              <w:widowControl/>
              <w:jc w:val="center"/>
              <w:rPr>
                <w:rFonts w:ascii="宋体" w:hAnsi="宋体" w:cs="宋体"/>
                <w:color w:val="auto"/>
                <w:sz w:val="22"/>
                <w:szCs w:val="22"/>
              </w:rPr>
            </w:pPr>
            <w:r>
              <w:rPr>
                <w:rFonts w:hint="eastAsia" w:ascii="宋体" w:hAnsi="宋体" w:cs="宋体"/>
                <w:color w:val="auto"/>
                <w:szCs w:val="21"/>
                <w:lang w:bidi="ar"/>
              </w:rPr>
              <w:t>实训室改造</w:t>
            </w:r>
          </w:p>
        </w:tc>
        <w:tc>
          <w:tcPr>
            <w:tcW w:w="3159" w:type="pct"/>
            <w:vAlign w:val="center"/>
          </w:tcPr>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bidi="ar"/>
              </w:rPr>
              <w:t>实训室整体改造面积约400㎡，要求装修风格与采购人沟通装修需求，如有需求可在规定时间内根据招标文件要求进行现场勘查。装修布线应至少完成钢构的改造、地坪处理、墙面处理以及水电改造。</w:t>
            </w:r>
          </w:p>
        </w:tc>
        <w:tc>
          <w:tcPr>
            <w:tcW w:w="592" w:type="pct"/>
            <w:vAlign w:val="center"/>
          </w:tcPr>
          <w:p>
            <w:pPr>
              <w:widowControl/>
              <w:spacing w:line="400" w:lineRule="exact"/>
              <w:jc w:val="center"/>
              <w:rPr>
                <w:rFonts w:ascii="宋体" w:hAnsi="宋体" w:cs="宋体"/>
                <w:color w:val="auto"/>
                <w:sz w:val="22"/>
                <w:szCs w:val="22"/>
                <w:lang w:bidi="ar"/>
              </w:rPr>
            </w:pPr>
          </w:p>
        </w:tc>
      </w:tr>
    </w:tbl>
    <w:p>
      <w:pPr>
        <w:rPr>
          <w:color w:val="auto"/>
        </w:rPr>
        <w:sectPr>
          <w:headerReference r:id="rId12" w:type="default"/>
          <w:footerReference r:id="rId13" w:type="default"/>
          <w:pgSz w:w="11906" w:h="16838"/>
          <w:pgMar w:top="1134" w:right="1134" w:bottom="1134" w:left="1134" w:header="851" w:footer="992" w:gutter="0"/>
          <w:cols w:space="720" w:num="1"/>
          <w:docGrid w:linePitch="312" w:charSpace="0"/>
        </w:sectPr>
      </w:pPr>
    </w:p>
    <w:bookmarkEnd w:id="94"/>
    <w:p>
      <w:pPr>
        <w:spacing w:line="440" w:lineRule="exact"/>
        <w:rPr>
          <w:rFonts w:ascii="宋体" w:hAnsi="宋体" w:cs="宋体"/>
          <w:b/>
          <w:color w:val="auto"/>
          <w:sz w:val="22"/>
          <w:szCs w:val="22"/>
        </w:rPr>
      </w:pPr>
      <w:r>
        <w:rPr>
          <w:rFonts w:hint="eastAsia" w:ascii="宋体" w:hAnsi="宋体" w:cs="宋体"/>
          <w:b/>
          <w:color w:val="auto"/>
          <w:sz w:val="22"/>
          <w:szCs w:val="22"/>
        </w:rPr>
        <w:t xml:space="preserve">2.  </w:t>
      </w:r>
      <w:r>
        <w:rPr>
          <w:rFonts w:hint="eastAsia" w:ascii="宋体" w:hAnsi="宋体" w:cs="宋体"/>
          <w:b/>
          <w:bCs/>
          <w:color w:val="auto"/>
          <w:sz w:val="22"/>
          <w:szCs w:val="28"/>
        </w:rPr>
        <w:t>商务要求（技术参数里另有注明的以技术参数为准）</w:t>
      </w:r>
    </w:p>
    <w:tbl>
      <w:tblPr>
        <w:tblStyle w:val="3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rPr>
            </w:pPr>
            <w:bookmarkStart w:id="98" w:name="_Hlk51759376"/>
            <w:r>
              <w:rPr>
                <w:rFonts w:hint="eastAsia" w:ascii="宋体" w:hAnsi="宋体" w:cs="宋体"/>
                <w:b/>
                <w:bCs/>
                <w:color w:val="auto"/>
                <w:szCs w:val="22"/>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rPr>
                <w:rFonts w:ascii="宋体" w:hAnsi="宋体" w:cs="宋体"/>
                <w:bCs/>
                <w:snapToGrid w:val="0"/>
                <w:color w:val="auto"/>
                <w:sz w:val="22"/>
                <w:szCs w:val="22"/>
              </w:rPr>
            </w:pPr>
            <w:r>
              <w:rPr>
                <w:rFonts w:hint="eastAsia" w:ascii="宋体" w:hAnsi="宋体" w:cs="宋体"/>
                <w:bCs/>
                <w:snapToGrid w:val="0"/>
                <w:color w:val="auto"/>
                <w:sz w:val="22"/>
                <w:szCs w:val="22"/>
              </w:rPr>
              <w:t>履约保证金：乙方在合同签订后，7个工作日内支付合同金额的1%作为履约保证金（</w:t>
            </w:r>
            <w:r>
              <w:rPr>
                <w:rFonts w:hint="eastAsia" w:ascii="宋体" w:hAnsi="宋体" w:cs="宋体"/>
                <w:color w:val="auto"/>
                <w:sz w:val="22"/>
                <w:szCs w:val="22"/>
              </w:rPr>
              <w:t>接受支票、汇票、本票、履约保函等多种非现金形式</w:t>
            </w:r>
            <w:r>
              <w:rPr>
                <w:rFonts w:hint="eastAsia" w:ascii="宋体" w:hAnsi="宋体" w:cs="宋体"/>
                <w:bCs/>
                <w:snapToGrid w:val="0"/>
                <w:color w:val="auto"/>
                <w:sz w:val="22"/>
                <w:szCs w:val="22"/>
              </w:rPr>
              <w:t>），合同期满履约验收通过后或合同解除后扣除供应商应承担的违约赔偿责任外，剩余部分7个工作日内返还供应商。</w:t>
            </w:r>
          </w:p>
          <w:p>
            <w:pPr>
              <w:widowControl/>
              <w:spacing w:line="360" w:lineRule="exact"/>
              <w:jc w:val="left"/>
              <w:rPr>
                <w:rFonts w:ascii="宋体" w:hAnsi="宋体" w:cs="宋体"/>
                <w:color w:val="auto"/>
                <w:szCs w:val="22"/>
                <w:u w:val="single"/>
                <w:lang w:val="zh-CN"/>
              </w:rPr>
            </w:pPr>
            <w:r>
              <w:rPr>
                <w:rFonts w:hint="eastAsia" w:ascii="宋体" w:hAnsi="宋体" w:cs="宋体"/>
                <w:color w:val="auto"/>
                <w:szCs w:val="22"/>
              </w:rPr>
              <w:t>合同签订后7个工作日内，甲方向乙方支付合同总额的40%合同款作为预付款；全部设备供货完成后7个工作日内，甲方向乙方支付合同总额的50%合同款；设备安装、调试、验收合格后，甲方待收到乙方开具的正式发票后7个工作日内向乙方支付剩余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宋体" w:hAnsi="宋体" w:cs="宋体"/>
                <w:color w:val="auto"/>
                <w:sz w:val="22"/>
                <w:szCs w:val="22"/>
              </w:rPr>
            </w:pPr>
            <w:r>
              <w:rPr>
                <w:rFonts w:hint="eastAsia" w:ascii="宋体" w:hAnsi="宋体" w:cs="宋体"/>
                <w:color w:val="auto"/>
                <w:sz w:val="22"/>
              </w:rPr>
              <w:t>自验收合格之日起5年。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pacing w:line="360" w:lineRule="exact"/>
              <w:rPr>
                <w:rFonts w:ascii="宋体" w:hAnsi="宋体" w:cs="宋体"/>
                <w:color w:val="auto"/>
                <w:sz w:val="22"/>
                <w:szCs w:val="22"/>
              </w:rPr>
            </w:pPr>
            <w:r>
              <w:rPr>
                <w:rFonts w:hint="eastAsia" w:ascii="宋体" w:hAnsi="宋体" w:cs="宋体"/>
                <w:color w:val="auto"/>
                <w:sz w:val="22"/>
                <w:szCs w:val="22"/>
              </w:rPr>
              <w:t>合同签订起30天内完成交付使用。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pacing w:line="360" w:lineRule="exact"/>
              <w:rPr>
                <w:rFonts w:ascii="宋体" w:hAnsi="宋体" w:cs="宋体"/>
                <w:color w:val="auto"/>
                <w:sz w:val="22"/>
                <w:szCs w:val="22"/>
              </w:rPr>
            </w:pPr>
            <w:r>
              <w:rPr>
                <w:rFonts w:hint="eastAsia" w:ascii="宋体" w:hAnsi="宋体" w:cs="宋体"/>
                <w:color w:val="auto"/>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投标人须对整个系统至少提供3年免费的升级更新以及其他的支持服务，并提供永久性7*24小时技术支持，包括各种软件系统故障及对各种突发事件采取应急措施等，服务响应时间为1小时。</w:t>
            </w:r>
          </w:p>
          <w:p>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w:t>
            </w:r>
            <w:r>
              <w:rPr>
                <w:rFonts w:ascii="宋体" w:hAnsi="宋体" w:cs="宋体"/>
                <w:color w:val="auto"/>
                <w:sz w:val="22"/>
                <w:szCs w:val="22"/>
              </w:rPr>
              <w:t>5</w:t>
            </w:r>
            <w:r>
              <w:rPr>
                <w:rFonts w:hint="eastAsia" w:ascii="宋体" w:hAnsi="宋体" w:cs="宋体"/>
                <w:color w:val="auto"/>
                <w:sz w:val="22"/>
                <w:szCs w:val="22"/>
              </w:rPr>
              <w:t>年的软件免费升级。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投标人须通过电话提供解决方案，或者利用远程维护方式解决问题。若不能在2小时内解决故障问题或采购人需要投标人现场服务的，须在12小时内赶到现场解决。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pPr>
              <w:pStyle w:val="16"/>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1.培训：</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1.1 对采购人的操作人员、维修人员每年定期免费进行培训。</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2.技术支持：</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3.安装调试（若需要安装调试）：</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3.1 安装地点：采购人指定地点。</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pPr>
              <w:pStyle w:val="16"/>
              <w:widowControl/>
              <w:adjustRightInd w:val="0"/>
              <w:snapToGrid w:val="0"/>
              <w:spacing w:line="400" w:lineRule="exact"/>
              <w:rPr>
                <w:rFonts w:ascii="宋体" w:hAnsi="宋体" w:cs="宋体"/>
                <w:color w:val="auto"/>
                <w:sz w:val="22"/>
              </w:rPr>
            </w:pPr>
            <w:r>
              <w:rPr>
                <w:rFonts w:hint="eastAsia" w:ascii="宋体" w:hAnsi="宋体" w:cs="宋体"/>
                <w:color w:val="auto"/>
                <w:sz w:val="22"/>
              </w:rPr>
              <w:t>3.4 中标人免费提供合同货物的安装服务。</w:t>
            </w:r>
          </w:p>
          <w:p>
            <w:pPr>
              <w:pStyle w:val="16"/>
              <w:widowControl/>
              <w:adjustRightInd w:val="0"/>
              <w:snapToGrid w:val="0"/>
              <w:spacing w:line="400" w:lineRule="exact"/>
              <w:rPr>
                <w:rFonts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widowControl/>
              <w:adjustRightInd w:val="0"/>
              <w:snapToGrid w:val="0"/>
              <w:spacing w:line="400" w:lineRule="exact"/>
              <w:rPr>
                <w:rFonts w:ascii="宋体" w:hAnsi="宋体" w:cs="宋体"/>
                <w:color w:val="auto"/>
                <w:sz w:val="22"/>
              </w:rPr>
            </w:pPr>
          </w:p>
        </w:tc>
      </w:tr>
      <w:bookmarkEnd w:id="98"/>
    </w:tbl>
    <w:p>
      <w:pPr>
        <w:rPr>
          <w:rFonts w:ascii="宋体" w:hAnsi="宋体" w:cs="宋体"/>
          <w:b/>
          <w:bCs/>
          <w:color w:val="auto"/>
          <w:szCs w:val="22"/>
        </w:rPr>
      </w:pPr>
    </w:p>
    <w:p>
      <w:pPr>
        <w:rPr>
          <w:color w:val="auto"/>
        </w:rPr>
      </w:pPr>
    </w:p>
    <w:p>
      <w:pPr>
        <w:pStyle w:val="3"/>
        <w:spacing w:line="600" w:lineRule="exact"/>
        <w:jc w:val="center"/>
        <w:rPr>
          <w:rFonts w:ascii="黑体" w:hAnsi="黑体"/>
          <w:bCs/>
          <w:color w:val="auto"/>
          <w:sz w:val="36"/>
          <w:szCs w:val="36"/>
        </w:rPr>
      </w:pPr>
      <w:r>
        <w:rPr>
          <w:rFonts w:hint="eastAsia" w:ascii="黑体" w:hAnsi="黑体" w:cs="黑体"/>
          <w:b w:val="0"/>
          <w:bCs/>
          <w:color w:val="auto"/>
          <w:sz w:val="22"/>
          <w:szCs w:val="22"/>
        </w:rPr>
        <w:br w:type="page"/>
      </w:r>
      <w:bookmarkStart w:id="99" w:name="_Toc9343395"/>
      <w:bookmarkStart w:id="100" w:name="_Toc2331"/>
      <w:bookmarkStart w:id="101" w:name="_GoBack"/>
      <w:bookmarkEnd w:id="101"/>
      <w:r>
        <w:rPr>
          <w:rFonts w:hint="eastAsia" w:ascii="黑体" w:hAnsi="黑体" w:eastAsia="黑体"/>
          <w:bCs/>
          <w:color w:val="auto"/>
          <w:sz w:val="36"/>
          <w:szCs w:val="36"/>
        </w:rPr>
        <w:t>第六部分  评标原则及方法</w:t>
      </w:r>
      <w:bookmarkEnd w:id="95"/>
      <w:bookmarkEnd w:id="99"/>
      <w:bookmarkEnd w:id="100"/>
    </w:p>
    <w:p>
      <w:pPr>
        <w:pStyle w:val="18"/>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w:t>
      </w:r>
      <w:r>
        <w:rPr>
          <w:rFonts w:ascii="宋体" w:hAnsi="宋体" w:cs="宋体"/>
          <w:color w:val="auto"/>
          <w:sz w:val="22"/>
          <w:szCs w:val="22"/>
        </w:rPr>
        <w:t>70</w:t>
      </w:r>
      <w:r>
        <w:rPr>
          <w:rFonts w:hint="eastAsia" w:ascii="宋体" w:hAnsi="宋体" w:cs="宋体"/>
          <w:color w:val="auto"/>
          <w:sz w:val="22"/>
          <w:szCs w:val="22"/>
        </w:rPr>
        <w:t>分（商务技术权值</w:t>
      </w:r>
      <w:r>
        <w:rPr>
          <w:rFonts w:ascii="宋体" w:hAnsi="宋体" w:cs="宋体"/>
          <w:color w:val="auto"/>
          <w:sz w:val="22"/>
          <w:szCs w:val="22"/>
        </w:rPr>
        <w:t>70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pPr>
        <w:spacing w:line="440" w:lineRule="exact"/>
        <w:rPr>
          <w:rFonts w:ascii="宋体" w:hAnsi="宋体" w:cs="宋体"/>
          <w:color w:val="auto"/>
          <w:sz w:val="22"/>
          <w:szCs w:val="22"/>
        </w:rPr>
      </w:pPr>
      <w:r>
        <w:rPr>
          <w:rFonts w:hint="eastAsia" w:ascii="宋体" w:hAnsi="宋体" w:cs="宋体"/>
          <w:color w:val="auto"/>
          <w:sz w:val="22"/>
          <w:szCs w:val="22"/>
        </w:rPr>
        <w:t>1.   商务技术分的评定（</w:t>
      </w:r>
      <w:r>
        <w:rPr>
          <w:rFonts w:ascii="宋体" w:hAnsi="宋体" w:cs="宋体"/>
          <w:color w:val="auto"/>
          <w:sz w:val="22"/>
          <w:szCs w:val="22"/>
        </w:rPr>
        <w:t>70</w:t>
      </w:r>
      <w:r>
        <w:rPr>
          <w:rFonts w:hint="eastAsia" w:ascii="宋体" w:hAnsi="宋体" w:cs="宋体"/>
          <w:color w:val="auto"/>
          <w:sz w:val="22"/>
          <w:szCs w:val="22"/>
        </w:rPr>
        <w:t>分）</w:t>
      </w:r>
    </w:p>
    <w:p>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olor w:val="auto"/>
          <w:sz w:val="22"/>
          <w:szCs w:val="22"/>
        </w:rPr>
      </w:pPr>
      <w:r>
        <w:rPr>
          <w:rFonts w:hint="eastAsia" w:ascii="宋体" w:hAnsi="宋体" w:cs="宋体"/>
          <w:b/>
          <w:color w:val="auto"/>
          <w:szCs w:val="22"/>
        </w:rPr>
        <w:t>商务技术70分</w:t>
      </w:r>
    </w:p>
    <w:tbl>
      <w:tblPr>
        <w:tblStyle w:val="3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04"/>
        <w:gridCol w:w="6471"/>
        <w:gridCol w:w="579"/>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764"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3287"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294"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c>
          <w:tcPr>
            <w:tcW w:w="295"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9" w:type="pct"/>
            <w:vAlign w:val="center"/>
          </w:tcPr>
          <w:p>
            <w:pPr>
              <w:widowControl/>
              <w:adjustRightInd w:val="0"/>
              <w:snapToGrid w:val="0"/>
              <w:spacing w:line="360" w:lineRule="exact"/>
              <w:jc w:val="center"/>
              <w:rPr>
                <w:rFonts w:ascii="宋体" w:hAnsi="宋体" w:cs="宋体"/>
                <w:bCs/>
                <w:color w:val="auto"/>
                <w:szCs w:val="22"/>
              </w:rPr>
            </w:pPr>
            <w:r>
              <w:rPr>
                <w:rFonts w:hint="eastAsia" w:ascii="宋体" w:hAnsi="宋体" w:cs="宋体"/>
                <w:bCs/>
                <w:color w:val="auto"/>
                <w:szCs w:val="22"/>
              </w:rPr>
              <w:t>1</w:t>
            </w:r>
          </w:p>
        </w:tc>
        <w:tc>
          <w:tcPr>
            <w:tcW w:w="764" w:type="pct"/>
            <w:vAlign w:val="center"/>
          </w:tcPr>
          <w:p>
            <w:pPr>
              <w:widowControl/>
              <w:adjustRightInd w:val="0"/>
              <w:snapToGrid w:val="0"/>
              <w:spacing w:line="360" w:lineRule="exact"/>
              <w:jc w:val="center"/>
              <w:rPr>
                <w:rFonts w:ascii="宋体" w:hAnsi="宋体" w:cs="宋体"/>
                <w:bCs/>
                <w:color w:val="auto"/>
                <w:szCs w:val="22"/>
              </w:rPr>
            </w:pPr>
            <w:r>
              <w:rPr>
                <w:rFonts w:hint="eastAsia" w:ascii="宋体" w:hAnsi="宋体" w:cs="宋体"/>
                <w:color w:val="auto"/>
                <w:szCs w:val="22"/>
              </w:rPr>
              <w:t>投标人认证情况</w:t>
            </w:r>
          </w:p>
        </w:tc>
        <w:tc>
          <w:tcPr>
            <w:tcW w:w="3287" w:type="pct"/>
            <w:vAlign w:val="center"/>
          </w:tcPr>
          <w:p>
            <w:pPr>
              <w:widowControl/>
              <w:adjustRightInd w:val="0"/>
              <w:snapToGrid w:val="0"/>
              <w:spacing w:line="360" w:lineRule="exact"/>
              <w:textAlignment w:val="baseline"/>
              <w:rPr>
                <w:rFonts w:ascii="宋体" w:hAnsi="宋体" w:cs="宋体"/>
                <w:color w:val="auto"/>
                <w:szCs w:val="22"/>
              </w:rPr>
            </w:pPr>
            <w:r>
              <w:rPr>
                <w:rFonts w:hint="eastAsia" w:ascii="宋体" w:hAnsi="宋体" w:cs="宋体"/>
                <w:color w:val="auto"/>
                <w:szCs w:val="22"/>
              </w:rPr>
              <w:t>投标人具有ISO系列环境管理体系认证、质量管理体系认证、职业健康安全管理体系认证，每具有一项认证证书可得1分（证书必须在有效期内，否则不得分）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szCs w:val="22"/>
              </w:rPr>
              <w:t>注：提供证书扫描件及全国认证认可信息公共服务平台的网页查询截图（或提供相关部门证明材料），并加盖投标人公章，否则不得分。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3287"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投标人提供（2020年1月1日至今）已完成同类项目业绩，每项类似业绩得1分，最多得3分。（提供合同原件扫描件并加盖电子签章）</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产品功能及技术要求</w:t>
            </w:r>
          </w:p>
        </w:tc>
        <w:tc>
          <w:tcPr>
            <w:tcW w:w="3287"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满足招标文件明确的全部技术要求的得满分：评标委员会根据参数应答和提供参数中所要求的证明材料情况进行评分，评分要求如下：</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带“★”的要求为重要技术条款（如未按照招标文件技术要求提供证明，本条不得分），负偏离的每条扣2分（9条），18分扣完为止。</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非“★”的指标要求为一般技术条款，负偏离每条扣0.5分，5分扣完为止。</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23</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764" w:type="pct"/>
            <w:vAlign w:val="center"/>
          </w:tcPr>
          <w:p>
            <w:pPr>
              <w:widowControl/>
              <w:adjustRightInd w:val="0"/>
              <w:snapToGrid w:val="0"/>
              <w:spacing w:line="360" w:lineRule="exact"/>
              <w:jc w:val="center"/>
              <w:textAlignment w:val="baseline"/>
              <w:rPr>
                <w:rFonts w:ascii="宋体" w:hAnsi="宋体" w:cs="宋体"/>
                <w:color w:val="auto"/>
                <w:sz w:val="22"/>
                <w:szCs w:val="22"/>
              </w:rPr>
            </w:pPr>
            <w:r>
              <w:rPr>
                <w:rFonts w:hint="eastAsia" w:ascii="宋体" w:hAnsi="宋体" w:cs="宋体"/>
                <w:bCs/>
                <w:color w:val="auto"/>
                <w:sz w:val="22"/>
                <w:szCs w:val="22"/>
              </w:rPr>
              <w:t>配套资源</w:t>
            </w:r>
          </w:p>
        </w:tc>
        <w:tc>
          <w:tcPr>
            <w:tcW w:w="3287" w:type="pct"/>
            <w:vAlign w:val="center"/>
          </w:tcPr>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rPr>
              <w:t>能提供所投产品相关的配套教材或实训指导书，每提供一本教材得1分，提供实训指导书得0.5分，最高2分（响应文件中须提供教材或实训指导书封面和目录复印件并加盖公章，否则评审时不得分）。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764" w:type="pct"/>
            <w:vAlign w:val="center"/>
          </w:tcPr>
          <w:p>
            <w:pPr>
              <w:pStyle w:val="18"/>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现场演示</w:t>
            </w:r>
          </w:p>
        </w:tc>
        <w:tc>
          <w:tcPr>
            <w:tcW w:w="3287" w:type="pct"/>
            <w:vAlign w:val="center"/>
          </w:tcPr>
          <w:p>
            <w:pPr>
              <w:pStyle w:val="18"/>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rPr>
              <w:t>现场进行真实系统演示，各投标人自带设备、自行搭建本项目的演示系统，根据以下要求进行展示，根据3大项演示效果的完整、合理、适用程度打分；演示时间控制在10分钟以内，演示内容如下：</w:t>
            </w:r>
          </w:p>
          <w:p>
            <w:pPr>
              <w:pStyle w:val="18"/>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rPr>
              <w:t>(1）能提供MES系统下的设备相关的下单数据、各机器状态数据采集、总统计数据等数据信息的演示。每项得0-1分，最高得3分。</w:t>
            </w:r>
          </w:p>
          <w:p>
            <w:pPr>
              <w:pStyle w:val="18"/>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rPr>
              <w:t>(2）能提供工业机器人多系统仿真软件并提供</w:t>
            </w:r>
            <w:r>
              <w:rPr>
                <w:rFonts w:hint="eastAsia" w:ascii="宋体" w:hAnsi="宋体" w:cs="宋体"/>
                <w:color w:val="auto"/>
                <w:kern w:val="0"/>
                <w:szCs w:val="21"/>
                <w:lang w:val="en-US" w:eastAsia="zh-CN"/>
              </w:rPr>
              <w:t>主流</w:t>
            </w:r>
            <w:r>
              <w:rPr>
                <w:rFonts w:hint="eastAsia" w:ascii="宋体" w:hAnsi="宋体" w:cs="宋体"/>
                <w:color w:val="auto"/>
                <w:kern w:val="0"/>
                <w:szCs w:val="21"/>
              </w:rPr>
              <w:t>品牌工业机械手的三维机械设计模块、电气原理图设计模块、工业机器人离线仿真模块（工作站/项目树模块、自定义模块、多品牌示教器模块、路径轨迹模块、控制面板/调试面板模块、路径轨迹模块、工艺包模块）演示。每项得0-1分，最高得6分；</w:t>
            </w:r>
          </w:p>
          <w:p>
            <w:pPr>
              <w:pStyle w:val="18"/>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rPr>
              <w:t>（3）能提供在线学习平台并提供诸如包括但不局限于以下网络教学资源视频：（1）工业三维设计软件；（2）虚拟设计仿真实训系统；（3）工业机器人实战；（4）工业机器人实操与应用技巧；（5）离线编程软件操作技巧；（6）六轴机器人基础教学等内容演示。每项得0-1分，最高得6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15</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59"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764" w:type="pct"/>
            <w:vMerge w:val="restart"/>
            <w:vAlign w:val="center"/>
          </w:tcPr>
          <w:p>
            <w:pPr>
              <w:pStyle w:val="18"/>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实训室改造施工技术方案</w:t>
            </w:r>
          </w:p>
        </w:tc>
        <w:tc>
          <w:tcPr>
            <w:tcW w:w="3287" w:type="pct"/>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根据投标人提供的施工方案详细、合理、先进、可行、现场情况了解程度等情况综合打分</w:t>
            </w:r>
          </w:p>
          <w:p>
            <w:pPr>
              <w:widowControl/>
              <w:spacing w:line="360" w:lineRule="exact"/>
              <w:rPr>
                <w:rFonts w:ascii="宋体" w:hAnsi="宋体" w:cs="宋体"/>
                <w:color w:val="auto"/>
                <w:szCs w:val="21"/>
              </w:rPr>
            </w:pPr>
            <w:r>
              <w:rPr>
                <w:rFonts w:hint="eastAsia" w:ascii="宋体" w:hAnsi="宋体" w:cs="宋体"/>
                <w:color w:val="auto"/>
                <w:szCs w:val="21"/>
              </w:rPr>
              <w:t>(1)实施方案、措施科学、合理、规范：2-</w:t>
            </w:r>
            <w:r>
              <w:rPr>
                <w:rFonts w:hint="eastAsia" w:ascii="宋体" w:hAnsi="宋体" w:cs="宋体"/>
                <w:color w:val="auto"/>
              </w:rPr>
              <w:t>3</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(2)实施方案、措施较科学、合理、规范：1-</w:t>
            </w:r>
            <w:r>
              <w:rPr>
                <w:rFonts w:hint="eastAsia" w:ascii="宋体" w:hAnsi="宋体" w:cs="宋体"/>
                <w:color w:val="auto"/>
                <w:sz w:val="22"/>
                <w:szCs w:val="22"/>
              </w:rPr>
              <w:t>2</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(3)实施方案、措施一般科学、合理、规范：0.1-</w:t>
            </w:r>
            <w:r>
              <w:rPr>
                <w:rFonts w:hint="eastAsia" w:ascii="宋体" w:hAnsi="宋体" w:cs="宋体"/>
                <w:color w:val="auto"/>
                <w:sz w:val="22"/>
                <w:szCs w:val="22"/>
              </w:rPr>
              <w:t>1</w:t>
            </w:r>
            <w:r>
              <w:rPr>
                <w:rFonts w:hint="eastAsia" w:ascii="宋体" w:hAnsi="宋体" w:cs="宋体"/>
                <w:color w:val="auto"/>
                <w:szCs w:val="21"/>
              </w:rPr>
              <w:t>分；</w:t>
            </w:r>
          </w:p>
          <w:p>
            <w:pPr>
              <w:pStyle w:val="18"/>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59" w:type="pct"/>
            <w:vMerge w:val="continue"/>
            <w:vAlign w:val="center"/>
          </w:tcPr>
          <w:p>
            <w:pPr>
              <w:pStyle w:val="18"/>
              <w:adjustRightInd w:val="0"/>
              <w:snapToGrid w:val="0"/>
              <w:spacing w:after="0" w:line="360" w:lineRule="exact"/>
              <w:rPr>
                <w:color w:val="auto"/>
              </w:rPr>
            </w:pPr>
          </w:p>
        </w:tc>
        <w:tc>
          <w:tcPr>
            <w:tcW w:w="764" w:type="pct"/>
            <w:vMerge w:val="continue"/>
            <w:vAlign w:val="center"/>
          </w:tcPr>
          <w:p>
            <w:pPr>
              <w:pStyle w:val="18"/>
              <w:adjustRightInd w:val="0"/>
              <w:snapToGrid w:val="0"/>
              <w:spacing w:after="0" w:line="360" w:lineRule="exact"/>
              <w:rPr>
                <w:color w:val="auto"/>
              </w:rPr>
            </w:pPr>
          </w:p>
        </w:tc>
        <w:tc>
          <w:tcPr>
            <w:tcW w:w="3287" w:type="pct"/>
            <w:vAlign w:val="center"/>
          </w:tcPr>
          <w:p>
            <w:pPr>
              <w:pStyle w:val="18"/>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rPr>
              <w:t>投标文件中提供装修效果图以及装修参考设计图的每提供一项得1分，最高得2分</w:t>
            </w:r>
          </w:p>
        </w:tc>
        <w:tc>
          <w:tcPr>
            <w:tcW w:w="294" w:type="pct"/>
            <w:vAlign w:val="center"/>
          </w:tcPr>
          <w:p>
            <w:pPr>
              <w:pStyle w:val="18"/>
              <w:adjustRightInd w:val="0"/>
              <w:snapToGrid w:val="0"/>
              <w:spacing w:after="0" w:line="360" w:lineRule="exact"/>
              <w:jc w:val="center"/>
              <w:rPr>
                <w:rFonts w:ascii="宋体" w:hAnsi="宋体" w:cs="宋体"/>
                <w:color w:val="auto"/>
                <w:kern w:val="0"/>
                <w:szCs w:val="21"/>
              </w:rPr>
            </w:pPr>
            <w:r>
              <w:rPr>
                <w:rFonts w:hint="eastAsia" w:ascii="宋体" w:hAnsi="宋体" w:cs="宋体"/>
                <w:color w:val="auto"/>
                <w:kern w:val="0"/>
                <w:szCs w:val="21"/>
              </w:rPr>
              <w:t>2</w:t>
            </w:r>
          </w:p>
        </w:tc>
        <w:tc>
          <w:tcPr>
            <w:tcW w:w="295" w:type="pct"/>
            <w:vAlign w:val="center"/>
          </w:tcPr>
          <w:p>
            <w:pPr>
              <w:pStyle w:val="18"/>
              <w:adjustRightInd w:val="0"/>
              <w:snapToGrid w:val="0"/>
              <w:spacing w:after="0" w:line="360" w:lineRule="exact"/>
              <w:jc w:val="center"/>
              <w:rPr>
                <w:rFonts w:ascii="宋体" w:hAnsi="宋体" w:cs="宋体"/>
                <w:color w:val="auto"/>
                <w:kern w:val="0"/>
                <w:szCs w:val="21"/>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7</w:t>
            </w:r>
          </w:p>
        </w:tc>
        <w:tc>
          <w:tcPr>
            <w:tcW w:w="764" w:type="pct"/>
            <w:vAlign w:val="center"/>
          </w:tcPr>
          <w:p>
            <w:pPr>
              <w:pStyle w:val="18"/>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3287" w:type="pct"/>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根据投标人提供的实施方案包括进度安排以及产品的供货、安装调试、试运行、测试、调优、验收标准等内容综合评审打分。</w:t>
            </w:r>
          </w:p>
          <w:p>
            <w:pPr>
              <w:widowControl/>
              <w:spacing w:line="360" w:lineRule="exact"/>
              <w:rPr>
                <w:rFonts w:ascii="宋体" w:hAnsi="宋体" w:cs="宋体"/>
                <w:color w:val="auto"/>
                <w:szCs w:val="21"/>
              </w:rPr>
            </w:pPr>
            <w:r>
              <w:rPr>
                <w:rFonts w:hint="eastAsia" w:ascii="宋体" w:hAnsi="宋体" w:cs="宋体"/>
                <w:color w:val="auto"/>
                <w:szCs w:val="21"/>
              </w:rPr>
              <w:t>(1)实施方案、措施科学、合理、规范：</w:t>
            </w:r>
            <w:r>
              <w:rPr>
                <w:rFonts w:hint="eastAsia" w:ascii="宋体" w:hAnsi="宋体" w:cs="宋体"/>
                <w:color w:val="auto"/>
              </w:rPr>
              <w:t>3-4</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w:t>
            </w:r>
            <w:r>
              <w:rPr>
                <w:rFonts w:hint="eastAsia" w:ascii="宋体" w:hAnsi="宋体" w:cs="宋体"/>
                <w:color w:val="auto"/>
                <w:sz w:val="22"/>
                <w:szCs w:val="22"/>
              </w:rPr>
              <w:t>2-3</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w:t>
            </w:r>
            <w:r>
              <w:rPr>
                <w:rFonts w:hint="eastAsia" w:ascii="宋体" w:hAnsi="宋体" w:cs="宋体"/>
                <w:color w:val="auto"/>
                <w:sz w:val="22"/>
                <w:szCs w:val="22"/>
              </w:rPr>
              <w:t>1-2</w:t>
            </w:r>
            <w:r>
              <w:rPr>
                <w:rFonts w:hint="eastAsia" w:ascii="宋体" w:hAnsi="宋体" w:cs="宋体"/>
                <w:color w:val="auto"/>
                <w:szCs w:val="21"/>
              </w:rPr>
              <w:t>分；</w:t>
            </w:r>
          </w:p>
          <w:p>
            <w:pPr>
              <w:pStyle w:val="18"/>
              <w:adjustRightInd w:val="0"/>
              <w:snapToGrid w:val="0"/>
              <w:spacing w:after="0" w:line="360" w:lineRule="exact"/>
              <w:rPr>
                <w:rFonts w:ascii="宋体" w:hAnsi="宋体" w:cs="宋体"/>
                <w:color w:val="auto"/>
                <w:sz w:val="22"/>
                <w:szCs w:val="22"/>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8</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3287" w:type="pct"/>
            <w:vAlign w:val="center"/>
          </w:tcPr>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根据投标人项目实施人员经验、职称、能力（提供相关证书、社保证明复印件）等综合评分。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1)人员配置合理、经验丰富、能力强的得</w:t>
            </w:r>
            <w:r>
              <w:rPr>
                <w:rFonts w:hint="eastAsia" w:ascii="宋体" w:hAnsi="宋体" w:cs="宋体"/>
                <w:color w:val="auto"/>
                <w:szCs w:val="21"/>
              </w:rPr>
              <w:t>2-</w:t>
            </w:r>
            <w:r>
              <w:rPr>
                <w:rFonts w:hint="eastAsia" w:ascii="宋体" w:hAnsi="宋体" w:cs="宋体"/>
                <w:color w:val="auto"/>
              </w:rPr>
              <w:t>3分；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2)人员配置较合理、经验较丰富、能力较强的得1-</w:t>
            </w:r>
            <w:r>
              <w:rPr>
                <w:rFonts w:hint="eastAsia" w:ascii="宋体" w:hAnsi="宋体" w:cs="宋体"/>
                <w:color w:val="auto"/>
                <w:sz w:val="22"/>
                <w:szCs w:val="22"/>
              </w:rPr>
              <w:t>2</w:t>
            </w:r>
            <w:r>
              <w:rPr>
                <w:rFonts w:hint="eastAsia" w:ascii="宋体" w:hAnsi="宋体" w:cs="宋体"/>
                <w:color w:val="auto"/>
              </w:rPr>
              <w:t>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3)人员配置合理一般、经验一般、能力一般的得0.1-1分；</w:t>
            </w:r>
          </w:p>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rPr>
              <w:t>4)不提供的不得分。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9</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3287" w:type="pct"/>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(1)方案能贴合采购人需求，合理可行、针对性强的得</w:t>
            </w:r>
            <w:r>
              <w:rPr>
                <w:rFonts w:hint="eastAsia" w:ascii="宋体" w:hAnsi="宋体" w:cs="宋体"/>
                <w:color w:val="auto"/>
              </w:rPr>
              <w:t>2-3</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(2)方案能比较贴合采购人需求，较合理可行、针对性较强的得</w:t>
            </w:r>
            <w:r>
              <w:rPr>
                <w:rFonts w:hint="eastAsia" w:ascii="宋体" w:hAnsi="宋体" w:cs="宋体"/>
                <w:color w:val="auto"/>
              </w:rPr>
              <w:t>1-2</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(3)方案能基本贴合采购人需求，合理性、可行性、针对性一般的得0.</w:t>
            </w:r>
            <w:r>
              <w:rPr>
                <w:rFonts w:hint="eastAsia" w:ascii="宋体" w:hAnsi="宋体" w:cs="宋体"/>
                <w:color w:val="auto"/>
              </w:rPr>
              <w:t>1-1</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Cs w:val="21"/>
              </w:rPr>
            </w:pPr>
            <w:r>
              <w:rPr>
                <w:rFonts w:hint="eastAsia" w:ascii="宋体" w:hAnsi="宋体" w:cs="宋体"/>
                <w:color w:val="auto"/>
                <w:sz w:val="22"/>
                <w:szCs w:val="22"/>
              </w:rPr>
              <w:t>(4)不提供不得分。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10</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质保期</w:t>
            </w:r>
          </w:p>
        </w:tc>
        <w:tc>
          <w:tcPr>
            <w:tcW w:w="3287" w:type="pct"/>
            <w:vAlign w:val="center"/>
          </w:tcPr>
          <w:p>
            <w:pPr>
              <w:pStyle w:val="90"/>
              <w:adjustRightInd w:val="0"/>
              <w:snapToGrid w:val="0"/>
              <w:spacing w:line="360" w:lineRule="exact"/>
              <w:jc w:val="both"/>
              <w:rPr>
                <w:rFonts w:ascii="宋体" w:hAnsi="宋体" w:cs="宋体"/>
                <w:color w:val="auto"/>
              </w:rPr>
            </w:pPr>
            <w:r>
              <w:rPr>
                <w:rFonts w:hint="eastAsia" w:ascii="宋体" w:hAnsi="宋体" w:cs="宋体"/>
                <w:color w:val="auto"/>
              </w:rPr>
              <w:t>满足招标文件要求的5年免费质保不得分，</w:t>
            </w:r>
            <w:r>
              <w:rPr>
                <w:rFonts w:hint="eastAsia" w:ascii="宋体" w:hAnsi="宋体" w:cs="宋体"/>
                <w:bCs/>
                <w:color w:val="auto"/>
                <w:kern w:val="2"/>
              </w:rPr>
              <w:t>每增加1年得2分，最高得4分，不足1年的不计入加分。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11</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售后服务</w:t>
            </w:r>
          </w:p>
        </w:tc>
        <w:tc>
          <w:tcPr>
            <w:tcW w:w="3287" w:type="pct"/>
            <w:vAlign w:val="center"/>
          </w:tcPr>
          <w:p>
            <w:pPr>
              <w:spacing w:line="360" w:lineRule="exact"/>
              <w:jc w:val="left"/>
              <w:rPr>
                <w:rFonts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p>
          <w:p>
            <w:pPr>
              <w:spacing w:line="360" w:lineRule="exact"/>
              <w:jc w:val="left"/>
              <w:rPr>
                <w:rFonts w:ascii="宋体" w:hAnsi="宋体" w:cs="宋体"/>
                <w:color w:val="auto"/>
                <w:sz w:val="22"/>
                <w:szCs w:val="22"/>
              </w:rPr>
            </w:pPr>
            <w:r>
              <w:rPr>
                <w:rFonts w:hint="eastAsia" w:ascii="宋体" w:hAnsi="宋体" w:cs="宋体"/>
                <w:color w:val="auto"/>
                <w:sz w:val="22"/>
                <w:szCs w:val="22"/>
              </w:rPr>
              <w:t>(1)能贴合采购人需求，合理可行、针对性强的得3-4分；</w:t>
            </w:r>
          </w:p>
          <w:p>
            <w:pPr>
              <w:spacing w:line="360" w:lineRule="exact"/>
              <w:jc w:val="left"/>
              <w:rPr>
                <w:rFonts w:ascii="宋体" w:hAnsi="宋体" w:cs="宋体"/>
                <w:color w:val="auto"/>
                <w:sz w:val="22"/>
                <w:szCs w:val="22"/>
              </w:rPr>
            </w:pPr>
            <w:r>
              <w:rPr>
                <w:rFonts w:hint="eastAsia" w:ascii="宋体" w:hAnsi="宋体" w:cs="宋体"/>
                <w:color w:val="auto"/>
                <w:sz w:val="22"/>
                <w:szCs w:val="22"/>
              </w:rPr>
              <w:t>(2)能比较贴合采购人需求，较合理可行、针对性较强的得2-3分；</w:t>
            </w:r>
          </w:p>
          <w:p>
            <w:pPr>
              <w:spacing w:line="360" w:lineRule="exact"/>
              <w:jc w:val="left"/>
              <w:rPr>
                <w:rFonts w:ascii="宋体" w:hAnsi="宋体" w:cs="宋体"/>
                <w:color w:val="auto"/>
              </w:rPr>
            </w:pPr>
            <w:r>
              <w:rPr>
                <w:rFonts w:hint="eastAsia" w:ascii="宋体" w:hAnsi="宋体" w:cs="宋体"/>
                <w:color w:val="auto"/>
                <w:sz w:val="22"/>
                <w:szCs w:val="22"/>
              </w:rPr>
              <w:t>(3)能基本贴合采购人需求，合理性、可行性、针对性一般的得1-2分。</w:t>
            </w:r>
          </w:p>
          <w:p>
            <w:pPr>
              <w:pStyle w:val="90"/>
              <w:adjustRightInd w:val="0"/>
              <w:snapToGrid w:val="0"/>
              <w:spacing w:line="360" w:lineRule="exact"/>
              <w:jc w:val="both"/>
              <w:rPr>
                <w:rFonts w:ascii="宋体" w:hAnsi="宋体" w:cs="宋体"/>
                <w:color w:val="auto"/>
                <w:sz w:val="22"/>
                <w:szCs w:val="22"/>
              </w:rPr>
            </w:pPr>
            <w:r>
              <w:rPr>
                <w:rFonts w:hint="eastAsia" w:ascii="宋体" w:hAnsi="宋体" w:cs="宋体"/>
                <w:color w:val="auto"/>
                <w:sz w:val="22"/>
                <w:szCs w:val="22"/>
              </w:rPr>
              <w:t>(4)不能贴合采购人需求，合理性、可行性、针对性差的或者不提供的均不得分。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12</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环保节能产品</w:t>
            </w:r>
          </w:p>
        </w:tc>
        <w:tc>
          <w:tcPr>
            <w:tcW w:w="3287" w:type="pct"/>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29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bl>
    <w:p>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pPr>
        <w:rPr>
          <w:color w:val="auto"/>
        </w:rPr>
      </w:pPr>
    </w:p>
    <w:sect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86"/>
    <w:family w:val="auto"/>
    <w:pitch w:val="default"/>
    <w:sig w:usb0="00000000" w:usb1="00000000" w:usb2="00000010" w:usb3="00000000" w:csb0="0004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rPr>
        <w:rStyle w:val="40"/>
      </w:rPr>
      <w:t>23</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w:t>
    </w:r>
    <w:r>
      <w:rPr>
        <w:lang w:val="zh-CN"/>
      </w:rP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107</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3FD"/>
    <w:rsid w:val="002C1B47"/>
    <w:rsid w:val="002C2353"/>
    <w:rsid w:val="002C2D2B"/>
    <w:rsid w:val="002C2DB8"/>
    <w:rsid w:val="002C33C6"/>
    <w:rsid w:val="002C376F"/>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886"/>
    <w:rsid w:val="00414B47"/>
    <w:rsid w:val="00414D6C"/>
    <w:rsid w:val="00415CA2"/>
    <w:rsid w:val="0041653F"/>
    <w:rsid w:val="00416BE2"/>
    <w:rsid w:val="00416E89"/>
    <w:rsid w:val="00416FEF"/>
    <w:rsid w:val="004171AD"/>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0549"/>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505A"/>
    <w:rsid w:val="00805857"/>
    <w:rsid w:val="00806A00"/>
    <w:rsid w:val="00806BEF"/>
    <w:rsid w:val="00807133"/>
    <w:rsid w:val="0080752A"/>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84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9A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5A7C"/>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6054"/>
    <w:rsid w:val="00BA6E33"/>
    <w:rsid w:val="00BA72E1"/>
    <w:rsid w:val="00BA7498"/>
    <w:rsid w:val="00BB00C8"/>
    <w:rsid w:val="00BB06EC"/>
    <w:rsid w:val="00BB1346"/>
    <w:rsid w:val="00BB1403"/>
    <w:rsid w:val="00BB1CDD"/>
    <w:rsid w:val="00BB2833"/>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85E"/>
    <w:rsid w:val="00CA0E3E"/>
    <w:rsid w:val="00CA0F09"/>
    <w:rsid w:val="00CA1334"/>
    <w:rsid w:val="00CA160F"/>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600"/>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F68"/>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61E0"/>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D950F6"/>
    <w:rsid w:val="039A3ED8"/>
    <w:rsid w:val="03BA2CC2"/>
    <w:rsid w:val="047B4ECF"/>
    <w:rsid w:val="05612CD8"/>
    <w:rsid w:val="06662DE7"/>
    <w:rsid w:val="08311597"/>
    <w:rsid w:val="08BA07A0"/>
    <w:rsid w:val="09073675"/>
    <w:rsid w:val="098E15D7"/>
    <w:rsid w:val="0A41496A"/>
    <w:rsid w:val="0DC82AB8"/>
    <w:rsid w:val="0DE20392"/>
    <w:rsid w:val="0E3D12C7"/>
    <w:rsid w:val="0EA876D3"/>
    <w:rsid w:val="0F0C4B39"/>
    <w:rsid w:val="0F2759E5"/>
    <w:rsid w:val="0F7E3778"/>
    <w:rsid w:val="0FB071DF"/>
    <w:rsid w:val="10914FFE"/>
    <w:rsid w:val="11CD1C9B"/>
    <w:rsid w:val="11DF3786"/>
    <w:rsid w:val="11F30DC5"/>
    <w:rsid w:val="12EF27DA"/>
    <w:rsid w:val="12F57DD8"/>
    <w:rsid w:val="14105EB0"/>
    <w:rsid w:val="14894E98"/>
    <w:rsid w:val="15087518"/>
    <w:rsid w:val="15A1686E"/>
    <w:rsid w:val="161E3CC0"/>
    <w:rsid w:val="16214089"/>
    <w:rsid w:val="16DF1C51"/>
    <w:rsid w:val="17502C0E"/>
    <w:rsid w:val="17FE7CDB"/>
    <w:rsid w:val="18315D9E"/>
    <w:rsid w:val="186F5470"/>
    <w:rsid w:val="1A6B04CE"/>
    <w:rsid w:val="1D5369D2"/>
    <w:rsid w:val="1EA145F0"/>
    <w:rsid w:val="1EC23455"/>
    <w:rsid w:val="1F371C2F"/>
    <w:rsid w:val="1F940C3D"/>
    <w:rsid w:val="1FAF0BB3"/>
    <w:rsid w:val="20F6344B"/>
    <w:rsid w:val="20FC53CE"/>
    <w:rsid w:val="22DB1410"/>
    <w:rsid w:val="241F1AF4"/>
    <w:rsid w:val="247A0118"/>
    <w:rsid w:val="24B4D623"/>
    <w:rsid w:val="259D1F7B"/>
    <w:rsid w:val="260D3FC7"/>
    <w:rsid w:val="270B22EB"/>
    <w:rsid w:val="27A67A03"/>
    <w:rsid w:val="289E23F3"/>
    <w:rsid w:val="29BEB437"/>
    <w:rsid w:val="2AFA1016"/>
    <w:rsid w:val="2B354727"/>
    <w:rsid w:val="2B8D3A26"/>
    <w:rsid w:val="2D0D05FE"/>
    <w:rsid w:val="2DA28150"/>
    <w:rsid w:val="2F217151"/>
    <w:rsid w:val="2F4C3D05"/>
    <w:rsid w:val="3295541B"/>
    <w:rsid w:val="33593A3B"/>
    <w:rsid w:val="33DE36C7"/>
    <w:rsid w:val="341674CA"/>
    <w:rsid w:val="342F4D61"/>
    <w:rsid w:val="350D02F0"/>
    <w:rsid w:val="355E0668"/>
    <w:rsid w:val="37882F80"/>
    <w:rsid w:val="38AE3570"/>
    <w:rsid w:val="38C33ED6"/>
    <w:rsid w:val="39213309"/>
    <w:rsid w:val="399E55B8"/>
    <w:rsid w:val="3A25250F"/>
    <w:rsid w:val="3B256C4E"/>
    <w:rsid w:val="3CF230F2"/>
    <w:rsid w:val="3E2E7433"/>
    <w:rsid w:val="3E5C6C61"/>
    <w:rsid w:val="3E8C7A26"/>
    <w:rsid w:val="3F055894"/>
    <w:rsid w:val="406D7300"/>
    <w:rsid w:val="41E10C70"/>
    <w:rsid w:val="429A0303"/>
    <w:rsid w:val="43511F37"/>
    <w:rsid w:val="43888190"/>
    <w:rsid w:val="45F44B43"/>
    <w:rsid w:val="47385A50"/>
    <w:rsid w:val="47F2C001"/>
    <w:rsid w:val="4891428A"/>
    <w:rsid w:val="489F0449"/>
    <w:rsid w:val="49614270"/>
    <w:rsid w:val="49E51FED"/>
    <w:rsid w:val="4B103655"/>
    <w:rsid w:val="4B8C2A00"/>
    <w:rsid w:val="4C9E19C0"/>
    <w:rsid w:val="4D3F1948"/>
    <w:rsid w:val="4D51587D"/>
    <w:rsid w:val="4DC71B74"/>
    <w:rsid w:val="4E387C78"/>
    <w:rsid w:val="4F5C75FB"/>
    <w:rsid w:val="4FAE11FC"/>
    <w:rsid w:val="4FBA6DB9"/>
    <w:rsid w:val="4FCF53F6"/>
    <w:rsid w:val="516C4956"/>
    <w:rsid w:val="51710677"/>
    <w:rsid w:val="51722FF6"/>
    <w:rsid w:val="528B6F1A"/>
    <w:rsid w:val="53106DAB"/>
    <w:rsid w:val="536F1A94"/>
    <w:rsid w:val="5396417F"/>
    <w:rsid w:val="54224EA2"/>
    <w:rsid w:val="545F6C51"/>
    <w:rsid w:val="54877424"/>
    <w:rsid w:val="54941CE7"/>
    <w:rsid w:val="54ED1452"/>
    <w:rsid w:val="5571600D"/>
    <w:rsid w:val="56A50CDA"/>
    <w:rsid w:val="56EB7F74"/>
    <w:rsid w:val="5A0F25CF"/>
    <w:rsid w:val="5C574AC3"/>
    <w:rsid w:val="5C7F6ACD"/>
    <w:rsid w:val="5D4A4C0E"/>
    <w:rsid w:val="5E4D7F51"/>
    <w:rsid w:val="5E6847AF"/>
    <w:rsid w:val="5E826883"/>
    <w:rsid w:val="5EB83F07"/>
    <w:rsid w:val="5FC41C75"/>
    <w:rsid w:val="5FDD42D4"/>
    <w:rsid w:val="60606896"/>
    <w:rsid w:val="60EB1C49"/>
    <w:rsid w:val="610B690B"/>
    <w:rsid w:val="620333B0"/>
    <w:rsid w:val="627C6F22"/>
    <w:rsid w:val="62B96FE1"/>
    <w:rsid w:val="63702777"/>
    <w:rsid w:val="63A10E0E"/>
    <w:rsid w:val="63CF7B03"/>
    <w:rsid w:val="64571E7C"/>
    <w:rsid w:val="64B809E2"/>
    <w:rsid w:val="65E2470D"/>
    <w:rsid w:val="65E669EC"/>
    <w:rsid w:val="66271F7E"/>
    <w:rsid w:val="666E49A0"/>
    <w:rsid w:val="67157A1D"/>
    <w:rsid w:val="68581B13"/>
    <w:rsid w:val="686102B9"/>
    <w:rsid w:val="6A6828EE"/>
    <w:rsid w:val="6AC53691"/>
    <w:rsid w:val="6B173EB2"/>
    <w:rsid w:val="6B824E99"/>
    <w:rsid w:val="6C414AB2"/>
    <w:rsid w:val="6D0C3CFA"/>
    <w:rsid w:val="6DF6BB41"/>
    <w:rsid w:val="6E365989"/>
    <w:rsid w:val="6E6733CC"/>
    <w:rsid w:val="6EA501C4"/>
    <w:rsid w:val="6EEC6DFC"/>
    <w:rsid w:val="6FE767F1"/>
    <w:rsid w:val="701D3DDF"/>
    <w:rsid w:val="70891B6D"/>
    <w:rsid w:val="71642515"/>
    <w:rsid w:val="71AC4B85"/>
    <w:rsid w:val="71EA5B48"/>
    <w:rsid w:val="71F159DB"/>
    <w:rsid w:val="72C13030"/>
    <w:rsid w:val="72C42A56"/>
    <w:rsid w:val="72D30D83"/>
    <w:rsid w:val="72F02B78"/>
    <w:rsid w:val="73A60330"/>
    <w:rsid w:val="73A612D7"/>
    <w:rsid w:val="747316A8"/>
    <w:rsid w:val="75897D5B"/>
    <w:rsid w:val="75913708"/>
    <w:rsid w:val="75C5050B"/>
    <w:rsid w:val="76974C3B"/>
    <w:rsid w:val="76CC2CFF"/>
    <w:rsid w:val="771865D2"/>
    <w:rsid w:val="77846810"/>
    <w:rsid w:val="7942768C"/>
    <w:rsid w:val="7966337A"/>
    <w:rsid w:val="79CB5C60"/>
    <w:rsid w:val="7A3562E6"/>
    <w:rsid w:val="7A4B32C7"/>
    <w:rsid w:val="7AD4482E"/>
    <w:rsid w:val="7BF51EAC"/>
    <w:rsid w:val="7D5F1FA6"/>
    <w:rsid w:val="7DC160A2"/>
    <w:rsid w:val="7E717A18"/>
    <w:rsid w:val="7E7C6352"/>
    <w:rsid w:val="7E89142D"/>
    <w:rsid w:val="7F572AE8"/>
    <w:rsid w:val="7F96532A"/>
    <w:rsid w:val="812E654B"/>
    <w:rsid w:val="E807B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4"/>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5"/>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56"/>
    <w:qFormat/>
    <w:uiPriority w:val="0"/>
    <w:pPr>
      <w:keepNext/>
      <w:keepLines/>
      <w:spacing w:before="260" w:after="260" w:line="413" w:lineRule="auto"/>
      <w:outlineLvl w:val="2"/>
    </w:pPr>
    <w:rPr>
      <w:b/>
      <w:bCs/>
      <w:kern w:val="2"/>
      <w:sz w:val="32"/>
      <w:szCs w:val="32"/>
    </w:rPr>
  </w:style>
  <w:style w:type="paragraph" w:styleId="6">
    <w:name w:val="heading 4"/>
    <w:basedOn w:val="1"/>
    <w:next w:val="1"/>
    <w:link w:val="57"/>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7">
    <w:name w:val="heading 5"/>
    <w:basedOn w:val="1"/>
    <w:next w:val="1"/>
    <w:link w:val="58"/>
    <w:qFormat/>
    <w:uiPriority w:val="0"/>
    <w:pPr>
      <w:keepNext/>
      <w:keepLines/>
      <w:tabs>
        <w:tab w:val="left" w:pos="567"/>
      </w:tabs>
      <w:ind w:left="567" w:hanging="567"/>
      <w:outlineLvl w:val="4"/>
    </w:pPr>
    <w:rPr>
      <w:b/>
      <w:bCs/>
      <w:kern w:val="2"/>
      <w:sz w:val="28"/>
      <w:szCs w:val="28"/>
    </w:rPr>
  </w:style>
  <w:style w:type="paragraph" w:styleId="8">
    <w:name w:val="heading 6"/>
    <w:basedOn w:val="1"/>
    <w:next w:val="1"/>
    <w:link w:val="59"/>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9">
    <w:name w:val="heading 7"/>
    <w:basedOn w:val="1"/>
    <w:next w:val="1"/>
    <w:link w:val="60"/>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0">
    <w:name w:val="heading 8"/>
    <w:basedOn w:val="1"/>
    <w:next w:val="1"/>
    <w:link w:val="61"/>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1">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12">
    <w:name w:val="Normal Indent"/>
    <w:basedOn w:val="1"/>
    <w:next w:val="1"/>
    <w:link w:val="64"/>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sz w:val="20"/>
      <w:szCs w:val="20"/>
    </w:rPr>
  </w:style>
  <w:style w:type="paragraph" w:styleId="14">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5"/>
    <w:qFormat/>
    <w:uiPriority w:val="0"/>
    <w:pPr>
      <w:shd w:val="clear" w:color="auto" w:fill="000080"/>
    </w:pPr>
    <w:rPr>
      <w:kern w:val="2"/>
    </w:rPr>
  </w:style>
  <w:style w:type="paragraph" w:styleId="16">
    <w:name w:val="annotation text"/>
    <w:basedOn w:val="1"/>
    <w:link w:val="66"/>
    <w:qFormat/>
    <w:uiPriority w:val="0"/>
    <w:pPr>
      <w:jc w:val="left"/>
    </w:pPr>
    <w:rPr>
      <w:kern w:val="2"/>
    </w:rPr>
  </w:style>
  <w:style w:type="paragraph" w:styleId="17">
    <w:name w:val="Salutation"/>
    <w:basedOn w:val="1"/>
    <w:next w:val="1"/>
    <w:link w:val="67"/>
    <w:qFormat/>
    <w:uiPriority w:val="0"/>
    <w:rPr>
      <w:kern w:val="2"/>
      <w:sz w:val="24"/>
    </w:rPr>
  </w:style>
  <w:style w:type="paragraph" w:styleId="18">
    <w:name w:val="Body Text"/>
    <w:basedOn w:val="1"/>
    <w:next w:val="19"/>
    <w:link w:val="68"/>
    <w:qFormat/>
    <w:uiPriority w:val="99"/>
    <w:pPr>
      <w:spacing w:after="120"/>
    </w:pPr>
    <w:rPr>
      <w:kern w:val="2"/>
    </w:rPr>
  </w:style>
  <w:style w:type="paragraph" w:styleId="19">
    <w:name w:val="Body Text First Indent"/>
    <w:basedOn w:val="18"/>
    <w:next w:val="20"/>
    <w:qFormat/>
    <w:uiPriority w:val="0"/>
    <w:pPr>
      <w:ind w:firstLine="420" w:firstLineChars="100"/>
    </w:pPr>
  </w:style>
  <w:style w:type="paragraph" w:styleId="20">
    <w:name w:val="toc 6"/>
    <w:basedOn w:val="1"/>
    <w:next w:val="1"/>
    <w:semiHidden/>
    <w:qFormat/>
    <w:uiPriority w:val="0"/>
    <w:pPr>
      <w:ind w:left="1050"/>
      <w:jc w:val="left"/>
    </w:pPr>
    <w:rPr>
      <w:sz w:val="18"/>
      <w:szCs w:val="18"/>
    </w:rPr>
  </w:style>
  <w:style w:type="paragraph" w:styleId="21">
    <w:name w:val="Body Text Indent"/>
    <w:basedOn w:val="1"/>
    <w:next w:val="1"/>
    <w:link w:val="52"/>
    <w:qFormat/>
    <w:uiPriority w:val="0"/>
    <w:pPr>
      <w:ind w:left="480" w:hanging="480" w:hangingChars="200"/>
    </w:pPr>
    <w:rPr>
      <w:kern w:val="2"/>
      <w:sz w:val="24"/>
    </w:rPr>
  </w:style>
  <w:style w:type="paragraph" w:styleId="22">
    <w:name w:val="List Bullet 2"/>
    <w:basedOn w:val="1"/>
    <w:qFormat/>
    <w:uiPriority w:val="0"/>
    <w:pPr>
      <w:tabs>
        <w:tab w:val="left" w:pos="780"/>
      </w:tabs>
      <w:ind w:left="780" w:hanging="360"/>
    </w:pPr>
    <w:rPr>
      <w:szCs w:val="20"/>
    </w:rPr>
  </w:style>
  <w:style w:type="paragraph" w:styleId="23">
    <w:name w:val="Plain Text"/>
    <w:basedOn w:val="1"/>
    <w:next w:val="1"/>
    <w:link w:val="71"/>
    <w:qFormat/>
    <w:uiPriority w:val="0"/>
    <w:pPr>
      <w:widowControl/>
      <w:overflowPunct w:val="0"/>
      <w:autoSpaceDE w:val="0"/>
      <w:autoSpaceDN w:val="0"/>
      <w:adjustRightInd w:val="0"/>
      <w:jc w:val="left"/>
      <w:textAlignment w:val="baseline"/>
    </w:pPr>
    <w:rPr>
      <w:rFonts w:ascii="宋体" w:hAnsi="Courier New"/>
      <w:szCs w:val="21"/>
    </w:rPr>
  </w:style>
  <w:style w:type="paragraph" w:styleId="24">
    <w:name w:val="Date"/>
    <w:basedOn w:val="1"/>
    <w:next w:val="1"/>
    <w:link w:val="73"/>
    <w:qFormat/>
    <w:uiPriority w:val="0"/>
    <w:pPr>
      <w:ind w:left="100" w:leftChars="2500"/>
    </w:pPr>
    <w:rPr>
      <w:kern w:val="2"/>
      <w:szCs w:val="20"/>
    </w:rPr>
  </w:style>
  <w:style w:type="paragraph" w:styleId="25">
    <w:name w:val="Body Text Indent 2"/>
    <w:basedOn w:val="1"/>
    <w:link w:val="74"/>
    <w:qFormat/>
    <w:uiPriority w:val="0"/>
    <w:pPr>
      <w:spacing w:line="500" w:lineRule="exact"/>
      <w:ind w:firstLine="511" w:firstLineChars="213"/>
    </w:pPr>
    <w:rPr>
      <w:kern w:val="2"/>
      <w:sz w:val="24"/>
    </w:rPr>
  </w:style>
  <w:style w:type="paragraph" w:styleId="26">
    <w:name w:val="Balloon Text"/>
    <w:basedOn w:val="1"/>
    <w:link w:val="75"/>
    <w:qFormat/>
    <w:uiPriority w:val="0"/>
    <w:rPr>
      <w:kern w:val="2"/>
      <w:sz w:val="18"/>
      <w:szCs w:val="18"/>
    </w:rPr>
  </w:style>
  <w:style w:type="paragraph" w:styleId="27">
    <w:name w:val="footer"/>
    <w:basedOn w:val="1"/>
    <w:link w:val="76"/>
    <w:qFormat/>
    <w:uiPriority w:val="99"/>
    <w:pPr>
      <w:tabs>
        <w:tab w:val="center" w:pos="4153"/>
        <w:tab w:val="right" w:pos="8306"/>
      </w:tabs>
      <w:snapToGrid w:val="0"/>
      <w:jc w:val="left"/>
    </w:pPr>
    <w:rPr>
      <w:kern w:val="2"/>
      <w:sz w:val="18"/>
      <w:szCs w:val="18"/>
    </w:rPr>
  </w:style>
  <w:style w:type="paragraph" w:styleId="28">
    <w:name w:val="header"/>
    <w:basedOn w:val="1"/>
    <w:link w:val="77"/>
    <w:qFormat/>
    <w:uiPriority w:val="99"/>
    <w:pPr>
      <w:pBdr>
        <w:bottom w:val="single" w:color="auto" w:sz="6" w:space="1"/>
      </w:pBdr>
      <w:tabs>
        <w:tab w:val="center" w:pos="4153"/>
        <w:tab w:val="right" w:pos="8306"/>
      </w:tabs>
      <w:snapToGrid w:val="0"/>
      <w:jc w:val="center"/>
    </w:pPr>
    <w:rPr>
      <w:kern w:val="2"/>
      <w:sz w:val="18"/>
      <w:szCs w:val="18"/>
    </w:rPr>
  </w:style>
  <w:style w:type="paragraph" w:styleId="29">
    <w:name w:val="toc 1"/>
    <w:basedOn w:val="1"/>
    <w:next w:val="1"/>
    <w:unhideWhenUsed/>
    <w:qFormat/>
    <w:uiPriority w:val="39"/>
    <w:pPr>
      <w:tabs>
        <w:tab w:val="right" w:leader="dot" w:pos="9628"/>
      </w:tabs>
    </w:pPr>
  </w:style>
  <w:style w:type="paragraph" w:styleId="30">
    <w:name w:val="Body Text Indent 3"/>
    <w:basedOn w:val="1"/>
    <w:link w:val="81"/>
    <w:qFormat/>
    <w:uiPriority w:val="0"/>
    <w:pPr>
      <w:spacing w:line="500" w:lineRule="exact"/>
      <w:ind w:left="511" w:hanging="511" w:hangingChars="213"/>
    </w:pPr>
    <w:rPr>
      <w:kern w:val="2"/>
      <w:sz w:val="24"/>
    </w:rPr>
  </w:style>
  <w:style w:type="paragraph" w:styleId="31">
    <w:name w:val="toc 2"/>
    <w:basedOn w:val="1"/>
    <w:next w:val="1"/>
    <w:unhideWhenUsed/>
    <w:qFormat/>
    <w:uiPriority w:val="39"/>
    <w:pPr>
      <w:ind w:left="420" w:leftChars="200"/>
    </w:pPr>
  </w:style>
  <w:style w:type="paragraph" w:styleId="32">
    <w:name w:val="Normal (Web)"/>
    <w:basedOn w:val="1"/>
    <w:qFormat/>
    <w:uiPriority w:val="0"/>
    <w:pPr>
      <w:widowControl/>
      <w:spacing w:before="100" w:beforeAutospacing="1" w:after="100" w:afterAutospacing="1"/>
      <w:jc w:val="left"/>
    </w:pPr>
    <w:rPr>
      <w:rFonts w:ascii="宋体" w:hAnsi="宋体" w:cs="宋体"/>
      <w:sz w:val="24"/>
    </w:rPr>
  </w:style>
  <w:style w:type="paragraph" w:styleId="33">
    <w:name w:val="Title"/>
    <w:basedOn w:val="1"/>
    <w:next w:val="1"/>
    <w:link w:val="84"/>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6"/>
    <w:next w:val="16"/>
    <w:link w:val="85"/>
    <w:qFormat/>
    <w:uiPriority w:val="0"/>
    <w:rPr>
      <w:b/>
      <w:bCs/>
    </w:rPr>
  </w:style>
  <w:style w:type="paragraph" w:styleId="35">
    <w:name w:val="Body Text First Indent 2"/>
    <w:basedOn w:val="21"/>
    <w:next w:val="19"/>
    <w:qFormat/>
    <w:uiPriority w:val="0"/>
    <w:pPr>
      <w:ind w:left="200" w:leftChars="200"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Emphasis"/>
    <w:qFormat/>
    <w:uiPriority w:val="0"/>
    <w:rPr>
      <w:rFonts w:ascii="Times New Roman" w:hAnsi="Times New Roman" w:eastAsia="宋体" w:cs="Times New Roman"/>
      <w:b/>
    </w:rPr>
  </w:style>
  <w:style w:type="character" w:styleId="42">
    <w:name w:val="HTML Definition"/>
    <w:qFormat/>
    <w:uiPriority w:val="0"/>
    <w:rPr>
      <w:rFonts w:ascii="Times New Roman" w:hAnsi="Times New Roman" w:eastAsia="宋体" w:cs="Times New Roman"/>
    </w:rPr>
  </w:style>
  <w:style w:type="character" w:styleId="43">
    <w:name w:val="HTML Variable"/>
    <w:qFormat/>
    <w:uiPriority w:val="0"/>
    <w:rPr>
      <w:rFonts w:ascii="Times New Roman" w:hAnsi="Times New Roman" w:eastAsia="宋体" w:cs="Times New Roman"/>
    </w:rPr>
  </w:style>
  <w:style w:type="character" w:styleId="44">
    <w:name w:val="Hyperlink"/>
    <w:qFormat/>
    <w:uiPriority w:val="99"/>
    <w:rPr>
      <w:rFonts w:ascii="Times New Roman" w:hAnsi="Times New Roman" w:eastAsia="宋体" w:cs="Times New Roman"/>
      <w:color w:val="000000"/>
      <w:sz w:val="21"/>
      <w:szCs w:val="21"/>
      <w:u w:val="none"/>
    </w:rPr>
  </w:style>
  <w:style w:type="character" w:styleId="45">
    <w:name w:val="HTML Code"/>
    <w:qFormat/>
    <w:uiPriority w:val="0"/>
    <w:rPr>
      <w:rFonts w:ascii="Courier New" w:hAnsi="Courier New" w:eastAsia="宋体" w:cs="Times New Roman"/>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qFormat/>
    <w:uiPriority w:val="0"/>
    <w:rPr>
      <w:rFonts w:ascii="Times New Roman" w:hAnsi="Times New Roman" w:eastAsia="宋体" w:cs="Times New Roman"/>
    </w:rPr>
  </w:style>
  <w:style w:type="character" w:styleId="48">
    <w:name w:val="HTML Keyboard"/>
    <w:qFormat/>
    <w:uiPriority w:val="0"/>
    <w:rPr>
      <w:rFonts w:ascii="Courier New" w:hAnsi="Courier New" w:eastAsia="宋体" w:cs="Times New Roman"/>
      <w:sz w:val="20"/>
    </w:rPr>
  </w:style>
  <w:style w:type="character" w:styleId="49">
    <w:name w:val="HTML Sample"/>
    <w:qFormat/>
    <w:uiPriority w:val="0"/>
    <w:rPr>
      <w:rFonts w:ascii="Courier New" w:hAnsi="Courier New" w:eastAsia="宋体" w:cs="Times New Roman"/>
    </w:rPr>
  </w:style>
  <w:style w:type="paragraph" w:customStyle="1" w:styleId="50">
    <w:name w:val="正文文本首行缩进1"/>
    <w:basedOn w:val="18"/>
    <w:qFormat/>
    <w:uiPriority w:val="0"/>
    <w:pPr>
      <w:ind w:firstLine="420"/>
    </w:pPr>
  </w:style>
  <w:style w:type="paragraph" w:customStyle="1" w:styleId="51">
    <w:name w:val="正文文本首行缩进 21"/>
    <w:basedOn w:val="21"/>
    <w:link w:val="53"/>
    <w:qFormat/>
    <w:uiPriority w:val="0"/>
    <w:pPr>
      <w:spacing w:after="120"/>
      <w:ind w:left="420" w:leftChars="200" w:firstLine="420" w:firstLineChars="200"/>
    </w:pPr>
    <w:rPr>
      <w:rFonts w:ascii="仿宋_GB2312" w:eastAsia="仿宋_GB2312"/>
      <w:sz w:val="28"/>
      <w:szCs w:val="28"/>
    </w:rPr>
  </w:style>
  <w:style w:type="character" w:customStyle="1" w:styleId="52">
    <w:name w:val="正文文本缩进 字符"/>
    <w:link w:val="21"/>
    <w:qFormat/>
    <w:uiPriority w:val="0"/>
    <w:rPr>
      <w:rFonts w:ascii="Times New Roman" w:hAnsi="Times New Roman" w:eastAsia="宋体" w:cs="Times New Roman"/>
      <w:kern w:val="2"/>
      <w:sz w:val="24"/>
      <w:szCs w:val="24"/>
    </w:rPr>
  </w:style>
  <w:style w:type="character" w:customStyle="1" w:styleId="53">
    <w:name w:val="正文文本首行缩进 2 字符"/>
    <w:link w:val="51"/>
    <w:qFormat/>
    <w:uiPriority w:val="0"/>
    <w:rPr>
      <w:rFonts w:ascii="仿宋_GB2312" w:hAnsi="Times New Roman" w:eastAsia="仿宋_GB2312" w:cs="Times New Roman"/>
      <w:kern w:val="2"/>
      <w:sz w:val="28"/>
      <w:szCs w:val="28"/>
      <w:lang w:val="en-US" w:eastAsia="zh-CN" w:bidi="ar-SA"/>
    </w:rPr>
  </w:style>
  <w:style w:type="character" w:customStyle="1" w:styleId="54">
    <w:name w:val="标题 1 字符"/>
    <w:link w:val="3"/>
    <w:qFormat/>
    <w:uiPriority w:val="0"/>
    <w:rPr>
      <w:rFonts w:ascii="宋体" w:hAnsi="Times New Roman" w:eastAsia="宋体" w:cs="Times New Roman"/>
      <w:b/>
      <w:kern w:val="44"/>
      <w:sz w:val="24"/>
    </w:rPr>
  </w:style>
  <w:style w:type="character" w:customStyle="1" w:styleId="55">
    <w:name w:val="标题 2 字符"/>
    <w:link w:val="4"/>
    <w:qFormat/>
    <w:uiPriority w:val="9"/>
    <w:rPr>
      <w:rFonts w:ascii="Arial" w:hAnsi="Arial" w:eastAsia="黑体" w:cs="Times New Roman"/>
      <w:b/>
      <w:bCs/>
      <w:kern w:val="2"/>
      <w:sz w:val="32"/>
      <w:szCs w:val="32"/>
    </w:rPr>
  </w:style>
  <w:style w:type="character" w:customStyle="1" w:styleId="56">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57">
    <w:name w:val="标题 4 字符"/>
    <w:link w:val="6"/>
    <w:qFormat/>
    <w:uiPriority w:val="9"/>
    <w:rPr>
      <w:rFonts w:ascii="Arial" w:hAnsi="Arial" w:eastAsia="Times New Roman" w:cs="Times New Roman"/>
      <w:b/>
      <w:bCs/>
      <w:kern w:val="2"/>
      <w:sz w:val="28"/>
      <w:szCs w:val="28"/>
    </w:rPr>
  </w:style>
  <w:style w:type="character" w:customStyle="1" w:styleId="58">
    <w:name w:val="标题 5 字符"/>
    <w:link w:val="7"/>
    <w:qFormat/>
    <w:uiPriority w:val="0"/>
    <w:rPr>
      <w:rFonts w:ascii="Times New Roman" w:hAnsi="Times New Roman" w:eastAsia="宋体" w:cs="Times New Roman"/>
      <w:b/>
      <w:bCs/>
      <w:kern w:val="2"/>
      <w:sz w:val="28"/>
      <w:szCs w:val="28"/>
      <w:lang w:bidi="ar-SA"/>
    </w:rPr>
  </w:style>
  <w:style w:type="character" w:customStyle="1" w:styleId="59">
    <w:name w:val="标题 6 字符"/>
    <w:link w:val="8"/>
    <w:qFormat/>
    <w:uiPriority w:val="0"/>
    <w:rPr>
      <w:rFonts w:ascii="Arial" w:hAnsi="Arial" w:eastAsia="黑体" w:cs="Times New Roman"/>
      <w:b/>
      <w:bCs/>
      <w:kern w:val="2"/>
      <w:sz w:val="24"/>
      <w:szCs w:val="24"/>
    </w:rPr>
  </w:style>
  <w:style w:type="character" w:customStyle="1" w:styleId="60">
    <w:name w:val="标题 7 字符"/>
    <w:link w:val="9"/>
    <w:qFormat/>
    <w:uiPriority w:val="0"/>
    <w:rPr>
      <w:rFonts w:ascii="Times New Roman" w:hAnsi="Times New Roman" w:eastAsia="仿宋_GB2312" w:cs="Times New Roman"/>
      <w:b/>
      <w:bCs/>
      <w:kern w:val="2"/>
      <w:sz w:val="24"/>
      <w:szCs w:val="24"/>
    </w:rPr>
  </w:style>
  <w:style w:type="character" w:customStyle="1" w:styleId="61">
    <w:name w:val="标题 8 字符"/>
    <w:link w:val="10"/>
    <w:qFormat/>
    <w:uiPriority w:val="0"/>
    <w:rPr>
      <w:rFonts w:ascii="Arial" w:hAnsi="Arial" w:eastAsia="黑体" w:cs="Times New Roman"/>
      <w:kern w:val="2"/>
      <w:sz w:val="24"/>
      <w:szCs w:val="24"/>
    </w:rPr>
  </w:style>
  <w:style w:type="character" w:customStyle="1" w:styleId="62">
    <w:name w:val="标题 9 字符"/>
    <w:link w:val="11"/>
    <w:qFormat/>
    <w:uiPriority w:val="0"/>
    <w:rPr>
      <w:rFonts w:ascii="Arial" w:hAnsi="Arial" w:eastAsia="黑体" w:cs="Times New Roman"/>
      <w:kern w:val="2"/>
      <w:sz w:val="21"/>
      <w:szCs w:val="21"/>
    </w:rPr>
  </w:style>
  <w:style w:type="paragraph" w:customStyle="1" w:styleId="63">
    <w:name w:val="TOC 71"/>
    <w:basedOn w:val="1"/>
    <w:next w:val="1"/>
    <w:qFormat/>
    <w:uiPriority w:val="0"/>
    <w:pPr>
      <w:ind w:left="1260"/>
      <w:jc w:val="left"/>
    </w:pPr>
    <w:rPr>
      <w:sz w:val="18"/>
      <w:szCs w:val="18"/>
    </w:rPr>
  </w:style>
  <w:style w:type="character" w:customStyle="1" w:styleId="64">
    <w:name w:val="正文缩进 字符"/>
    <w:link w:val="12"/>
    <w:qFormat/>
    <w:uiPriority w:val="0"/>
    <w:rPr>
      <w:rFonts w:ascii="Times New Roman" w:hAnsi="Times New Roman" w:eastAsia="宋体" w:cs="Times New Roman"/>
      <w:sz w:val="21"/>
      <w:lang w:val="en-US" w:eastAsia="zh-CN" w:bidi="ar-SA"/>
    </w:rPr>
  </w:style>
  <w:style w:type="character" w:customStyle="1" w:styleId="65">
    <w:name w:val="文档结构图 字符"/>
    <w:link w:val="15"/>
    <w:qFormat/>
    <w:uiPriority w:val="0"/>
    <w:rPr>
      <w:rFonts w:ascii="Times New Roman" w:hAnsi="Times New Roman" w:eastAsia="宋体" w:cs="Times New Roman"/>
      <w:kern w:val="2"/>
      <w:sz w:val="21"/>
      <w:szCs w:val="24"/>
      <w:shd w:val="clear" w:color="auto" w:fill="000080"/>
    </w:rPr>
  </w:style>
  <w:style w:type="character" w:customStyle="1" w:styleId="66">
    <w:name w:val="批注文字 字符2"/>
    <w:link w:val="16"/>
    <w:qFormat/>
    <w:uiPriority w:val="0"/>
    <w:rPr>
      <w:rFonts w:ascii="Times New Roman" w:hAnsi="Times New Roman" w:eastAsia="宋体" w:cs="Times New Roman"/>
      <w:kern w:val="2"/>
      <w:sz w:val="21"/>
      <w:szCs w:val="24"/>
    </w:rPr>
  </w:style>
  <w:style w:type="character" w:customStyle="1" w:styleId="67">
    <w:name w:val="称呼 字符"/>
    <w:link w:val="17"/>
    <w:qFormat/>
    <w:uiPriority w:val="0"/>
    <w:rPr>
      <w:rFonts w:ascii="Times New Roman" w:hAnsi="Times New Roman" w:eastAsia="宋体" w:cs="Times New Roman"/>
      <w:kern w:val="2"/>
      <w:sz w:val="24"/>
      <w:szCs w:val="24"/>
    </w:rPr>
  </w:style>
  <w:style w:type="character" w:customStyle="1" w:styleId="68">
    <w:name w:val="正文文本 字符1"/>
    <w:link w:val="18"/>
    <w:qFormat/>
    <w:uiPriority w:val="0"/>
    <w:rPr>
      <w:rFonts w:ascii="Times New Roman" w:hAnsi="Times New Roman" w:eastAsia="宋体" w:cs="Times New Roman"/>
      <w:kern w:val="2"/>
      <w:sz w:val="21"/>
      <w:szCs w:val="24"/>
    </w:rPr>
  </w:style>
  <w:style w:type="paragraph" w:customStyle="1" w:styleId="69">
    <w:name w:val="TOC 51"/>
    <w:basedOn w:val="1"/>
    <w:next w:val="1"/>
    <w:qFormat/>
    <w:uiPriority w:val="0"/>
    <w:pPr>
      <w:ind w:left="840"/>
      <w:jc w:val="left"/>
    </w:pPr>
    <w:rPr>
      <w:sz w:val="18"/>
      <w:szCs w:val="18"/>
    </w:rPr>
  </w:style>
  <w:style w:type="paragraph" w:customStyle="1" w:styleId="70">
    <w:name w:val="TOC 31"/>
    <w:basedOn w:val="1"/>
    <w:next w:val="1"/>
    <w:qFormat/>
    <w:uiPriority w:val="0"/>
    <w:pPr>
      <w:ind w:left="420"/>
      <w:jc w:val="left"/>
    </w:pPr>
    <w:rPr>
      <w:i/>
      <w:iCs/>
      <w:sz w:val="20"/>
      <w:szCs w:val="20"/>
    </w:rPr>
  </w:style>
  <w:style w:type="character" w:customStyle="1" w:styleId="71">
    <w:name w:val="纯文本 字符1"/>
    <w:link w:val="23"/>
    <w:qFormat/>
    <w:uiPriority w:val="0"/>
    <w:rPr>
      <w:rFonts w:ascii="宋体" w:hAnsi="Courier New" w:eastAsia="宋体" w:cs="Times New Roman"/>
      <w:sz w:val="21"/>
      <w:szCs w:val="21"/>
      <w:lang w:val="en-US" w:eastAsia="zh-CN" w:bidi="ar-SA"/>
    </w:rPr>
  </w:style>
  <w:style w:type="paragraph" w:customStyle="1" w:styleId="72">
    <w:name w:val="TOC 81"/>
    <w:basedOn w:val="1"/>
    <w:next w:val="1"/>
    <w:qFormat/>
    <w:uiPriority w:val="0"/>
    <w:pPr>
      <w:ind w:left="1470"/>
      <w:jc w:val="left"/>
    </w:pPr>
    <w:rPr>
      <w:sz w:val="18"/>
      <w:szCs w:val="18"/>
    </w:rPr>
  </w:style>
  <w:style w:type="character" w:customStyle="1" w:styleId="73">
    <w:name w:val="日期 字符1"/>
    <w:link w:val="24"/>
    <w:qFormat/>
    <w:uiPriority w:val="0"/>
    <w:rPr>
      <w:rFonts w:ascii="Times New Roman" w:hAnsi="Times New Roman" w:eastAsia="宋体" w:cs="Times New Roman"/>
      <w:kern w:val="2"/>
      <w:sz w:val="21"/>
    </w:rPr>
  </w:style>
  <w:style w:type="character" w:customStyle="1" w:styleId="74">
    <w:name w:val="正文文本缩进 2 字符"/>
    <w:link w:val="25"/>
    <w:qFormat/>
    <w:uiPriority w:val="0"/>
    <w:rPr>
      <w:rFonts w:ascii="Times New Roman" w:hAnsi="Times New Roman" w:eastAsia="宋体" w:cs="Times New Roman"/>
      <w:kern w:val="2"/>
      <w:sz w:val="24"/>
      <w:szCs w:val="24"/>
      <w:lang w:val="en-US" w:eastAsia="zh-CN" w:bidi="ar-SA"/>
    </w:rPr>
  </w:style>
  <w:style w:type="character" w:customStyle="1" w:styleId="75">
    <w:name w:val="批注框文本 字符"/>
    <w:link w:val="26"/>
    <w:qFormat/>
    <w:uiPriority w:val="0"/>
    <w:rPr>
      <w:rFonts w:ascii="Times New Roman" w:hAnsi="Times New Roman" w:eastAsia="宋体" w:cs="Times New Roman"/>
      <w:kern w:val="2"/>
      <w:sz w:val="18"/>
      <w:szCs w:val="18"/>
    </w:rPr>
  </w:style>
  <w:style w:type="character" w:customStyle="1" w:styleId="76">
    <w:name w:val="页脚 字符"/>
    <w:link w:val="27"/>
    <w:qFormat/>
    <w:uiPriority w:val="99"/>
    <w:rPr>
      <w:rFonts w:ascii="Times New Roman" w:hAnsi="Times New Roman" w:eastAsia="宋体" w:cs="Times New Roman"/>
      <w:kern w:val="2"/>
      <w:sz w:val="18"/>
      <w:szCs w:val="18"/>
    </w:rPr>
  </w:style>
  <w:style w:type="character" w:customStyle="1" w:styleId="77">
    <w:name w:val="页眉 字符"/>
    <w:link w:val="28"/>
    <w:qFormat/>
    <w:uiPriority w:val="99"/>
    <w:rPr>
      <w:rFonts w:ascii="Times New Roman" w:hAnsi="Times New Roman" w:eastAsia="宋体" w:cs="Times New Roman"/>
      <w:kern w:val="2"/>
      <w:sz w:val="18"/>
      <w:szCs w:val="18"/>
    </w:rPr>
  </w:style>
  <w:style w:type="paragraph" w:customStyle="1" w:styleId="78">
    <w:name w:val="TOC 11"/>
    <w:basedOn w:val="1"/>
    <w:next w:val="1"/>
    <w:qFormat/>
    <w:uiPriority w:val="39"/>
    <w:pPr>
      <w:spacing w:before="120" w:after="120"/>
      <w:jc w:val="left"/>
    </w:pPr>
    <w:rPr>
      <w:b/>
      <w:bCs/>
      <w:caps/>
      <w:sz w:val="20"/>
      <w:szCs w:val="20"/>
    </w:rPr>
  </w:style>
  <w:style w:type="paragraph" w:customStyle="1" w:styleId="79">
    <w:name w:val="TOC 41"/>
    <w:basedOn w:val="1"/>
    <w:next w:val="1"/>
    <w:qFormat/>
    <w:uiPriority w:val="0"/>
    <w:pPr>
      <w:ind w:left="630"/>
      <w:jc w:val="left"/>
    </w:pPr>
    <w:rPr>
      <w:sz w:val="18"/>
      <w:szCs w:val="18"/>
    </w:rPr>
  </w:style>
  <w:style w:type="paragraph" w:customStyle="1" w:styleId="80">
    <w:name w:val="TOC 61"/>
    <w:basedOn w:val="1"/>
    <w:next w:val="1"/>
    <w:qFormat/>
    <w:uiPriority w:val="0"/>
    <w:pPr>
      <w:ind w:left="1050"/>
      <w:jc w:val="left"/>
    </w:pPr>
    <w:rPr>
      <w:sz w:val="18"/>
      <w:szCs w:val="18"/>
    </w:rPr>
  </w:style>
  <w:style w:type="character" w:customStyle="1" w:styleId="81">
    <w:name w:val="正文文本缩进 3 字符"/>
    <w:link w:val="30"/>
    <w:qFormat/>
    <w:uiPriority w:val="0"/>
    <w:rPr>
      <w:rFonts w:ascii="Times New Roman" w:hAnsi="Times New Roman" w:eastAsia="宋体" w:cs="Times New Roman"/>
      <w:kern w:val="2"/>
      <w:sz w:val="24"/>
      <w:szCs w:val="24"/>
    </w:rPr>
  </w:style>
  <w:style w:type="paragraph" w:customStyle="1" w:styleId="82">
    <w:name w:val="TOC 21"/>
    <w:basedOn w:val="1"/>
    <w:next w:val="1"/>
    <w:qFormat/>
    <w:uiPriority w:val="39"/>
    <w:pPr>
      <w:ind w:left="210"/>
      <w:jc w:val="left"/>
    </w:pPr>
    <w:rPr>
      <w:smallCaps/>
      <w:sz w:val="20"/>
      <w:szCs w:val="20"/>
    </w:rPr>
  </w:style>
  <w:style w:type="paragraph" w:customStyle="1" w:styleId="83">
    <w:name w:val="TOC 91"/>
    <w:basedOn w:val="1"/>
    <w:next w:val="1"/>
    <w:qFormat/>
    <w:uiPriority w:val="0"/>
    <w:pPr>
      <w:ind w:left="1680"/>
      <w:jc w:val="left"/>
    </w:pPr>
    <w:rPr>
      <w:sz w:val="18"/>
      <w:szCs w:val="18"/>
    </w:rPr>
  </w:style>
  <w:style w:type="character" w:customStyle="1" w:styleId="84">
    <w:name w:val="标题 字符"/>
    <w:link w:val="33"/>
    <w:qFormat/>
    <w:uiPriority w:val="0"/>
    <w:rPr>
      <w:rFonts w:ascii="Arial" w:hAnsi="Arial" w:eastAsia="宋体" w:cs="Times New Roman"/>
      <w:b/>
      <w:spacing w:val="14"/>
      <w:kern w:val="24"/>
      <w:sz w:val="32"/>
    </w:rPr>
  </w:style>
  <w:style w:type="character" w:customStyle="1" w:styleId="85">
    <w:name w:val="批注主题 字符"/>
    <w:link w:val="34"/>
    <w:qFormat/>
    <w:uiPriority w:val="0"/>
    <w:rPr>
      <w:rFonts w:ascii="Times New Roman" w:hAnsi="Times New Roman" w:eastAsia="宋体" w:cs="Times New Roman"/>
      <w:b/>
      <w:bCs/>
      <w:kern w:val="2"/>
      <w:sz w:val="21"/>
      <w:szCs w:val="24"/>
    </w:rPr>
  </w:style>
  <w:style w:type="character" w:customStyle="1" w:styleId="86">
    <w:name w:val="访问过的超链接1"/>
    <w:qFormat/>
    <w:uiPriority w:val="0"/>
    <w:rPr>
      <w:rFonts w:ascii="Times New Roman" w:hAnsi="Times New Roman" w:eastAsia="宋体" w:cs="Times New Roman"/>
      <w:color w:val="000000"/>
      <w:sz w:val="21"/>
      <w:szCs w:val="21"/>
      <w:u w:val="none"/>
    </w:rPr>
  </w:style>
  <w:style w:type="character" w:customStyle="1" w:styleId="87">
    <w:name w:val="Default Char"/>
    <w:link w:val="88"/>
    <w:qFormat/>
    <w:uiPriority w:val="0"/>
    <w:rPr>
      <w:rFonts w:ascii="宋体" w:hAnsi="Tahoma" w:eastAsia="宋体" w:cs="宋体"/>
      <w:b/>
      <w:bCs/>
      <w:color w:val="000000"/>
      <w:sz w:val="24"/>
      <w:szCs w:val="24"/>
      <w:lang w:val="en-US" w:eastAsia="zh-CN" w:bidi="ar-SA"/>
    </w:rPr>
  </w:style>
  <w:style w:type="paragraph" w:customStyle="1" w:styleId="88">
    <w:name w:val="Default"/>
    <w:next w:val="1"/>
    <w:link w:val="87"/>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89">
    <w:name w:val="表格文字 Char Char"/>
    <w:link w:val="90"/>
    <w:qFormat/>
    <w:uiPriority w:val="0"/>
    <w:rPr>
      <w:rFonts w:ascii="Times New Roman" w:hAnsi="Times New Roman" w:eastAsia="宋体" w:cs="Times New Roman"/>
      <w:kern w:val="21"/>
      <w:sz w:val="21"/>
      <w:szCs w:val="21"/>
    </w:rPr>
  </w:style>
  <w:style w:type="paragraph" w:customStyle="1" w:styleId="90">
    <w:name w:val="表格文字"/>
    <w:basedOn w:val="1"/>
    <w:next w:val="18"/>
    <w:link w:val="89"/>
    <w:qFormat/>
    <w:uiPriority w:val="0"/>
    <w:pPr>
      <w:jc w:val="left"/>
    </w:pPr>
    <w:rPr>
      <w:kern w:val="21"/>
      <w:szCs w:val="21"/>
    </w:rPr>
  </w:style>
  <w:style w:type="character" w:customStyle="1" w:styleId="91">
    <w:name w:val="列表段落 字符"/>
    <w:link w:val="92"/>
    <w:qFormat/>
    <w:uiPriority w:val="0"/>
    <w:rPr>
      <w:rFonts w:ascii="Calibri" w:hAnsi="Calibri" w:eastAsia="宋体" w:cs="Times New Roman"/>
      <w:kern w:val="2"/>
      <w:sz w:val="21"/>
      <w:szCs w:val="22"/>
    </w:rPr>
  </w:style>
  <w:style w:type="paragraph" w:customStyle="1" w:styleId="92">
    <w:name w:val="列表段落1"/>
    <w:basedOn w:val="1"/>
    <w:link w:val="91"/>
    <w:qFormat/>
    <w:uiPriority w:val="0"/>
    <w:pPr>
      <w:ind w:firstLine="420" w:firstLineChars="200"/>
    </w:pPr>
    <w:rPr>
      <w:rFonts w:ascii="Calibri" w:hAnsi="Calibri"/>
      <w:kern w:val="2"/>
      <w:szCs w:val="22"/>
    </w:rPr>
  </w:style>
  <w:style w:type="paragraph" w:customStyle="1" w:styleId="93">
    <w:name w:val="编号，小四"/>
    <w:basedOn w:val="1"/>
    <w:qFormat/>
    <w:uiPriority w:val="0"/>
    <w:pPr>
      <w:ind w:left="480"/>
    </w:pPr>
  </w:style>
  <w:style w:type="paragraph" w:customStyle="1" w:styleId="94">
    <w:name w:val="我编辑文档正文"/>
    <w:basedOn w:val="1"/>
    <w:link w:val="95"/>
    <w:qFormat/>
    <w:uiPriority w:val="0"/>
    <w:pPr>
      <w:spacing w:line="360" w:lineRule="auto"/>
      <w:ind w:right="69" w:rightChars="33" w:firstLine="360" w:firstLineChars="150"/>
      <w:jc w:val="left"/>
    </w:pPr>
    <w:rPr>
      <w:sz w:val="24"/>
    </w:rPr>
  </w:style>
  <w:style w:type="character" w:customStyle="1" w:styleId="95">
    <w:name w:val="我编辑文档正文 Char"/>
    <w:link w:val="94"/>
    <w:qFormat/>
    <w:uiPriority w:val="0"/>
    <w:rPr>
      <w:rFonts w:ascii="Times New Roman" w:hAnsi="Times New Roman" w:eastAsia="宋体" w:cs="Times New Roman"/>
      <w:sz w:val="24"/>
      <w:szCs w:val="24"/>
    </w:rPr>
  </w:style>
  <w:style w:type="character" w:customStyle="1" w:styleId="96">
    <w:name w:val="明显参考1"/>
    <w:qFormat/>
    <w:uiPriority w:val="0"/>
    <w:rPr>
      <w:rFonts w:ascii="Times New Roman" w:hAnsi="Times New Roman" w:eastAsia="宋体" w:cs="Times New Roman"/>
      <w:b/>
      <w:bCs/>
      <w:smallCaps/>
      <w:color w:val="C0504D"/>
      <w:spacing w:val="5"/>
      <w:u w:val="single"/>
    </w:rPr>
  </w:style>
  <w:style w:type="character" w:customStyle="1" w:styleId="97">
    <w:name w:val="font41"/>
    <w:qFormat/>
    <w:uiPriority w:val="0"/>
    <w:rPr>
      <w:rFonts w:hint="eastAsia" w:ascii="宋体" w:hAnsi="宋体" w:eastAsia="宋体" w:cs="宋体"/>
      <w:b/>
      <w:color w:val="000000"/>
      <w:sz w:val="28"/>
      <w:szCs w:val="28"/>
      <w:u w:val="none"/>
    </w:rPr>
  </w:style>
  <w:style w:type="paragraph" w:customStyle="1" w:styleId="98">
    <w:name w:val="P正文 Char"/>
    <w:basedOn w:val="1"/>
    <w:link w:val="99"/>
    <w:qFormat/>
    <w:uiPriority w:val="0"/>
    <w:pPr>
      <w:spacing w:beforeLines="50" w:afterLines="50"/>
      <w:ind w:left="540" w:leftChars="257"/>
    </w:pPr>
    <w:rPr>
      <w:kern w:val="2"/>
      <w:sz w:val="24"/>
    </w:rPr>
  </w:style>
  <w:style w:type="character" w:customStyle="1" w:styleId="99">
    <w:name w:val="P正文 Char Char"/>
    <w:link w:val="98"/>
    <w:qFormat/>
    <w:uiPriority w:val="0"/>
    <w:rPr>
      <w:rFonts w:ascii="Times New Roman" w:hAnsi="Times New Roman" w:eastAsia="宋体" w:cs="Times New Roman"/>
      <w:kern w:val="2"/>
      <w:sz w:val="24"/>
      <w:szCs w:val="24"/>
    </w:rPr>
  </w:style>
  <w:style w:type="character" w:customStyle="1" w:styleId="100">
    <w:name w:val="未处理的提及1"/>
    <w:qFormat/>
    <w:uiPriority w:val="0"/>
    <w:rPr>
      <w:rFonts w:ascii="Times New Roman" w:hAnsi="Times New Roman" w:eastAsia="宋体" w:cs="Times New Roman"/>
      <w:color w:val="605E5C"/>
      <w:shd w:val="clear" w:color="auto" w:fill="E1DFDD"/>
    </w:rPr>
  </w:style>
  <w:style w:type="character" w:customStyle="1" w:styleId="101">
    <w:name w:val="正文文本 Char"/>
    <w:qFormat/>
    <w:uiPriority w:val="0"/>
    <w:rPr>
      <w:rFonts w:ascii="Times New Roman" w:hAnsi="Times New Roman" w:eastAsia="宋体" w:cs="Times New Roman"/>
      <w:kern w:val="2"/>
      <w:sz w:val="21"/>
      <w:szCs w:val="24"/>
    </w:rPr>
  </w:style>
  <w:style w:type="character" w:customStyle="1" w:styleId="102">
    <w:name w:val="批注文字 字符1"/>
    <w:qFormat/>
    <w:uiPriority w:val="0"/>
    <w:rPr>
      <w:rFonts w:ascii="Times New Roman" w:hAnsi="Times New Roman" w:eastAsia="宋体" w:cs="Times New Roman"/>
      <w:kern w:val="2"/>
      <w:sz w:val="21"/>
      <w:szCs w:val="24"/>
    </w:rPr>
  </w:style>
  <w:style w:type="paragraph" w:customStyle="1" w:styleId="103">
    <w:name w:val="标准正文格式"/>
    <w:basedOn w:val="1"/>
    <w:link w:val="10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4">
    <w:name w:val="标准正文格式 Char"/>
    <w:link w:val="103"/>
    <w:qFormat/>
    <w:uiPriority w:val="0"/>
    <w:rPr>
      <w:rFonts w:ascii="宋体" w:hAnsi="Times New Roman" w:eastAsia="仿宋_GB2312" w:cs="宋体"/>
      <w:color w:val="000000"/>
      <w:sz w:val="24"/>
    </w:rPr>
  </w:style>
  <w:style w:type="character" w:customStyle="1" w:styleId="105">
    <w:name w:val="px141"/>
    <w:qFormat/>
    <w:uiPriority w:val="0"/>
    <w:rPr>
      <w:rFonts w:ascii="Times New Roman" w:hAnsi="Times New Roman" w:eastAsia="宋体" w:cs="Times New Roman"/>
      <w:sz w:val="21"/>
      <w:szCs w:val="21"/>
    </w:rPr>
  </w:style>
  <w:style w:type="character" w:customStyle="1" w:styleId="106">
    <w:name w:val="font21"/>
    <w:qFormat/>
    <w:uiPriority w:val="0"/>
    <w:rPr>
      <w:rFonts w:hint="eastAsia" w:ascii="宋体" w:hAnsi="宋体" w:eastAsia="宋体" w:cs="宋体"/>
      <w:color w:val="000000"/>
      <w:sz w:val="18"/>
      <w:szCs w:val="18"/>
      <w:u w:val="none"/>
    </w:rPr>
  </w:style>
  <w:style w:type="character" w:customStyle="1" w:styleId="107">
    <w:name w:val="b2"/>
    <w:qFormat/>
    <w:uiPriority w:val="0"/>
    <w:rPr>
      <w:rFonts w:ascii="Times New Roman" w:hAnsi="Times New Roman" w:eastAsia="宋体" w:cs="Times New Roman"/>
    </w:rPr>
  </w:style>
  <w:style w:type="character" w:customStyle="1" w:styleId="108">
    <w:name w:val="font31"/>
    <w:basedOn w:val="38"/>
    <w:qFormat/>
    <w:uiPriority w:val="0"/>
    <w:rPr>
      <w:rFonts w:hint="eastAsia" w:ascii="宋体" w:hAnsi="宋体" w:eastAsia="宋体" w:cs="宋体"/>
      <w:color w:val="000000"/>
      <w:sz w:val="20"/>
      <w:szCs w:val="20"/>
      <w:u w:val="none"/>
    </w:rPr>
  </w:style>
  <w:style w:type="character" w:customStyle="1" w:styleId="109">
    <w:name w:val="font81"/>
    <w:qFormat/>
    <w:uiPriority w:val="0"/>
    <w:rPr>
      <w:rFonts w:hint="eastAsia" w:ascii="宋体" w:hAnsi="宋体" w:eastAsia="宋体" w:cs="宋体"/>
      <w:b/>
      <w:color w:val="000000"/>
      <w:sz w:val="22"/>
      <w:szCs w:val="22"/>
      <w:u w:val="none"/>
    </w:rPr>
  </w:style>
  <w:style w:type="character" w:customStyle="1" w:styleId="110">
    <w:name w:val="日期 Char1"/>
    <w:qFormat/>
    <w:uiPriority w:val="0"/>
    <w:rPr>
      <w:rFonts w:ascii="Times New Roman" w:hAnsi="Times New Roman" w:eastAsia="宋体" w:cs="Times New Roman"/>
      <w:kern w:val="2"/>
      <w:sz w:val="21"/>
      <w:szCs w:val="24"/>
    </w:rPr>
  </w:style>
  <w:style w:type="character" w:customStyle="1" w:styleId="111">
    <w:name w:val="标题2"/>
    <w:qFormat/>
    <w:uiPriority w:val="0"/>
    <w:rPr>
      <w:rFonts w:ascii="微软雅黑" w:hAnsi="微软雅黑" w:eastAsia="微软雅黑" w:cs="Times New Roman"/>
      <w:b/>
      <w:bCs/>
      <w:color w:val="0D0D0D"/>
      <w:sz w:val="24"/>
    </w:rPr>
  </w:style>
  <w:style w:type="character" w:customStyle="1" w:styleId="112">
    <w:name w:val="正文（首行缩进两字） Char1"/>
    <w:qFormat/>
    <w:uiPriority w:val="0"/>
    <w:rPr>
      <w:rFonts w:ascii="Times New Roman" w:hAnsi="Times New Roman" w:eastAsia="仿宋_GB2312" w:cs="Times New Roman"/>
      <w:kern w:val="2"/>
      <w:sz w:val="28"/>
      <w:szCs w:val="24"/>
    </w:rPr>
  </w:style>
  <w:style w:type="character" w:customStyle="1" w:styleId="113">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4">
    <w:name w:val="称呼 Char1"/>
    <w:qFormat/>
    <w:uiPriority w:val="0"/>
    <w:rPr>
      <w:rFonts w:ascii="Times New Roman" w:hAnsi="Times New Roman" w:eastAsia="宋体" w:cs="Times New Roman"/>
      <w:kern w:val="2"/>
      <w:sz w:val="21"/>
      <w:szCs w:val="24"/>
    </w:rPr>
  </w:style>
  <w:style w:type="character" w:customStyle="1" w:styleId="115">
    <w:name w:val="font101"/>
    <w:qFormat/>
    <w:uiPriority w:val="0"/>
    <w:rPr>
      <w:rFonts w:hint="eastAsia" w:ascii="宋体" w:hAnsi="宋体" w:eastAsia="宋体" w:cs="宋体"/>
      <w:b/>
      <w:color w:val="000000"/>
      <w:sz w:val="22"/>
      <w:szCs w:val="22"/>
      <w:u w:val="none"/>
    </w:rPr>
  </w:style>
  <w:style w:type="character" w:customStyle="1" w:styleId="116">
    <w:name w:val="页眉 Char1"/>
    <w:qFormat/>
    <w:uiPriority w:val="0"/>
    <w:rPr>
      <w:rFonts w:ascii="Times New Roman" w:hAnsi="Times New Roman" w:eastAsia="宋体" w:cs="Times New Roman"/>
      <w:color w:val="000000"/>
      <w:kern w:val="1"/>
      <w:sz w:val="18"/>
      <w:szCs w:val="18"/>
      <w:lang w:val="zh-CN"/>
    </w:rPr>
  </w:style>
  <w:style w:type="paragraph" w:customStyle="1" w:styleId="117">
    <w:name w:val="标书正文样式"/>
    <w:basedOn w:val="1"/>
    <w:link w:val="118"/>
    <w:qFormat/>
    <w:uiPriority w:val="0"/>
    <w:pPr>
      <w:ind w:firstLine="560" w:firstLineChars="200"/>
      <w:jc w:val="left"/>
    </w:pPr>
    <w:rPr>
      <w:rFonts w:ascii="仿宋_GB2312" w:hAnsi="Arial" w:eastAsia="仿宋_GB2312"/>
      <w:kern w:val="2"/>
      <w:sz w:val="28"/>
      <w:szCs w:val="28"/>
    </w:rPr>
  </w:style>
  <w:style w:type="character" w:customStyle="1" w:styleId="118">
    <w:name w:val="标书正文样式 Char"/>
    <w:link w:val="117"/>
    <w:qFormat/>
    <w:uiPriority w:val="0"/>
    <w:rPr>
      <w:rFonts w:ascii="仿宋_GB2312" w:hAnsi="Arial" w:eastAsia="仿宋_GB2312" w:cs="Times New Roman"/>
      <w:kern w:val="2"/>
      <w:sz w:val="28"/>
      <w:szCs w:val="28"/>
      <w:lang w:bidi="ar-SA"/>
    </w:rPr>
  </w:style>
  <w:style w:type="character" w:customStyle="1" w:styleId="119">
    <w:name w:val="font11"/>
    <w:qFormat/>
    <w:uiPriority w:val="0"/>
    <w:rPr>
      <w:rFonts w:hint="eastAsia" w:ascii="宋体" w:hAnsi="宋体" w:eastAsia="宋体" w:cs="宋体"/>
      <w:color w:val="000000"/>
      <w:sz w:val="22"/>
      <w:szCs w:val="22"/>
      <w:u w:val="none"/>
    </w:rPr>
  </w:style>
  <w:style w:type="character" w:customStyle="1" w:styleId="120">
    <w:name w:val="question-title2"/>
    <w:qFormat/>
    <w:uiPriority w:val="0"/>
    <w:rPr>
      <w:rFonts w:ascii="Times New Roman" w:hAnsi="Times New Roman" w:eastAsia="宋体" w:cs="Times New Roman"/>
    </w:rPr>
  </w:style>
  <w:style w:type="character" w:customStyle="1" w:styleId="121">
    <w:name w:val="纯文本 字符"/>
    <w:qFormat/>
    <w:uiPriority w:val="0"/>
    <w:rPr>
      <w:rFonts w:ascii="宋体" w:hAnsi="Courier New" w:eastAsia="宋体" w:cs="Times New Roman"/>
      <w:sz w:val="21"/>
      <w:szCs w:val="21"/>
      <w:lang w:val="en-US" w:eastAsia="zh-CN" w:bidi="ar-SA"/>
    </w:rPr>
  </w:style>
  <w:style w:type="character" w:customStyle="1" w:styleId="122">
    <w:name w:val="Char Char Char"/>
    <w:qFormat/>
    <w:uiPriority w:val="0"/>
    <w:rPr>
      <w:rFonts w:ascii="宋体" w:hAnsi="Courier New" w:eastAsia="宋体" w:cs="Times New Roman"/>
      <w:sz w:val="21"/>
      <w:szCs w:val="21"/>
      <w:lang w:val="en-US" w:eastAsia="zh-CN" w:bidi="ar-SA"/>
    </w:rPr>
  </w:style>
  <w:style w:type="paragraph" w:customStyle="1" w:styleId="123">
    <w:name w:val="无间隔1"/>
    <w:link w:val="12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4">
    <w:name w:val="无间隔 Char"/>
    <w:link w:val="123"/>
    <w:qFormat/>
    <w:uiPriority w:val="0"/>
    <w:rPr>
      <w:rFonts w:ascii="Times New Roman" w:hAnsi="Times New Roman" w:eastAsia="宋体" w:cs="Times New Roman"/>
      <w:sz w:val="24"/>
      <w:szCs w:val="24"/>
      <w:lang w:val="en-US" w:eastAsia="zh-CN" w:bidi="ar-SA"/>
    </w:rPr>
  </w:style>
  <w:style w:type="character" w:customStyle="1" w:styleId="125">
    <w:name w:val="Texte Char Char"/>
    <w:qFormat/>
    <w:uiPriority w:val="0"/>
    <w:rPr>
      <w:rFonts w:ascii="宋体" w:hAnsi="Courier New" w:eastAsia="宋体" w:cs="Times New Roman"/>
      <w:sz w:val="21"/>
      <w:szCs w:val="21"/>
      <w:lang w:val="en-US" w:eastAsia="zh-CN" w:bidi="ar-SA"/>
    </w:rPr>
  </w:style>
  <w:style w:type="character" w:customStyle="1" w:styleId="126">
    <w:name w:val="chs1"/>
    <w:qFormat/>
    <w:uiPriority w:val="0"/>
    <w:rPr>
      <w:rFonts w:hint="default" w:eastAsia="宋体" w:cs="Times New Roman"/>
      <w:sz w:val="18"/>
      <w:szCs w:val="18"/>
    </w:rPr>
  </w:style>
  <w:style w:type="paragraph" w:customStyle="1" w:styleId="127">
    <w:name w:val="样式 样式3 + 非加粗"/>
    <w:basedOn w:val="1"/>
    <w:link w:val="128"/>
    <w:qFormat/>
    <w:uiPriority w:val="0"/>
    <w:pPr>
      <w:adjustRightInd w:val="0"/>
      <w:snapToGrid w:val="0"/>
      <w:spacing w:line="300" w:lineRule="auto"/>
    </w:pPr>
    <w:rPr>
      <w:rFonts w:ascii="宋体" w:hAnsi="宋体"/>
      <w:b/>
      <w:bCs/>
      <w:color w:val="000000"/>
      <w:kern w:val="2"/>
      <w:sz w:val="24"/>
    </w:rPr>
  </w:style>
  <w:style w:type="character" w:customStyle="1" w:styleId="128">
    <w:name w:val="样式 样式3 + 非加粗 Char"/>
    <w:link w:val="127"/>
    <w:qFormat/>
    <w:uiPriority w:val="0"/>
    <w:rPr>
      <w:rFonts w:ascii="宋体" w:hAnsi="宋体" w:eastAsia="宋体" w:cs="Times New Roman"/>
      <w:b/>
      <w:bCs/>
      <w:color w:val="000000"/>
      <w:kern w:val="2"/>
      <w:sz w:val="24"/>
      <w:szCs w:val="24"/>
      <w:lang w:val="en-US" w:eastAsia="zh-CN" w:bidi="ar-SA"/>
    </w:rPr>
  </w:style>
  <w:style w:type="character" w:customStyle="1" w:styleId="129">
    <w:name w:val="aa1"/>
    <w:qFormat/>
    <w:uiPriority w:val="0"/>
    <w:rPr>
      <w:rFonts w:hint="default" w:eastAsia="宋体" w:cs="Times New Roman"/>
      <w:color w:val="000000"/>
      <w:sz w:val="20"/>
      <w:szCs w:val="20"/>
      <w:u w:val="none"/>
    </w:rPr>
  </w:style>
  <w:style w:type="paragraph" w:customStyle="1" w:styleId="130">
    <w:name w:val="招标正文"/>
    <w:basedOn w:val="1"/>
    <w:link w:val="131"/>
    <w:qFormat/>
    <w:uiPriority w:val="0"/>
    <w:pPr>
      <w:widowControl/>
      <w:spacing w:line="360" w:lineRule="auto"/>
      <w:ind w:firstLine="480" w:firstLineChars="200"/>
    </w:pPr>
    <w:rPr>
      <w:snapToGrid w:val="0"/>
      <w:sz w:val="24"/>
      <w:lang w:val="en-GB"/>
    </w:rPr>
  </w:style>
  <w:style w:type="character" w:customStyle="1" w:styleId="131">
    <w:name w:val="招标正文 Char Char"/>
    <w:link w:val="130"/>
    <w:qFormat/>
    <w:uiPriority w:val="0"/>
    <w:rPr>
      <w:rFonts w:ascii="Times New Roman" w:hAnsi="Times New Roman" w:eastAsia="宋体" w:cs="Times New Roman"/>
      <w:snapToGrid w:val="0"/>
      <w:sz w:val="24"/>
      <w:szCs w:val="24"/>
      <w:lang w:val="en-GB" w:bidi="ar-SA"/>
    </w:rPr>
  </w:style>
  <w:style w:type="character" w:customStyle="1" w:styleId="132">
    <w:name w:val="textfont"/>
    <w:qFormat/>
    <w:uiPriority w:val="0"/>
    <w:rPr>
      <w:rFonts w:ascii="Times New Roman" w:hAnsi="Times New Roman" w:eastAsia="宋体" w:cs="Times New Roman"/>
    </w:rPr>
  </w:style>
  <w:style w:type="character" w:customStyle="1" w:styleId="133">
    <w:name w:val="称呼 字符1"/>
    <w:qFormat/>
    <w:uiPriority w:val="0"/>
    <w:rPr>
      <w:rFonts w:ascii="Times New Roman" w:hAnsi="Times New Roman" w:eastAsia="宋体" w:cs="Times New Roman"/>
      <w:kern w:val="2"/>
      <w:sz w:val="21"/>
      <w:szCs w:val="24"/>
    </w:rPr>
  </w:style>
  <w:style w:type="character" w:customStyle="1" w:styleId="134">
    <w:name w:val="标题 Char1"/>
    <w:qFormat/>
    <w:uiPriority w:val="0"/>
    <w:rPr>
      <w:rFonts w:ascii="Calibri Light" w:hAnsi="Calibri Light" w:eastAsia="宋体" w:cs="Times New Roman"/>
      <w:b/>
      <w:bCs/>
      <w:kern w:val="2"/>
      <w:sz w:val="32"/>
      <w:szCs w:val="32"/>
    </w:rPr>
  </w:style>
  <w:style w:type="character" w:customStyle="1" w:styleId="135">
    <w:name w:val="unnamed51"/>
    <w:qFormat/>
    <w:uiPriority w:val="0"/>
    <w:rPr>
      <w:rFonts w:ascii="Times New Roman" w:hAnsi="Times New Roman" w:eastAsia="宋体" w:cs="Times New Roman"/>
      <w:sz w:val="22"/>
      <w:szCs w:val="22"/>
    </w:rPr>
  </w:style>
  <w:style w:type="character" w:customStyle="1" w:styleId="136">
    <w:name w:val="title1"/>
    <w:qFormat/>
    <w:uiPriority w:val="0"/>
    <w:rPr>
      <w:rFonts w:hint="eastAsia" w:ascii="宋体" w:hAnsi="宋体" w:eastAsia="宋体" w:cs="Times New Roman"/>
      <w:b/>
      <w:bCs/>
      <w:sz w:val="22"/>
      <w:szCs w:val="22"/>
    </w:rPr>
  </w:style>
  <w:style w:type="character" w:customStyle="1" w:styleId="137">
    <w:name w:val="15"/>
    <w:qFormat/>
    <w:uiPriority w:val="0"/>
    <w:rPr>
      <w:rFonts w:hint="default" w:ascii="Times New Roman" w:hAnsi="Times New Roman" w:eastAsia="宋体" w:cs="Times New Roman"/>
      <w:b/>
      <w:bCs/>
      <w:spacing w:val="-2"/>
      <w:sz w:val="24"/>
      <w:szCs w:val="24"/>
    </w:rPr>
  </w:style>
  <w:style w:type="character" w:customStyle="1" w:styleId="138">
    <w:name w:val="font51"/>
    <w:qFormat/>
    <w:uiPriority w:val="0"/>
    <w:rPr>
      <w:rFonts w:hint="eastAsia" w:ascii="宋体" w:hAnsi="宋体" w:eastAsia="宋体" w:cs="宋体"/>
      <w:color w:val="000000"/>
      <w:sz w:val="22"/>
      <w:szCs w:val="22"/>
      <w:u w:val="none"/>
    </w:rPr>
  </w:style>
  <w:style w:type="character" w:customStyle="1" w:styleId="139">
    <w:name w:val="font01"/>
    <w:qFormat/>
    <w:uiPriority w:val="0"/>
    <w:rPr>
      <w:rFonts w:hint="eastAsia" w:ascii="宋体" w:hAnsi="宋体" w:eastAsia="宋体" w:cs="宋体"/>
      <w:b/>
      <w:color w:val="000000"/>
      <w:sz w:val="28"/>
      <w:szCs w:val="28"/>
      <w:u w:val="none"/>
    </w:rPr>
  </w:style>
  <w:style w:type="character" w:customStyle="1" w:styleId="140">
    <w:name w:val="bt11"/>
    <w:qFormat/>
    <w:uiPriority w:val="0"/>
    <w:rPr>
      <w:rFonts w:ascii="Times New Roman" w:hAnsi="Times New Roman" w:eastAsia="仿宋_GB2312" w:cs="Times New Roman"/>
      <w:b/>
      <w:color w:val="000000"/>
      <w:sz w:val="30"/>
      <w:szCs w:val="20"/>
      <w:u w:val="none"/>
    </w:rPr>
  </w:style>
  <w:style w:type="character" w:customStyle="1" w:styleId="141">
    <w:name w:val="f16b1"/>
    <w:qFormat/>
    <w:uiPriority w:val="0"/>
    <w:rPr>
      <w:rFonts w:ascii="Times New Roman" w:hAnsi="Times New Roman" w:eastAsia="宋体" w:cs="Times New Roman"/>
      <w:b/>
      <w:bCs/>
      <w:color w:val="333333"/>
      <w:sz w:val="22"/>
      <w:szCs w:val="22"/>
    </w:rPr>
  </w:style>
  <w:style w:type="character" w:customStyle="1" w:styleId="142">
    <w:name w:val="纯文本 Char1"/>
    <w:qFormat/>
    <w:uiPriority w:val="0"/>
    <w:rPr>
      <w:rFonts w:ascii="宋体" w:hAnsi="Courier New" w:eastAsia="宋体" w:cs="Times New Roman"/>
      <w:sz w:val="21"/>
      <w:szCs w:val="21"/>
      <w:lang w:val="en-US" w:eastAsia="zh-CN" w:bidi="ar-SA"/>
    </w:rPr>
  </w:style>
  <w:style w:type="character" w:customStyle="1" w:styleId="143">
    <w:name w:val="普通文字 Char"/>
    <w:qFormat/>
    <w:uiPriority w:val="0"/>
    <w:rPr>
      <w:rFonts w:ascii="宋体" w:hAnsi="Courier New" w:eastAsia="宋体" w:cs="Times New Roman"/>
      <w:kern w:val="2"/>
      <w:sz w:val="21"/>
      <w:lang w:bidi="ar-SA"/>
    </w:rPr>
  </w:style>
  <w:style w:type="character" w:customStyle="1" w:styleId="144">
    <w:name w:val="style13"/>
    <w:qFormat/>
    <w:uiPriority w:val="0"/>
    <w:rPr>
      <w:rFonts w:ascii="Times New Roman" w:hAnsi="Times New Roman" w:eastAsia="宋体" w:cs="Times New Roman"/>
    </w:rPr>
  </w:style>
  <w:style w:type="character" w:customStyle="1" w:styleId="145">
    <w:name w:val="font61"/>
    <w:qFormat/>
    <w:uiPriority w:val="0"/>
    <w:rPr>
      <w:rFonts w:hint="eastAsia" w:ascii="宋体" w:hAnsi="宋体" w:eastAsia="宋体" w:cs="宋体"/>
      <w:color w:val="000000"/>
      <w:sz w:val="22"/>
      <w:szCs w:val="22"/>
      <w:u w:val="none"/>
    </w:rPr>
  </w:style>
  <w:style w:type="paragraph" w:customStyle="1" w:styleId="1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7">
    <w:name w:val="Char2"/>
    <w:basedOn w:val="15"/>
    <w:next w:val="1"/>
    <w:qFormat/>
    <w:uiPriority w:val="0"/>
    <w:rPr>
      <w:rFonts w:ascii="宋体" w:hAnsi="宋体"/>
    </w:rPr>
  </w:style>
  <w:style w:type="paragraph" w:customStyle="1" w:styleId="148">
    <w:name w:val="正文2"/>
    <w:basedOn w:val="1"/>
    <w:qFormat/>
    <w:uiPriority w:val="0"/>
    <w:pPr>
      <w:spacing w:before="156" w:line="360" w:lineRule="auto"/>
      <w:ind w:firstLine="510" w:firstLineChars="200"/>
    </w:pPr>
    <w:rPr>
      <w:sz w:val="24"/>
      <w:szCs w:val="20"/>
    </w:rPr>
  </w:style>
  <w:style w:type="paragraph" w:customStyle="1" w:styleId="149">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0">
    <w:name w:val="1111"/>
    <w:basedOn w:val="1"/>
    <w:qFormat/>
    <w:uiPriority w:val="0"/>
    <w:rPr>
      <w:rFonts w:ascii="Calibri" w:hAnsi="Calibri"/>
      <w:sz w:val="18"/>
    </w:rPr>
  </w:style>
  <w:style w:type="paragraph" w:customStyle="1" w:styleId="151">
    <w:name w:val="Char Char Char1"/>
    <w:basedOn w:val="1"/>
    <w:qFormat/>
    <w:uiPriority w:val="0"/>
    <w:rPr>
      <w:rFonts w:ascii="Tahoma" w:hAnsi="Tahoma"/>
      <w:sz w:val="24"/>
      <w:szCs w:val="20"/>
    </w:rPr>
  </w:style>
  <w:style w:type="paragraph" w:customStyle="1" w:styleId="152">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3">
    <w:name w:val="_Style 13"/>
    <w:basedOn w:val="1"/>
    <w:next w:val="92"/>
    <w:qFormat/>
    <w:uiPriority w:val="0"/>
    <w:pPr>
      <w:ind w:firstLine="420"/>
    </w:pPr>
    <w:rPr>
      <w:rFonts w:ascii="Calibri" w:hAnsi="Calibri"/>
      <w:color w:val="000000"/>
      <w:kern w:val="1"/>
    </w:rPr>
  </w:style>
  <w:style w:type="paragraph" w:customStyle="1" w:styleId="15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5">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6">
    <w:name w:val="table_1stline"/>
    <w:basedOn w:val="1"/>
    <w:qFormat/>
    <w:uiPriority w:val="0"/>
    <w:pPr>
      <w:widowControl/>
      <w:spacing w:before="120"/>
      <w:jc w:val="left"/>
    </w:pPr>
    <w:rPr>
      <w:bCs/>
      <w:sz w:val="20"/>
      <w:szCs w:val="20"/>
      <w:lang w:val="de-DE" w:eastAsia="de-DE"/>
    </w:rPr>
  </w:style>
  <w:style w:type="paragraph" w:customStyle="1" w:styleId="157">
    <w:name w:val="附录项目"/>
    <w:basedOn w:val="7"/>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8">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59">
    <w:name w:val="题注4"/>
    <w:basedOn w:val="1"/>
    <w:next w:val="13"/>
    <w:qFormat/>
    <w:uiPriority w:val="0"/>
    <w:pPr>
      <w:ind w:left="-132" w:leftChars="-64" w:right="-105" w:hanging="2"/>
      <w:jc w:val="center"/>
    </w:pPr>
    <w:rPr>
      <w:rFonts w:ascii="宋体"/>
      <w:b/>
      <w:color w:val="FF0000"/>
      <w:sz w:val="24"/>
      <w:szCs w:val="20"/>
      <w:lang w:val="en-GB"/>
    </w:rPr>
  </w:style>
  <w:style w:type="paragraph" w:customStyle="1" w:styleId="160">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1">
    <w:name w:val="[Normal]"/>
    <w:qFormat/>
    <w:uiPriority w:val="0"/>
    <w:rPr>
      <w:rFonts w:ascii="宋体" w:hAnsi="宋体" w:eastAsia="宋体" w:cs="Times New Roman"/>
      <w:sz w:val="24"/>
      <w:szCs w:val="22"/>
      <w:lang w:val="zh-CN" w:eastAsia="zh-CN" w:bidi="ar-SA"/>
    </w:rPr>
  </w:style>
  <w:style w:type="paragraph" w:customStyle="1" w:styleId="162">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3">
    <w:name w:val="正文内容"/>
    <w:basedOn w:val="1"/>
    <w:qFormat/>
    <w:uiPriority w:val="0"/>
    <w:pPr>
      <w:jc w:val="left"/>
    </w:pPr>
    <w:rPr>
      <w:rFonts w:ascii="微软雅黑" w:hAnsi="微软雅黑" w:eastAsia="微软雅黑" w:cs="宋体"/>
      <w:color w:val="0D0D0D"/>
      <w:sz w:val="18"/>
      <w:szCs w:val="18"/>
    </w:rPr>
  </w:style>
  <w:style w:type="paragraph" w:customStyle="1" w:styleId="164">
    <w:name w:val="彩色列表1"/>
    <w:basedOn w:val="1"/>
    <w:qFormat/>
    <w:uiPriority w:val="0"/>
    <w:pPr>
      <w:ind w:firstLine="420" w:firstLineChars="200"/>
    </w:pPr>
    <w:rPr>
      <w:rFonts w:ascii="Calibri" w:hAnsi="Calibri"/>
    </w:rPr>
  </w:style>
  <w:style w:type="paragraph" w:customStyle="1" w:styleId="165">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6">
    <w:name w:val="Char Char Char Char Char Char Char Char Char Char Char Char Char"/>
    <w:basedOn w:val="1"/>
    <w:qFormat/>
    <w:uiPriority w:val="0"/>
    <w:rPr>
      <w:rFonts w:ascii="Tahoma" w:hAnsi="Tahoma"/>
      <w:sz w:val="24"/>
      <w:szCs w:val="20"/>
    </w:rPr>
  </w:style>
  <w:style w:type="paragraph" w:customStyle="1" w:styleId="167">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8">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69">
    <w:name w:val="列出段落1"/>
    <w:basedOn w:val="1"/>
    <w:qFormat/>
    <w:uiPriority w:val="0"/>
    <w:pPr>
      <w:ind w:firstLine="420" w:firstLineChars="200"/>
    </w:pPr>
    <w:rPr>
      <w:rFonts w:ascii="Calibri" w:hAnsi="Calibri"/>
      <w:szCs w:val="20"/>
    </w:rPr>
  </w:style>
  <w:style w:type="paragraph" w:customStyle="1" w:styleId="170">
    <w:name w:val="Char"/>
    <w:basedOn w:val="1"/>
    <w:qFormat/>
    <w:uiPriority w:val="0"/>
    <w:rPr>
      <w:rFonts w:eastAsia="仿宋_GB2312"/>
      <w:sz w:val="28"/>
    </w:rPr>
  </w:style>
  <w:style w:type="paragraph" w:customStyle="1" w:styleId="171">
    <w:name w:val="Char Char Char Char Char Char Char"/>
    <w:basedOn w:val="1"/>
    <w:qFormat/>
    <w:uiPriority w:val="0"/>
    <w:rPr>
      <w:rFonts w:ascii="仿宋_GB2312" w:eastAsia="仿宋_GB2312"/>
      <w:b/>
      <w:sz w:val="32"/>
      <w:szCs w:val="32"/>
    </w:rPr>
  </w:style>
  <w:style w:type="paragraph" w:customStyle="1" w:styleId="1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3">
    <w:name w:val="正文－恩普"/>
    <w:basedOn w:val="12"/>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4">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5">
    <w:name w:val="Char4"/>
    <w:basedOn w:val="1"/>
    <w:qFormat/>
    <w:uiPriority w:val="0"/>
    <w:rPr>
      <w:szCs w:val="20"/>
    </w:rPr>
  </w:style>
  <w:style w:type="paragraph" w:customStyle="1" w:styleId="17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7">
    <w:name w:val="默认段落字体 Para Char"/>
    <w:basedOn w:val="1"/>
    <w:qFormat/>
    <w:uiPriority w:val="0"/>
    <w:rPr>
      <w:rFonts w:ascii="Calibri" w:hAnsi="Calibri"/>
      <w:szCs w:val="20"/>
    </w:rPr>
  </w:style>
  <w:style w:type="paragraph" w:customStyle="1" w:styleId="178">
    <w:name w:val="行间12_5号"/>
    <w:basedOn w:val="1"/>
    <w:qFormat/>
    <w:uiPriority w:val="0"/>
    <w:pPr>
      <w:adjustRightInd w:val="0"/>
      <w:spacing w:line="240" w:lineRule="exact"/>
      <w:jc w:val="center"/>
      <w:textAlignment w:val="baseline"/>
    </w:pPr>
    <w:rPr>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Char3"/>
    <w:basedOn w:val="15"/>
    <w:qFormat/>
    <w:uiPriority w:val="0"/>
  </w:style>
  <w:style w:type="paragraph" w:customStyle="1" w:styleId="181">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 Char Char Char Char Char"/>
    <w:basedOn w:val="1"/>
    <w:qFormat/>
    <w:uiPriority w:val="0"/>
    <w:rPr>
      <w:rFonts w:ascii="Tahoma" w:hAnsi="Tahoma"/>
      <w:sz w:val="24"/>
      <w:szCs w:val="20"/>
    </w:rPr>
  </w:style>
  <w:style w:type="paragraph" w:customStyle="1" w:styleId="184">
    <w:name w:val="表内文字"/>
    <w:basedOn w:val="1"/>
    <w:qFormat/>
    <w:uiPriority w:val="0"/>
    <w:pPr>
      <w:spacing w:line="240" w:lineRule="atLeast"/>
      <w:jc w:val="center"/>
    </w:pPr>
    <w:rPr>
      <w:rFonts w:ascii="Arial" w:hAnsi="Arial" w:cs="Arial"/>
      <w:b/>
      <w:bCs/>
    </w:rPr>
  </w:style>
  <w:style w:type="paragraph" w:customStyle="1" w:styleId="185">
    <w:name w:val="Char Char"/>
    <w:basedOn w:val="1"/>
    <w:qFormat/>
    <w:uiPriority w:val="0"/>
    <w:rPr>
      <w:rFonts w:ascii="仿宋_GB2312" w:eastAsia="仿宋_GB2312"/>
      <w:b/>
      <w:sz w:val="32"/>
      <w:szCs w:val="32"/>
    </w:rPr>
  </w:style>
  <w:style w:type="paragraph" w:customStyle="1" w:styleId="186">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 Char Char Char Char Char1"/>
    <w:basedOn w:val="1"/>
    <w:qFormat/>
    <w:uiPriority w:val="0"/>
    <w:pPr>
      <w:ind w:firstLine="200" w:firstLineChars="200"/>
    </w:pPr>
    <w:rPr>
      <w:rFonts w:ascii="Tahoma" w:hAnsi="Tahoma" w:cs="Tahoma"/>
      <w:sz w:val="24"/>
    </w:rPr>
  </w:style>
  <w:style w:type="paragraph" w:customStyle="1" w:styleId="189">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0">
    <w:name w:val="默认段落字体 Para Char Char Char Char Char Char Char"/>
    <w:basedOn w:val="1"/>
    <w:qFormat/>
    <w:uiPriority w:val="0"/>
    <w:rPr>
      <w:rFonts w:ascii="Tahoma" w:hAnsi="Tahoma"/>
      <w:sz w:val="24"/>
      <w:szCs w:val="20"/>
    </w:rPr>
  </w:style>
  <w:style w:type="paragraph" w:customStyle="1" w:styleId="191">
    <w:name w:val="Char Char2 Char"/>
    <w:basedOn w:val="1"/>
    <w:qFormat/>
    <w:uiPriority w:val="0"/>
    <w:pPr>
      <w:keepNext/>
      <w:keepLines/>
      <w:pageBreakBefore/>
      <w:tabs>
        <w:tab w:val="left" w:pos="845"/>
      </w:tabs>
      <w:ind w:left="845" w:hanging="420"/>
    </w:pPr>
    <w:rPr>
      <w:szCs w:val="20"/>
    </w:rPr>
  </w:style>
  <w:style w:type="paragraph" w:customStyle="1" w:styleId="192">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3">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4">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5">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6">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7">
    <w:name w:val="默认段落字体 Para Char Char Char Char"/>
    <w:basedOn w:val="1"/>
    <w:qFormat/>
    <w:uiPriority w:val="0"/>
    <w:rPr>
      <w:sz w:val="32"/>
      <w:szCs w:val="32"/>
    </w:rPr>
  </w:style>
  <w:style w:type="paragraph" w:customStyle="1" w:styleId="198">
    <w:name w:val="保留正文"/>
    <w:basedOn w:val="18"/>
    <w:qFormat/>
    <w:uiPriority w:val="0"/>
    <w:pPr>
      <w:keepNext/>
      <w:spacing w:after="160"/>
    </w:pPr>
    <w:rPr>
      <w:szCs w:val="20"/>
    </w:rPr>
  </w:style>
  <w:style w:type="character" w:customStyle="1" w:styleId="199">
    <w:name w:val="正文文本 字符"/>
    <w:qFormat/>
    <w:uiPriority w:val="99"/>
    <w:rPr>
      <w:rFonts w:ascii="Times New Roman" w:hAnsi="Times New Roman" w:eastAsia="宋体" w:cs="Times New Roman"/>
      <w:kern w:val="2"/>
      <w:sz w:val="21"/>
      <w:szCs w:val="24"/>
    </w:rPr>
  </w:style>
  <w:style w:type="character" w:customStyle="1" w:styleId="200">
    <w:name w:val="日期 字符"/>
    <w:qFormat/>
    <w:uiPriority w:val="0"/>
    <w:rPr>
      <w:rFonts w:ascii="Times New Roman" w:hAnsi="Times New Roman" w:eastAsia="宋体" w:cs="Times New Roman"/>
      <w:color w:val="000000"/>
      <w:kern w:val="1"/>
      <w:sz w:val="30"/>
    </w:rPr>
  </w:style>
  <w:style w:type="character" w:customStyle="1" w:styleId="201">
    <w:name w:val="批注文字 字符"/>
    <w:qFormat/>
    <w:uiPriority w:val="0"/>
    <w:rPr>
      <w:rFonts w:ascii="Times New Roman" w:hAnsi="Times New Roman" w:eastAsia="宋体" w:cs="Times New Roman"/>
      <w:kern w:val="2"/>
      <w:sz w:val="21"/>
      <w:szCs w:val="24"/>
    </w:rPr>
  </w:style>
  <w:style w:type="character" w:customStyle="1" w:styleId="202">
    <w:name w:val="NormalCharacter"/>
    <w:qFormat/>
    <w:uiPriority w:val="0"/>
    <w:rPr>
      <w:rFonts w:ascii="Times New Roman" w:hAnsi="Times New Roman" w:eastAsia="宋体" w:cs="Times New Roman"/>
    </w:rPr>
  </w:style>
  <w:style w:type="paragraph" w:customStyle="1" w:styleId="203">
    <w:name w:val="列出段落3"/>
    <w:basedOn w:val="1"/>
    <w:qFormat/>
    <w:uiPriority w:val="0"/>
    <w:pPr>
      <w:ind w:firstLine="420" w:firstLineChars="200"/>
    </w:pPr>
    <w:rPr>
      <w:rFonts w:ascii="Arial" w:hAnsi="Arial" w:cs="Arial"/>
      <w:kern w:val="2"/>
    </w:rPr>
  </w:style>
  <w:style w:type="paragraph" w:customStyle="1" w:styleId="20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5">
    <w:name w:val="修订1"/>
    <w:qFormat/>
    <w:uiPriority w:val="0"/>
    <w:rPr>
      <w:rFonts w:ascii="Times New Roman" w:hAnsi="Times New Roman" w:eastAsia="宋体" w:cs="Times New Roman"/>
      <w:sz w:val="21"/>
      <w:szCs w:val="24"/>
      <w:lang w:val="en-US" w:eastAsia="zh-CN" w:bidi="ar-SA"/>
    </w:rPr>
  </w:style>
  <w:style w:type="character" w:customStyle="1" w:styleId="206">
    <w:name w:val="标题 4 字符1"/>
    <w:qFormat/>
    <w:uiPriority w:val="0"/>
    <w:rPr>
      <w:rFonts w:ascii="Calibri" w:hAnsi="Calibri" w:eastAsia="Tahoma"/>
      <w:b/>
      <w:sz w:val="24"/>
      <w:lang w:val="zh-CN"/>
    </w:rPr>
  </w:style>
  <w:style w:type="paragraph" w:styleId="207">
    <w:name w:val="List Paragraph"/>
    <w:basedOn w:val="1"/>
    <w:qFormat/>
    <w:uiPriority w:val="0"/>
    <w:pPr>
      <w:ind w:firstLine="420" w:firstLineChars="200"/>
    </w:pPr>
  </w:style>
  <w:style w:type="paragraph" w:customStyle="1" w:styleId="208">
    <w:name w:val="修订2"/>
    <w:hidden/>
    <w:semiHidden/>
    <w:qFormat/>
    <w:uiPriority w:val="99"/>
    <w:rPr>
      <w:rFonts w:ascii="Times New Roman" w:hAnsi="Times New Roman" w:eastAsia="宋体" w:cs="Times New Roman"/>
      <w:sz w:val="21"/>
      <w:szCs w:val="24"/>
      <w:lang w:val="en-US" w:eastAsia="zh-CN" w:bidi="ar-SA"/>
    </w:rPr>
  </w:style>
  <w:style w:type="paragraph" w:customStyle="1" w:styleId="209">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0">
    <w:name w:val="未处理的提及2"/>
    <w:basedOn w:val="38"/>
    <w:semiHidden/>
    <w:unhideWhenUsed/>
    <w:qFormat/>
    <w:uiPriority w:val="99"/>
    <w:rPr>
      <w:color w:val="605E5C"/>
      <w:shd w:val="clear" w:color="auto" w:fill="E1DFDD"/>
    </w:rPr>
  </w:style>
  <w:style w:type="character" w:customStyle="1" w:styleId="211">
    <w:name w:val="font71"/>
    <w:basedOn w:val="38"/>
    <w:qFormat/>
    <w:uiPriority w:val="0"/>
    <w:rPr>
      <w:rFonts w:hint="default" w:ascii="华文仿宋" w:hAnsi="华文仿宋" w:eastAsia="华文仿宋" w:cs="华文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F511-B984-492B-8C05-48868E9BC3F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8277</Words>
  <Characters>47179</Characters>
  <Lines>393</Lines>
  <Paragraphs>110</Paragraphs>
  <TotalTime>20</TotalTime>
  <ScaleCrop>false</ScaleCrop>
  <LinksUpToDate>false</LinksUpToDate>
  <CharactersWithSpaces>55346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2023-07-11T01:17:00Z</dcterms:created>
  <dc:creator>hp</dc:creator>
  <cp:lastModifiedBy>liuhuicong</cp:lastModifiedBy>
  <cp:lastPrinted>2023-07-31T07:34:00Z</cp:lastPrinted>
  <dcterms:modified xsi:type="dcterms:W3CDTF">2023-08-04T01:16:32Z</dcterms:modified>
  <dc:title>温州市政府（分散）采购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805E8ECCEC054F5A984A047DE9802CA1_13</vt:lpwstr>
  </property>
  <property fmtid="{D5CDD505-2E9C-101B-9397-08002B2CF9AE}" pid="4" name="commondata">
    <vt:lpwstr>eyJoZGlkIjoiOWM2Y2JhMGEwNDg2YWY5ZDY5NjJlZDgyM2VkMjhhNTMifQ==</vt:lpwstr>
  </property>
</Properties>
</file>