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p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3484"/>
        <w:gridCol w:w="1418"/>
        <w:gridCol w:w="1721"/>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38" w:type="dxa"/>
            <w:tcBorders>
              <w:tl2br w:val="nil"/>
              <w:tr2bl w:val="nil"/>
            </w:tcBorders>
            <w:tcMar>
              <w:top w:w="0" w:type="dxa"/>
              <w:left w:w="108" w:type="dxa"/>
              <w:bottom w:w="0" w:type="dxa"/>
              <w:right w:w="108" w:type="dxa"/>
            </w:tcMar>
            <w:vAlign w:val="center"/>
          </w:tcPr>
          <w:p>
            <w:pPr>
              <w:spacing w:line="37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序号</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项目内容</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1721"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预算金额(元)</w:t>
            </w:r>
          </w:p>
        </w:tc>
        <w:tc>
          <w:tcPr>
            <w:tcW w:w="2093"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038"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cs="宋体"/>
                <w:color w:val="auto"/>
                <w:sz w:val="22"/>
                <w:highlight w:val="none"/>
              </w:rPr>
            </w:pPr>
            <w:r>
              <w:rPr>
                <w:rFonts w:hint="eastAsia" w:ascii="宋体" w:hAnsi="宋体" w:cs="宋体"/>
                <w:color w:val="auto"/>
                <w:kern w:val="0"/>
                <w:sz w:val="22"/>
                <w:highlight w:val="none"/>
                <w:lang w:val="zh-CN"/>
              </w:rPr>
              <w:t xml:space="preserve">多媒体设备维保(2024年） </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cs="宋体"/>
                <w:color w:val="auto"/>
                <w:sz w:val="22"/>
                <w:highlight w:val="none"/>
              </w:rPr>
            </w:pPr>
            <w:r>
              <w:rPr>
                <w:rFonts w:hint="eastAsia" w:ascii="宋体" w:hAnsi="宋体" w:cs="宋体"/>
                <w:color w:val="auto"/>
                <w:sz w:val="22"/>
                <w:highlight w:val="none"/>
              </w:rPr>
              <w:t>1批</w:t>
            </w:r>
          </w:p>
        </w:tc>
        <w:tc>
          <w:tcPr>
            <w:tcW w:w="1721" w:type="dxa"/>
            <w:tcBorders>
              <w:tl2br w:val="nil"/>
              <w:tr2bl w:val="nil"/>
            </w:tcBorders>
            <w:tcMar>
              <w:top w:w="0" w:type="dxa"/>
              <w:left w:w="108" w:type="dxa"/>
              <w:bottom w:w="0" w:type="dxa"/>
              <w:right w:w="108" w:type="dxa"/>
            </w:tcMar>
            <w:vAlign w:val="center"/>
          </w:tcPr>
          <w:p>
            <w:pPr>
              <w:spacing w:line="340" w:lineRule="exact"/>
              <w:jc w:val="center"/>
              <w:rPr>
                <w:rFonts w:hint="eastAsia" w:ascii="宋体" w:hAnsi="宋体" w:cs="宋体"/>
                <w:color w:val="auto"/>
                <w:sz w:val="22"/>
                <w:highlight w:val="none"/>
              </w:rPr>
            </w:pPr>
            <w:r>
              <w:rPr>
                <w:rFonts w:hint="eastAsia" w:ascii="宋体" w:hAnsi="宋体" w:eastAsia="宋体" w:cs="宋体"/>
                <w:color w:val="auto"/>
                <w:sz w:val="22"/>
                <w:szCs w:val="22"/>
                <w:highlight w:val="none"/>
              </w:rPr>
              <w:t>291000</w:t>
            </w:r>
          </w:p>
        </w:tc>
        <w:tc>
          <w:tcPr>
            <w:tcW w:w="2093" w:type="dxa"/>
            <w:tcBorders>
              <w:tl2br w:val="nil"/>
              <w:tr2bl w:val="nil"/>
            </w:tcBorders>
            <w:tcMar>
              <w:top w:w="0" w:type="dxa"/>
              <w:left w:w="108" w:type="dxa"/>
              <w:bottom w:w="0" w:type="dxa"/>
              <w:right w:w="108" w:type="dxa"/>
            </w:tcMar>
            <w:vAlign w:val="center"/>
          </w:tcPr>
          <w:p>
            <w:pPr>
              <w:spacing w:line="370" w:lineRule="exact"/>
              <w:jc w:val="left"/>
              <w:rPr>
                <w:rFonts w:hint="eastAsia" w:ascii="宋体" w:hAnsi="宋体" w:cs="宋体"/>
                <w:color w:val="auto"/>
                <w:kern w:val="0"/>
                <w:sz w:val="22"/>
                <w:highlight w:val="none"/>
              </w:rPr>
            </w:pPr>
          </w:p>
        </w:tc>
      </w:tr>
    </w:tbl>
    <w:p>
      <w:pPr>
        <w:numPr>
          <w:ilvl w:val="0"/>
          <w:numId w:val="1"/>
        </w:numPr>
        <w:spacing w:line="360" w:lineRule="exact"/>
        <w:ind w:left="0" w:leftChars="0" w:firstLine="0" w:firstLineChars="0"/>
        <w:outlineLvl w:val="0"/>
        <w:rPr>
          <w:rFonts w:hint="eastAsia" w:ascii="宋体" w:hAnsi="宋体" w:cs="宋体"/>
          <w:b/>
          <w:color w:val="auto"/>
          <w:spacing w:val="-6"/>
          <w:sz w:val="22"/>
          <w:highlight w:val="none"/>
        </w:rPr>
      </w:pPr>
      <w:r>
        <w:rPr>
          <w:rFonts w:hint="eastAsia" w:ascii="宋体" w:hAnsi="宋体" w:cs="宋体"/>
          <w:b/>
          <w:color w:val="auto"/>
          <w:spacing w:val="-6"/>
          <w:sz w:val="22"/>
          <w:highlight w:val="none"/>
        </w:rPr>
        <w:t>商务要求（技术要求里另有注明的以技术要求为准）</w:t>
      </w:r>
    </w:p>
    <w:tbl>
      <w:tblPr>
        <w:tblStyle w:val="8"/>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7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1602" w:type="dxa"/>
            <w:vAlign w:val="center"/>
          </w:tcPr>
          <w:p>
            <w:pPr>
              <w:spacing w:line="360" w:lineRule="exact"/>
              <w:rPr>
                <w:rFonts w:hint="eastAsia" w:ascii="宋体" w:hAnsi="宋体" w:eastAsia="宋体" w:cs="宋体"/>
                <w:color w:val="auto"/>
                <w:spacing w:val="-6"/>
                <w:sz w:val="22"/>
                <w:szCs w:val="22"/>
                <w:highlight w:val="none"/>
                <w:u w:val="single"/>
                <w:lang w:val="en-US" w:eastAsia="zh-CN"/>
              </w:rPr>
            </w:pPr>
            <w:r>
              <w:rPr>
                <w:rFonts w:hint="eastAsia" w:ascii="宋体" w:hAnsi="宋体" w:cs="宋体"/>
                <w:bCs/>
                <w:color w:val="auto"/>
                <w:spacing w:val="-6"/>
                <w:sz w:val="22"/>
                <w:highlight w:val="none"/>
                <w:u w:val="single"/>
              </w:rPr>
              <w:t>▲履约保证金及</w:t>
            </w:r>
            <w:r>
              <w:rPr>
                <w:rFonts w:hint="eastAsia" w:ascii="宋体" w:hAnsi="宋体" w:cs="宋体"/>
                <w:bCs/>
                <w:color w:val="auto"/>
                <w:sz w:val="22"/>
                <w:highlight w:val="none"/>
                <w:u w:val="single"/>
              </w:rPr>
              <w:t>付款条件</w:t>
            </w:r>
          </w:p>
        </w:tc>
        <w:tc>
          <w:tcPr>
            <w:tcW w:w="7867" w:type="dxa"/>
            <w:vAlign w:val="center"/>
          </w:tcPr>
          <w:p>
            <w:pPr>
              <w:spacing w:line="360" w:lineRule="auto"/>
              <w:jc w:val="left"/>
              <w:rPr>
                <w:rFonts w:ascii="宋体" w:hAnsi="宋体" w:cs="宋体"/>
                <w:bCs/>
                <w:snapToGrid w:val="0"/>
                <w:color w:val="auto"/>
                <w:kern w:val="0"/>
                <w:sz w:val="22"/>
                <w:highlight w:val="none"/>
                <w:u w:val="single"/>
              </w:rPr>
            </w:pPr>
            <w:r>
              <w:rPr>
                <w:rFonts w:hint="eastAsia" w:ascii="宋体" w:hAnsi="宋体" w:cs="宋体"/>
                <w:bCs/>
                <w:snapToGrid w:val="0"/>
                <w:color w:val="auto"/>
                <w:kern w:val="0"/>
                <w:sz w:val="22"/>
                <w:highlight w:val="none"/>
                <w:u w:val="single"/>
              </w:rPr>
              <w:t>履约保证金：乙方在合同签订后</w:t>
            </w:r>
            <w:r>
              <w:rPr>
                <w:rFonts w:hint="eastAsia" w:ascii="宋体" w:hAnsi="宋体" w:cs="宋体"/>
                <w:bCs/>
                <w:snapToGrid w:val="0"/>
                <w:color w:val="auto"/>
                <w:kern w:val="0"/>
                <w:sz w:val="22"/>
                <w:highlight w:val="none"/>
                <w:u w:val="single"/>
                <w:lang w:val="en-US" w:eastAsia="zh-CN"/>
              </w:rPr>
              <w:t>7</w:t>
            </w:r>
            <w:r>
              <w:rPr>
                <w:rFonts w:hint="eastAsia" w:ascii="宋体" w:hAnsi="宋体" w:cs="宋体"/>
                <w:bCs/>
                <w:snapToGrid w:val="0"/>
                <w:color w:val="auto"/>
                <w:kern w:val="0"/>
                <w:sz w:val="22"/>
                <w:highlight w:val="none"/>
                <w:u w:val="single"/>
              </w:rPr>
              <w:t>个工作日内，向甲方提交合同总金额1%履约保证金（接受银行转账、支票、汇票、本票、履约保函等多种非现金形式），履约保证金自服务期满之日起</w:t>
            </w:r>
            <w:r>
              <w:rPr>
                <w:rFonts w:hint="eastAsia" w:ascii="宋体" w:hAnsi="宋体" w:cs="宋体"/>
                <w:bCs/>
                <w:snapToGrid w:val="0"/>
                <w:color w:val="auto"/>
                <w:kern w:val="0"/>
                <w:sz w:val="22"/>
                <w:highlight w:val="none"/>
                <w:u w:val="single"/>
                <w:lang w:val="en-US" w:eastAsia="zh-CN"/>
              </w:rPr>
              <w:t>7</w:t>
            </w:r>
            <w:r>
              <w:rPr>
                <w:rFonts w:hint="eastAsia" w:ascii="宋体" w:hAnsi="宋体" w:cs="宋体"/>
                <w:bCs/>
                <w:snapToGrid w:val="0"/>
                <w:color w:val="auto"/>
                <w:kern w:val="0"/>
                <w:sz w:val="22"/>
                <w:highlight w:val="none"/>
                <w:u w:val="single"/>
              </w:rPr>
              <w:t>个工作日内无息退还。</w:t>
            </w:r>
          </w:p>
          <w:p>
            <w:pPr>
              <w:spacing w:line="360" w:lineRule="auto"/>
              <w:jc w:val="left"/>
              <w:rPr>
                <w:rFonts w:hint="eastAsia" w:ascii="宋体" w:hAnsi="宋体" w:eastAsia="宋体" w:cs="宋体"/>
                <w:color w:val="auto"/>
                <w:sz w:val="22"/>
                <w:szCs w:val="22"/>
                <w:highlight w:val="none"/>
                <w:u w:val="single"/>
                <w:lang w:val="zh-CN"/>
              </w:rPr>
            </w:pPr>
            <w:r>
              <w:rPr>
                <w:rFonts w:hint="eastAsia" w:ascii="宋体" w:hAnsi="宋体" w:cs="宋体"/>
                <w:bCs/>
                <w:snapToGrid w:val="0"/>
                <w:color w:val="auto"/>
                <w:kern w:val="0"/>
                <w:sz w:val="22"/>
                <w:highlight w:val="none"/>
                <w:u w:val="single"/>
              </w:rPr>
              <w:t>付款条件：合同签定后，</w:t>
            </w:r>
            <w:r>
              <w:rPr>
                <w:rFonts w:hint="eastAsia" w:ascii="宋体" w:hAnsi="宋体" w:cs="宋体"/>
                <w:bCs/>
                <w:snapToGrid w:val="0"/>
                <w:color w:val="auto"/>
                <w:kern w:val="0"/>
                <w:sz w:val="22"/>
                <w:highlight w:val="none"/>
                <w:u w:val="single"/>
                <w:lang w:eastAsia="zh-CN"/>
              </w:rPr>
              <w:t>2024</w:t>
            </w:r>
            <w:r>
              <w:rPr>
                <w:rFonts w:hint="eastAsia" w:ascii="宋体" w:hAnsi="宋体" w:cs="宋体"/>
                <w:bCs/>
                <w:snapToGrid w:val="0"/>
                <w:color w:val="auto"/>
                <w:kern w:val="0"/>
                <w:sz w:val="22"/>
                <w:highlight w:val="none"/>
                <w:u w:val="single"/>
              </w:rPr>
              <w:t>年按考核得分每季支付费用</w:t>
            </w:r>
            <w:r>
              <w:rPr>
                <w:rFonts w:hint="eastAsia" w:ascii="宋体" w:hAnsi="宋体" w:cs="宋体"/>
                <w:bCs/>
                <w:snapToGrid w:val="0"/>
                <w:color w:val="auto"/>
                <w:kern w:val="0"/>
                <w:sz w:val="22"/>
                <w:highlight w:val="none"/>
                <w:u w:val="single"/>
                <w:lang w:eastAsia="zh-CN"/>
              </w:rPr>
              <w:t>，</w:t>
            </w:r>
            <w:r>
              <w:rPr>
                <w:rFonts w:hint="eastAsia" w:ascii="宋体" w:hAnsi="宋体" w:cs="宋体"/>
                <w:bCs/>
                <w:snapToGrid w:val="0"/>
                <w:color w:val="auto"/>
                <w:kern w:val="0"/>
                <w:sz w:val="22"/>
                <w:highlight w:val="none"/>
                <w:u w:val="single"/>
              </w:rPr>
              <w:t>（前三季度按中标价的季度平均值进行支付，第四季度结合考核得分支付剩余费用），乙方开始投入营运起计费，每满营运一季，甲方自收到乙方开具的全额发票后，于十个工作日内付款（最后一个季度，综合全年考核得分，于</w:t>
            </w:r>
            <w:r>
              <w:rPr>
                <w:rFonts w:hint="eastAsia" w:ascii="宋体" w:hAnsi="宋体" w:cs="宋体"/>
                <w:bCs/>
                <w:snapToGrid w:val="0"/>
                <w:color w:val="auto"/>
                <w:kern w:val="0"/>
                <w:sz w:val="22"/>
                <w:highlight w:val="none"/>
                <w:u w:val="single"/>
                <w:lang w:eastAsia="zh-CN"/>
              </w:rPr>
              <w:t>2024</w:t>
            </w:r>
            <w:r>
              <w:rPr>
                <w:rFonts w:hint="eastAsia" w:ascii="宋体" w:hAnsi="宋体" w:cs="宋体"/>
                <w:bCs/>
                <w:snapToGrid w:val="0"/>
                <w:color w:val="auto"/>
                <w:kern w:val="0"/>
                <w:sz w:val="22"/>
                <w:highlight w:val="none"/>
                <w:u w:val="single"/>
              </w:rPr>
              <w:t>年12月份支付）。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602" w:type="dxa"/>
            <w:vAlign w:val="center"/>
          </w:tcPr>
          <w:p>
            <w:pPr>
              <w:spacing w:line="360" w:lineRule="exact"/>
              <w:rPr>
                <w:rFonts w:hint="eastAsia" w:ascii="宋体" w:hAnsi="宋体" w:eastAsia="宋体" w:cs="宋体"/>
                <w:color w:val="auto"/>
                <w:sz w:val="22"/>
                <w:szCs w:val="22"/>
                <w:highlight w:val="none"/>
              </w:rPr>
            </w:pPr>
            <w:r>
              <w:rPr>
                <w:rFonts w:hint="eastAsia" w:ascii="宋体" w:hAnsi="宋体" w:cs="宋体"/>
                <w:bCs/>
                <w:color w:val="auto"/>
                <w:sz w:val="22"/>
                <w:highlight w:val="none"/>
              </w:rPr>
              <w:t>服务时间</w:t>
            </w:r>
          </w:p>
        </w:tc>
        <w:tc>
          <w:tcPr>
            <w:tcW w:w="7867" w:type="dxa"/>
            <w:vAlign w:val="center"/>
          </w:tcPr>
          <w:p>
            <w:pPr>
              <w:spacing w:line="37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highlight w:val="none"/>
                <w:lang w:val="en-US" w:eastAsia="zh-CN"/>
              </w:rPr>
              <w:t>1年，具体时间合同约定为准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jc w:val="both"/>
              <w:rPr>
                <w:rFonts w:hint="eastAsia" w:ascii="宋体" w:hAnsi="宋体" w:eastAsia="宋体" w:cs="宋体"/>
                <w:color w:val="auto"/>
                <w:sz w:val="22"/>
                <w:szCs w:val="22"/>
                <w:highlight w:val="none"/>
              </w:rPr>
            </w:pPr>
            <w:r>
              <w:rPr>
                <w:rFonts w:hint="eastAsia" w:ascii="宋体" w:hAnsi="宋体" w:cs="宋体"/>
                <w:color w:val="auto"/>
                <w:spacing w:val="-6"/>
                <w:sz w:val="22"/>
                <w:szCs w:val="22"/>
                <w:highlight w:val="none"/>
              </w:rPr>
              <w:t>服务地点</w:t>
            </w:r>
          </w:p>
        </w:tc>
        <w:tc>
          <w:tcPr>
            <w:tcW w:w="7867" w:type="dxa"/>
            <w:vAlign w:val="center"/>
          </w:tcPr>
          <w:p>
            <w:pPr>
              <w:widowControl/>
              <w:spacing w:line="400" w:lineRule="exact"/>
              <w:jc w:val="left"/>
              <w:textAlignment w:val="center"/>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eastAsia="zh-CN"/>
              </w:rPr>
              <w:t>浙江安防职业技术学院</w:t>
            </w:r>
            <w:r>
              <w:rPr>
                <w:rFonts w:hint="eastAsia" w:ascii="宋体" w:hAnsi="宋体" w:cs="宋体"/>
                <w:color w:val="auto"/>
                <w:kern w:val="0"/>
                <w:sz w:val="22"/>
                <w:szCs w:val="22"/>
                <w:highlight w:val="none"/>
              </w:rPr>
              <w:t>内指定地点</w:t>
            </w:r>
          </w:p>
        </w:tc>
      </w:tr>
    </w:tbl>
    <w:p>
      <w:pPr>
        <w:rPr>
          <w:color w:val="auto"/>
          <w:highlight w:val="none"/>
        </w:rPr>
      </w:pPr>
    </w:p>
    <w:p>
      <w:pPr>
        <w:numPr>
          <w:ilvl w:val="0"/>
          <w:numId w:val="2"/>
        </w:num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0"/>
                <w:numId w:val="0"/>
              </w:num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 xml:space="preserve"> 工作清单设备维护内容及要求</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1）教室，合计102间</w:t>
            </w:r>
          </w:p>
          <w:p>
            <w:pPr>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通用教学楼教室102间，负责教室投影、中控、音响、功放、白板等各种多媒体设备日常维护和管理，确保每天教师能正常使用各种设备；</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2）办公设备（若干）</w:t>
            </w:r>
          </w:p>
          <w:p>
            <w:pPr>
              <w:numPr>
                <w:ilvl w:val="0"/>
                <w:numId w:val="3"/>
              </w:num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学校目前教职员工</w:t>
            </w:r>
            <w:r>
              <w:rPr>
                <w:rFonts w:hint="eastAsia" w:ascii="宋体" w:hAnsi="宋体" w:cs="宋体"/>
                <w:b/>
                <w:bCs/>
                <w:color w:val="auto"/>
                <w:sz w:val="22"/>
                <w:szCs w:val="22"/>
                <w:highlight w:val="none"/>
                <w:lang w:val="en-US" w:eastAsia="zh-CN"/>
              </w:rPr>
              <w:t>500</w:t>
            </w:r>
            <w:r>
              <w:rPr>
                <w:rFonts w:hint="eastAsia" w:ascii="宋体" w:hAnsi="宋体" w:cs="宋体"/>
                <w:color w:val="auto"/>
                <w:sz w:val="22"/>
                <w:szCs w:val="22"/>
                <w:highlight w:val="none"/>
              </w:rPr>
              <w:t>人，估计需要维护的电脑数量不少于</w:t>
            </w:r>
            <w:r>
              <w:rPr>
                <w:rFonts w:ascii="宋体" w:hAnsi="宋体" w:cs="宋体"/>
                <w:color w:val="auto"/>
                <w:sz w:val="22"/>
                <w:szCs w:val="22"/>
                <w:highlight w:val="none"/>
              </w:rPr>
              <w:t>500</w:t>
            </w:r>
            <w:r>
              <w:rPr>
                <w:rFonts w:hint="eastAsia" w:ascii="宋体" w:hAnsi="宋体" w:cs="宋体"/>
                <w:color w:val="auto"/>
                <w:sz w:val="22"/>
                <w:szCs w:val="22"/>
                <w:highlight w:val="none"/>
              </w:rPr>
              <w:t>台，主要负责对办公电脑的日常维护，包括系统安装，软件安装、硬件维护，以及各类日常办公软件的使用指导等；</w:t>
            </w:r>
          </w:p>
          <w:p>
            <w:pPr>
              <w:numPr>
                <w:ilvl w:val="0"/>
                <w:numId w:val="3"/>
              </w:num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打印系统和打印机的日常维护，包括更换墨盒、处理日常设备故障、打印机驱动的安装等，确保学校所有打印机正常运行，满足教职员工的日常打印需求；</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3）信息发布系统</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信息发布系统日常维护，确保该系统每天正常运行；包括LED屏和电视终端等；</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4）校园广播系统</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广播设备的日常维护，确保设备能正常使用；</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5）教室监控系统（标准化考场）</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该监控系统用于学校各类考试监控使用，负责对该系统的日常维护，确保系统正常运行；</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6）校园网络接入层的日常维护</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新员工入职、老员工办公室搬迁都涉及电脑、打印机等设备的网络接入，维护人员需要负责网络接入层的网络跳线和网络设置工作；</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7）电话故障处理</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负责学校电话故障前期排查工作，能处理的问题直接处理，不能处理的问题需要上报运营商，并由运营商处理；</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8）会议室和报告厅，合计</w:t>
            </w:r>
            <w:r>
              <w:rPr>
                <w:rFonts w:ascii="宋体" w:hAnsi="宋体" w:cs="宋体"/>
                <w:color w:val="auto"/>
                <w:sz w:val="22"/>
                <w:szCs w:val="22"/>
                <w:highlight w:val="none"/>
              </w:rPr>
              <w:t>11</w:t>
            </w:r>
            <w:r>
              <w:rPr>
                <w:rFonts w:hint="eastAsia" w:ascii="宋体" w:hAnsi="宋体" w:cs="宋体"/>
                <w:color w:val="auto"/>
                <w:sz w:val="22"/>
                <w:szCs w:val="22"/>
                <w:highlight w:val="none"/>
              </w:rPr>
              <w:t>间</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会议报告厅的多媒体设备较多，系统也教复杂，维护人员需要对所有设备做日常的巡检和维护，并对在会议报告厅举办的各类活动做好现场技术支撑；</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9）操场间设备，合计1个</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负责该设备间多媒体设备正常运行，做好日常巡检并对在操场举办的各类活动做好现场技术支撑；</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10）毕业典礼及其它各类活动</w:t>
            </w:r>
          </w:p>
          <w:p>
            <w:pPr>
              <w:adjustRightInd w:val="0"/>
              <w:snapToGrid w:val="0"/>
              <w:spacing w:line="360" w:lineRule="auto"/>
              <w:ind w:left="840"/>
              <w:rPr>
                <w:rFonts w:hint="eastAsia" w:ascii="宋体" w:hAnsi="宋体" w:cs="宋体"/>
                <w:color w:val="auto"/>
                <w:sz w:val="22"/>
                <w:szCs w:val="22"/>
                <w:highlight w:val="none"/>
              </w:rPr>
            </w:pPr>
            <w:r>
              <w:rPr>
                <w:rFonts w:hint="eastAsia" w:ascii="宋体" w:hAnsi="宋体" w:cs="宋体"/>
                <w:color w:val="auto"/>
                <w:sz w:val="22"/>
                <w:szCs w:val="22"/>
                <w:highlight w:val="none"/>
              </w:rPr>
              <w:t>辅助做好毕业典礼筹备过程中的技术支持，并在毕业典礼当天做好配合工作；</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根据学校实际情况，会在校内外不定期举行各种会议、活动，需要做好音视频和会议直播设备的技术支持工作；</w:t>
            </w:r>
          </w:p>
          <w:p>
            <w:pPr>
              <w:pStyle w:val="2"/>
              <w:ind w:firstLine="440" w:firstLineChars="200"/>
              <w:rPr>
                <w:rFonts w:hint="eastAsia"/>
                <w:color w:val="auto"/>
                <w:highlight w:val="none"/>
              </w:rPr>
            </w:pPr>
            <w:r>
              <w:rPr>
                <w:rFonts w:hint="eastAsia" w:ascii="宋体" w:hAnsi="宋体" w:cs="宋体"/>
                <w:color w:val="auto"/>
                <w:sz w:val="22"/>
                <w:szCs w:val="22"/>
                <w:highlight w:val="none"/>
              </w:rPr>
              <w:t>以上所有设备都要定期做巡检和维护，并做好台账记录等工作。</w:t>
            </w:r>
          </w:p>
          <w:p>
            <w:pPr>
              <w:adjustRightInd w:val="0"/>
              <w:snapToGrid w:val="0"/>
              <w:spacing w:line="440" w:lineRule="exact"/>
              <w:rPr>
                <w:rFonts w:hint="eastAsia"/>
                <w:color w:val="auto"/>
                <w:highlight w:val="none"/>
              </w:rPr>
            </w:pPr>
            <w:r>
              <w:rPr>
                <w:rFonts w:hint="eastAsia"/>
                <w:color w:val="auto"/>
                <w:highlight w:val="none"/>
              </w:rPr>
              <w:t>具体要求：</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预先检查服务。乙方在维护服务开始前将针对需要维护的设备系统进行预先检查服务，以确保所有被维护的设备系统都处于良好的运行状态。乙方将派具有相关认证资格的工程师到浙江安防职业技术学院对设备系统做全面的健康检查，如果当前设备系统状况良好，正式进入维护阶段。</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第一次巡检。乙方的工程师在预先检查服务并确认可以进行维护后，对现有设备的使用状况进行评估。乙方应根据整个维保项目的规模，准备相应的备品备件或备机，以便在出现故障的时候能够快速提供备品备件或备机。</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3）日常巡检服务。乙方每一</w:t>
            </w:r>
            <w:r>
              <w:rPr>
                <w:rFonts w:hint="eastAsia" w:ascii="宋体" w:hAnsi="宋体" w:cs="宋体"/>
                <w:b/>
                <w:bCs/>
                <w:color w:val="auto"/>
                <w:sz w:val="22"/>
                <w:szCs w:val="22"/>
                <w:highlight w:val="none"/>
              </w:rPr>
              <w:t>个</w:t>
            </w:r>
            <w:r>
              <w:rPr>
                <w:rFonts w:hint="eastAsia" w:ascii="宋体" w:hAnsi="宋体" w:cs="宋体"/>
                <w:b/>
                <w:bCs/>
                <w:color w:val="auto"/>
                <w:sz w:val="22"/>
                <w:szCs w:val="22"/>
                <w:highlight w:val="none"/>
                <w:lang w:val="en-US" w:eastAsia="zh-CN"/>
              </w:rPr>
              <w:t>季度</w:t>
            </w:r>
            <w:r>
              <w:rPr>
                <w:rFonts w:hint="eastAsia" w:ascii="宋体" w:hAnsi="宋体" w:cs="宋体"/>
                <w:color w:val="auto"/>
                <w:sz w:val="22"/>
                <w:szCs w:val="22"/>
                <w:highlight w:val="none"/>
              </w:rPr>
              <w:t>进行一次对甲方维保范围内的设备进行日常全面巡检，并提交运行情况技术报告，并经过用户技术负责签字确认。</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4）远程服务。将对有效的电话、传真和电邮服务请求提供远程支持服务，以求解决被维护设备系统的故障问题。甲方的电话将享有高度的优先级，乙方将优先处理甲方的电话求助，直至得到令甲方满意的结果。</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5）远程服务受理时间。乙方将为浙江安防职业技术学院提供7×24的远程服务受理时间，浙江安防职业技术学院的所有服务请求在服务受理时间内都会被接纳。</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6）远程服务响应时间。乙方将在接到服务请求的半小时内提供远程服务响应，远程服务响应时间从接到服务请求时开始计算。</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7）现场服务。乙方接到电话后启动现场服务。乙方将为浙江安防职业技术学院提供不限次数的现场服务。</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现场服务响应时间。乙方为浙江安防职业技术学院提供7×24小时的现场服务。双方电话中确认需要工程师现场解决的问题，乙方将在一个小时内派工程师到达服务现场，乙方的现场响应时间从双方确认需要现场服务之时开始计算。双方可以协商将现场的服务时间放在双方都同意的时间。</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9）维修服务。一旦被维护设备系统出现了故障，乙方将在接到浙江安防职业技术学院服务请求的两个小时内向浙江安防职业技术学院提供具有相关认证的工程技术人员对被维护设备系统进行现场检修。一般故障件修复时间不超过12工作小时，当乙方的工程师预测在12工作小时内不能修复的故障设备的，启动备机预案，备机档次要高于现有设备，并在15小时内提供备机到现场。</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10）故障判断现场培训。乙方为浙江安防职业技术学院技术工程师提供设备故障判断现场培训，时间安排在第一次巡检当天。</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11）驻场服务。运维服务合同有效期内，乙方派驻</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名工程师常驻用户现场，每周至少5天与甲方工作人员同步上下班，并配合甲方进行日常技术维护、文档整理工作。在有必要时，工程师将及时为用户方的系统做微码升级与工程改良。</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12）乙方向浙江安防职业技术学院派遣的工程师应具备专业资质并有良好的工作态度，及时向浙江安防职业技术学院提供所需服务。</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13）乙方在提供本维护服务合同项下的所有维护服务时，必须遵守浙江安防职业技术学院所在地所适用的法律、法规和政府行政命令，并同时遵守浙江安防职业技术学院指定的学校政策及规定。</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14）甲方将尽力向乙方提供必要的协助以配合乙方完成本维护服务合同项下的所有维护服务。</w:t>
            </w:r>
          </w:p>
          <w:p>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操作系统升级和补丁程序安装服务。在乙方维护浙江安防职业技术学院设备系统的合同期限内，每年乙方应免费（不限次数）对所维护的设备系统做微码升级，如电脑等设备，具体时间根据厂商发放升级代码的日期并与现场工程师协调确认。在操作系统补丁或新微码更新前，乙方应征得浙江安防职业技术学院同意方可进行，严禁未征得浙江安防职业技术学院同意就进行操作系统补丁或微码升级的行为发生，并且双方就升级步骤需向甲方再次确认。</w:t>
            </w:r>
          </w:p>
          <w:p>
            <w:pPr>
              <w:numPr>
                <w:ilvl w:val="0"/>
                <w:numId w:val="4"/>
              </w:num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工作时间</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1）维护人员的工作时间和学校教职工同步；</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2）学校部分多媒体教室、会议室、报告厅使用频率较高，经常会在非上班时间举行各类活动，维护人员需要服从学校安排，在晚上、周末等非工作时间做好各类活动的技术支撑工作；</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3）学校在寒假、暑假等节假日期间，维护人员服从学校的工作安排；</w:t>
            </w:r>
          </w:p>
          <w:p>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4. 任职要求</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1）性别不限，年龄25</w:t>
            </w:r>
            <w:r>
              <w:rPr>
                <w:rFonts w:ascii="宋体" w:hAnsi="宋体" w:cs="宋体"/>
                <w:color w:val="auto"/>
                <w:sz w:val="22"/>
                <w:szCs w:val="22"/>
                <w:highlight w:val="none"/>
              </w:rPr>
              <w:t>-</w:t>
            </w:r>
            <w:r>
              <w:rPr>
                <w:rFonts w:hint="eastAsia" w:ascii="宋体" w:hAnsi="宋体" w:cs="宋体"/>
                <w:color w:val="auto"/>
                <w:sz w:val="22"/>
                <w:szCs w:val="22"/>
                <w:highlight w:val="none"/>
              </w:rPr>
              <w:t>35周岁，大专及以上学历，信息类、电子类、计算机类等相关专业；</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2）三年以上多媒体视频及办公设备相关设备维护及管理等工作经验；</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3）对笔记本、PC、PC服务器、扫描仪、投影机、功放等设备及WINDOWS应用等熟悉；</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4）具备计算机软硬件故障排除能力；对多媒体设备维护保养有较强的动手能力；</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5）具有良好的沟通协调能力和团队合作精神；</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6）有学校多媒体设备维护和管理经验者优先考虑；</w:t>
            </w:r>
          </w:p>
          <w:p>
            <w:pPr>
              <w:numPr>
                <w:ilvl w:val="0"/>
                <w:numId w:val="0"/>
              </w:num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b/>
                <w:bCs/>
                <w:color w:val="auto"/>
                <w:sz w:val="22"/>
                <w:highlight w:val="none"/>
                <w:u w:val="single"/>
                <w:lang w:val="en-US" w:eastAsia="zh-CN"/>
              </w:rPr>
              <w:t>▲长期驻场维护人员不少于3人，确保运维人员的服务质量和人员的稳定性。</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考虑到学校开学和学校重大活动期间，维护量大、业务繁忙，成交供应商要保证在该期间再增加1-2名人员做学校相关工作；</w:t>
            </w:r>
          </w:p>
          <w:p>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5. 其它要求</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1）成交供应商必须按照国家相关劳动法和驻场维护人员签订劳动合同，并按照劳动法缴纳相关保险，保障人员的劳动权益；</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2）为了鼓励员工积极工作，成交供应商需拿出一部分费用作为驻场维护人员月度奖/年度奖；学校根据该人员的绩效考核分发奖金；请在响应文件中说明乙方拿出多少费用作为月度奖/年度奖；</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3）请在标书中提供以下信息：成交供应商准备多少资金用于人员招聘，费用的具体分配如何。</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4）请假说明：驻场人员如有请假，需要填写并提交请假表，由校方和成交供应商共同审批并通过，方可请假。该人员请假期间，成交供应商必须另外安排其他人员来学校做驻场服务。</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5）成交供应商需要给驻场维护人员配备工作电脑，为了工作方便，配备笔记本电脑。</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6）学校每天晚上会有教学任务，也会有会议和活动，需要成交供应商人员在学校做技术支撑，考虑到学校离市区较远，需要成交供应商在学校附近为驻场人员提供住宿。</w:t>
            </w:r>
          </w:p>
          <w:p>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7）成交供应商工作内容包含日常维护、布线整理、零配件及设备安装、维修（设备质保需成交供应商购买原厂质保）等服务，相关费用（包括加班等综合费用）包含在投标报价内。</w:t>
            </w:r>
          </w:p>
          <w:p>
            <w:pPr>
              <w:adjustRightInd w:val="0"/>
              <w:snapToGrid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8）设备零配件损坏不能再维修使用时（需甲方确认），征得甲方同意的情况下，在同等条件下优先采购成交供应商提供的零配件，成交供应商需提供设备零配件发票。</w:t>
            </w:r>
          </w:p>
          <w:p>
            <w:pPr>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服务考核表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376"/>
              <w:gridCol w:w="3146"/>
              <w:gridCol w:w="105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要求及原则</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设置</w:t>
                  </w:r>
                </w:p>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分值</w:t>
                  </w:r>
                </w:p>
              </w:tc>
              <w:tc>
                <w:tcPr>
                  <w:tcW w:w="106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评分</w:t>
                  </w:r>
                </w:p>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人员到岗</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驻点人员的到岗率，有无迟到早退，有无无故旷工</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维修时效</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在设备出现故障后是否能及时有效的处理并维修完成，投入使用</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日常保养维护</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设备日常保养维护作业，是否精细有效，是否保养得当</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Merge w:val="restart"/>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2889" w:type="dxa"/>
                  <w:vMerge w:val="restart"/>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投诉情况</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接受到分院教师投诉的次数及内容</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Merge w:val="continue"/>
                  <w:noWrap w:val="0"/>
                  <w:vAlign w:val="center"/>
                </w:tcPr>
                <w:p>
                  <w:pPr>
                    <w:spacing w:line="380" w:lineRule="exact"/>
                    <w:jc w:val="center"/>
                    <w:rPr>
                      <w:rFonts w:hint="eastAsia" w:ascii="宋体" w:hAnsi="宋体" w:cs="宋体"/>
                      <w:color w:val="auto"/>
                      <w:sz w:val="22"/>
                      <w:szCs w:val="22"/>
                      <w:highlight w:val="none"/>
                    </w:rPr>
                  </w:pPr>
                </w:p>
              </w:tc>
              <w:tc>
                <w:tcPr>
                  <w:tcW w:w="2889" w:type="dxa"/>
                  <w:vMerge w:val="continue"/>
                  <w:noWrap w:val="0"/>
                  <w:vAlign w:val="center"/>
                </w:tcPr>
                <w:p>
                  <w:pPr>
                    <w:spacing w:line="380" w:lineRule="exact"/>
                    <w:jc w:val="center"/>
                    <w:rPr>
                      <w:rFonts w:hint="eastAsia" w:ascii="宋体" w:hAnsi="宋体" w:cs="宋体"/>
                      <w:color w:val="auto"/>
                      <w:sz w:val="22"/>
                      <w:szCs w:val="22"/>
                      <w:highlight w:val="none"/>
                    </w:rPr>
                  </w:pP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接受到除分院教师外的教职工投诉的次数及内容</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889"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台账情况</w:t>
                  </w:r>
                </w:p>
              </w:tc>
              <w:tc>
                <w:tcPr>
                  <w:tcW w:w="3804"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维护、维修、请假、加班等台账记录是否完整</w:t>
                  </w:r>
                </w:p>
              </w:tc>
              <w:tc>
                <w:tcPr>
                  <w:tcW w:w="1220" w:type="dxa"/>
                  <w:noWrap w:val="0"/>
                  <w:vAlign w:val="center"/>
                </w:tcPr>
                <w:p>
                  <w:pPr>
                    <w:spacing w:line="3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064" w:type="dxa"/>
                  <w:noWrap w:val="0"/>
                  <w:vAlign w:val="center"/>
                </w:tcPr>
                <w:p>
                  <w:pPr>
                    <w:spacing w:line="380" w:lineRule="exact"/>
                    <w:jc w:val="center"/>
                    <w:rPr>
                      <w:rFonts w:hint="eastAsia" w:ascii="宋体" w:hAnsi="宋体" w:cs="宋体"/>
                      <w:color w:val="auto"/>
                      <w:sz w:val="22"/>
                      <w:szCs w:val="22"/>
                      <w:highlight w:val="none"/>
                    </w:rPr>
                  </w:pPr>
                </w:p>
              </w:tc>
            </w:tr>
          </w:tbl>
          <w:p>
            <w:pPr>
              <w:spacing w:line="380" w:lineRule="exact"/>
              <w:jc w:val="center"/>
              <w:rPr>
                <w:rFonts w:hint="eastAsia" w:ascii="宋体" w:hAnsi="宋体" w:cs="宋体"/>
                <w:color w:val="auto"/>
                <w:sz w:val="22"/>
                <w:szCs w:val="22"/>
                <w:highlight w:val="none"/>
              </w:rPr>
            </w:pPr>
          </w:p>
          <w:p>
            <w:pPr>
              <w:numPr>
                <w:ilvl w:val="3"/>
                <w:numId w:val="5"/>
              </w:numPr>
              <w:tabs>
                <w:tab w:val="left" w:pos="851"/>
                <w:tab w:val="clear" w:pos="2040"/>
              </w:tabs>
              <w:spacing w:line="380" w:lineRule="exact"/>
              <w:ind w:left="85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服务考核由学校组织人员对成交供应商进行考核，90分为考核合格标准。</w:t>
            </w:r>
          </w:p>
          <w:p>
            <w:pPr>
              <w:numPr>
                <w:ilvl w:val="3"/>
                <w:numId w:val="5"/>
              </w:numPr>
              <w:tabs>
                <w:tab w:val="left" w:pos="851"/>
                <w:tab w:val="clear" w:pos="2040"/>
              </w:tabs>
              <w:spacing w:line="380" w:lineRule="exact"/>
              <w:ind w:left="85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考核次数为每月一次；月均考核分值为当季3次考核的平均值。</w:t>
            </w:r>
          </w:p>
          <w:p>
            <w:pPr>
              <w:numPr>
                <w:ilvl w:val="3"/>
                <w:numId w:val="5"/>
              </w:numPr>
              <w:tabs>
                <w:tab w:val="left" w:pos="851"/>
                <w:tab w:val="clear" w:pos="2040"/>
              </w:tabs>
              <w:spacing w:line="380" w:lineRule="exact"/>
              <w:ind w:left="85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月均考核分值在90分（含）以上，学校向成交供应商全额支付服务款项；月均考核分值在80分（含）-90分，学校扣除该5%的该支付服务款项；月均考核分值在70分（含）-80分，学校扣除10%的该支付服务款项；月均考核分值在70分以下，学校扣除25%的该支付服务款项；扣除款项在当季该支付款项中直接扣除。</w:t>
            </w:r>
          </w:p>
          <w:p>
            <w:pPr>
              <w:numPr>
                <w:ilvl w:val="3"/>
                <w:numId w:val="5"/>
              </w:numPr>
              <w:tabs>
                <w:tab w:val="left" w:pos="851"/>
                <w:tab w:val="clear" w:pos="2040"/>
              </w:tabs>
              <w:spacing w:line="380" w:lineRule="exact"/>
              <w:ind w:left="851"/>
              <w:jc w:val="left"/>
              <w:rPr>
                <w:rFonts w:ascii="宋体" w:hAnsi="宋体" w:cs="宋体"/>
                <w:color w:val="auto"/>
                <w:sz w:val="22"/>
                <w:szCs w:val="22"/>
                <w:highlight w:val="none"/>
              </w:rPr>
            </w:pPr>
            <w:r>
              <w:rPr>
                <w:rFonts w:hint="eastAsia" w:ascii="宋体" w:hAnsi="宋体" w:cs="宋体"/>
                <w:color w:val="auto"/>
                <w:sz w:val="22"/>
                <w:szCs w:val="22"/>
                <w:highlight w:val="none"/>
              </w:rPr>
              <w:t>成交供应商如月均考分值在70分（不含）以下次数达到两次，学校有权单方面解除合同，并向成交供应商要求赔偿损失。</w:t>
            </w:r>
          </w:p>
          <w:p>
            <w:pPr>
              <w:numPr>
                <w:ilvl w:val="3"/>
                <w:numId w:val="5"/>
              </w:numPr>
              <w:tabs>
                <w:tab w:val="left" w:pos="851"/>
                <w:tab w:val="clear" w:pos="2040"/>
              </w:tabs>
              <w:spacing w:line="380" w:lineRule="exact"/>
              <w:ind w:left="851"/>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具体考核标准与供应商协商后，可适当调整。</w:t>
            </w:r>
          </w:p>
          <w:p>
            <w:pPr>
              <w:rPr>
                <w:rFonts w:hint="eastAsia"/>
                <w:color w:val="auto"/>
                <w:highlight w:val="none"/>
                <w:vertAlign w:val="baseline"/>
                <w:lang w:eastAsia="zh-CN"/>
              </w:rPr>
            </w:pPr>
          </w:p>
        </w:tc>
      </w:tr>
    </w:tbl>
    <w:p>
      <w:pPr>
        <w:rPr>
          <w:rFonts w:hint="eastAsia"/>
          <w:color w:val="auto"/>
          <w:highlight w:val="none"/>
          <w:lang w:eastAsia="zh-CN"/>
        </w:rPr>
      </w:pPr>
    </w:p>
    <w:p>
      <w:pPr>
        <w:spacing w:line="360" w:lineRule="exact"/>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 四、其他</w:t>
      </w:r>
    </w:p>
    <w:p>
      <w:pPr>
        <w:numPr>
          <w:ilvl w:val="0"/>
          <w:numId w:val="6"/>
        </w:numPr>
        <w:spacing w:line="360" w:lineRule="exact"/>
        <w:ind w:firstLine="313" w:firstLineChars="150"/>
        <w:rPr>
          <w:rFonts w:ascii="宋体" w:hAnsi="宋体" w:cs="宋体"/>
          <w:b/>
          <w:bCs/>
          <w:color w:val="auto"/>
          <w:spacing w:val="-6"/>
          <w:sz w:val="22"/>
          <w:highlight w:val="none"/>
        </w:rPr>
      </w:pPr>
      <w:r>
        <w:rPr>
          <w:rFonts w:hint="eastAsia" w:ascii="宋体" w:hAnsi="宋体" w:cs="宋体"/>
          <w:b/>
          <w:color w:val="auto"/>
          <w:spacing w:val="-6"/>
          <w:sz w:val="22"/>
          <w:highlight w:val="none"/>
        </w:rPr>
        <w:t>标“▲且加下划线”的有关技术和商务要求为实质性条款，响应方必须做出实质性响应</w:t>
      </w:r>
      <w:r>
        <w:rPr>
          <w:rFonts w:hint="eastAsia" w:ascii="宋体" w:hAnsi="宋体" w:cs="宋体"/>
          <w:b/>
          <w:bCs/>
          <w:color w:val="auto"/>
          <w:spacing w:val="-6"/>
          <w:sz w:val="22"/>
          <w:highlight w:val="none"/>
        </w:rPr>
        <w:t>，否则视为无效投标文件。</w:t>
      </w:r>
    </w:p>
    <w:p>
      <w:pPr>
        <w:numPr>
          <w:ilvl w:val="0"/>
          <w:numId w:val="6"/>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sz w:val="22"/>
          <w:highlight w:val="none"/>
        </w:rPr>
        <w:t>。</w:t>
      </w:r>
    </w:p>
    <w:p>
      <w:pPr>
        <w:numPr>
          <w:ilvl w:val="0"/>
          <w:numId w:val="6"/>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如技术部分中未特别注明需执行的国家相关标准、行业标准、地方标准或者其他标准、规范，则统一执行最新标准、规范。</w:t>
      </w:r>
    </w:p>
    <w:p>
      <w:pPr>
        <w:snapToGrid w:val="0"/>
        <w:spacing w:line="400" w:lineRule="exact"/>
        <w:jc w:val="center"/>
        <w:rPr>
          <w:rFonts w:ascii="宋体" w:hAnsi="宋体" w:cs="宋体"/>
          <w:b/>
          <w:color w:val="auto"/>
          <w:sz w:val="32"/>
          <w:highlight w:val="none"/>
        </w:rPr>
      </w:pPr>
    </w:p>
    <w:p>
      <w:pPr>
        <w:snapToGrid w:val="0"/>
        <w:spacing w:line="400" w:lineRule="exact"/>
        <w:jc w:val="center"/>
        <w:rPr>
          <w:rFonts w:ascii="宋体" w:hAnsi="宋体" w:cs="宋体"/>
          <w:b/>
          <w:color w:val="auto"/>
          <w:sz w:val="32"/>
          <w:highlight w:val="none"/>
        </w:rPr>
      </w:pPr>
    </w:p>
    <w:p>
      <w:pPr>
        <w:snapToGrid w:val="0"/>
        <w:spacing w:line="400" w:lineRule="exact"/>
        <w:jc w:val="center"/>
        <w:rPr>
          <w:rFonts w:hint="eastAsia" w:ascii="宋体" w:hAnsi="宋体" w:cs="宋体"/>
          <w:b/>
          <w:color w:val="auto"/>
          <w:sz w:val="32"/>
          <w:highlight w:val="none"/>
        </w:rPr>
      </w:pPr>
    </w:p>
    <w:p>
      <w:pPr>
        <w:snapToGrid w:val="0"/>
        <w:spacing w:line="400" w:lineRule="exact"/>
        <w:jc w:val="center"/>
        <w:rPr>
          <w:rFonts w:hint="eastAsia" w:ascii="宋体" w:hAnsi="宋体" w:cs="宋体"/>
          <w:b/>
          <w:color w:val="auto"/>
          <w:sz w:val="32"/>
          <w:highlight w:val="none"/>
        </w:rPr>
      </w:pPr>
    </w:p>
    <w:p>
      <w:pPr>
        <w:snapToGrid w:val="0"/>
        <w:spacing w:line="400" w:lineRule="exact"/>
        <w:jc w:val="center"/>
        <w:rPr>
          <w:rFonts w:hint="eastAsia" w:ascii="宋体" w:hAnsi="宋体" w:cs="宋体"/>
          <w:b/>
          <w:color w:val="auto"/>
          <w:sz w:val="32"/>
          <w:highlight w:val="none"/>
        </w:rPr>
      </w:pPr>
    </w:p>
    <w:p>
      <w:pPr>
        <w:snapToGrid w:val="0"/>
        <w:spacing w:line="400" w:lineRule="exact"/>
        <w:jc w:val="center"/>
        <w:rPr>
          <w:rFonts w:hint="eastAsia" w:ascii="宋体" w:hAnsi="宋体" w:cs="宋体"/>
          <w:b/>
          <w:color w:val="auto"/>
          <w:sz w:val="32"/>
          <w:highlight w:val="none"/>
        </w:rPr>
      </w:pPr>
    </w:p>
    <w:p>
      <w:pPr>
        <w:snapToGrid w:val="0"/>
        <w:spacing w:line="400" w:lineRule="exact"/>
        <w:jc w:val="center"/>
        <w:rPr>
          <w:rFonts w:hint="eastAsia" w:ascii="宋体" w:hAnsi="宋体" w:cs="宋体"/>
          <w:b/>
          <w:color w:val="auto"/>
          <w:sz w:val="32"/>
          <w:highlight w:val="none"/>
        </w:rPr>
      </w:pPr>
    </w:p>
    <w:p>
      <w:pPr>
        <w:snapToGrid w:val="0"/>
        <w:spacing w:line="400" w:lineRule="exact"/>
        <w:jc w:val="center"/>
        <w:rPr>
          <w:rFonts w:hint="eastAsia" w:ascii="宋体" w:hAnsi="宋体" w:cs="宋体"/>
          <w:b/>
          <w:color w:val="auto"/>
          <w:sz w:val="32"/>
          <w:highlight w:val="none"/>
        </w:rPr>
      </w:pPr>
    </w:p>
    <w:p>
      <w:pPr>
        <w:snapToGrid w:val="0"/>
        <w:spacing w:line="400" w:lineRule="exact"/>
        <w:jc w:val="both"/>
        <w:rPr>
          <w:rFonts w:hint="eastAsia" w:ascii="宋体" w:hAnsi="宋体" w:cs="宋体"/>
          <w:b/>
          <w:color w:val="auto"/>
          <w:sz w:val="3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41514"/>
    <w:multiLevelType w:val="singleLevel"/>
    <w:tmpl w:val="AD641514"/>
    <w:lvl w:ilvl="0" w:tentative="0">
      <w:start w:val="2"/>
      <w:numFmt w:val="decimal"/>
      <w:suff w:val="space"/>
      <w:lvlText w:val="%1."/>
      <w:lvlJc w:val="left"/>
    </w:lvl>
  </w:abstractNum>
  <w:abstractNum w:abstractNumId="1">
    <w:nsid w:val="B90DD9CA"/>
    <w:multiLevelType w:val="singleLevel"/>
    <w:tmpl w:val="B90DD9CA"/>
    <w:lvl w:ilvl="0" w:tentative="0">
      <w:start w:val="1"/>
      <w:numFmt w:val="decimal"/>
      <w:suff w:val="nothing"/>
      <w:lvlText w:val="%1、"/>
      <w:lvlJc w:val="left"/>
    </w:lvl>
  </w:abstractNum>
  <w:abstractNum w:abstractNumId="2">
    <w:nsid w:val="0000000A"/>
    <w:multiLevelType w:val="singleLevel"/>
    <w:tmpl w:val="0000000A"/>
    <w:lvl w:ilvl="0" w:tentative="0">
      <w:start w:val="3"/>
      <w:numFmt w:val="chineseCounting"/>
      <w:suff w:val="nothing"/>
      <w:lvlText w:val="%1、"/>
      <w:lvlJc w:val="left"/>
      <w:rPr>
        <w:rFonts w:hint="eastAsia"/>
      </w:rPr>
    </w:lvl>
  </w:abstractNum>
  <w:abstractNum w:abstractNumId="3">
    <w:nsid w:val="21A02BDB"/>
    <w:multiLevelType w:val="multilevel"/>
    <w:tmpl w:val="21A02BDB"/>
    <w:lvl w:ilvl="0" w:tentative="0">
      <w:start w:val="1"/>
      <w:numFmt w:val="upperLetter"/>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38AF5FE7"/>
    <w:multiLevelType w:val="multilevel"/>
    <w:tmpl w:val="38AF5FE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FE7B152"/>
    <w:multiLevelType w:val="singleLevel"/>
    <w:tmpl w:val="3FE7B152"/>
    <w:lvl w:ilvl="0" w:tentative="0">
      <w:start w:val="2"/>
      <w:numFmt w:val="chineseCounting"/>
      <w:suff w:val="space"/>
      <w:lvlText w:val="%1、"/>
      <w:lvlJc w:val="left"/>
      <w:rPr>
        <w:rFonts w:hint="eastAsi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35112E32"/>
    <w:rsid w:val="50D5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spacing w:before="340" w:after="330" w:line="578" w:lineRule="auto"/>
      <w:outlineLvl w:val="0"/>
    </w:pPr>
    <w:rPr>
      <w:bCs/>
      <w:kern w:val="44"/>
      <w:sz w:val="44"/>
      <w:szCs w:val="44"/>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utoSpaceDE w:val="0"/>
      <w:autoSpaceDN w:val="0"/>
      <w:adjustRightInd w:val="0"/>
      <w:ind w:firstLine="420" w:firstLineChars="100"/>
      <w:jc w:val="left"/>
    </w:pPr>
    <w:rPr>
      <w:rFonts w:ascii="仿宋_GB2312"/>
      <w:b/>
      <w:kern w:val="0"/>
      <w:sz w:val="32"/>
      <w:szCs w:val="32"/>
    </w:rPr>
  </w:style>
  <w:style w:type="paragraph" w:styleId="5">
    <w:name w:val="Normal Indent"/>
    <w:basedOn w:val="1"/>
    <w:autoRedefine/>
    <w:qFormat/>
    <w:uiPriority w:val="0"/>
    <w:pPr>
      <w:adjustRightInd w:val="0"/>
      <w:spacing w:line="312" w:lineRule="atLeast"/>
      <w:ind w:firstLine="420"/>
      <w:textAlignment w:val="baseline"/>
    </w:pPr>
    <w:rPr>
      <w:rFonts w:ascii="宋体" w:hAnsi="Courier New"/>
      <w:kern w:val="0"/>
    </w:rPr>
  </w:style>
  <w:style w:type="paragraph" w:styleId="6">
    <w:name w:val="annotation text"/>
    <w:basedOn w:val="1"/>
    <w:autoRedefine/>
    <w:qFormat/>
    <w:uiPriority w:val="0"/>
    <w:pPr>
      <w:jc w:val="left"/>
    </w:pPr>
  </w:style>
  <w:style w:type="paragraph" w:styleId="7">
    <w:name w:val="toc 6"/>
    <w:basedOn w:val="1"/>
    <w:next w:val="1"/>
    <w:autoRedefine/>
    <w:qFormat/>
    <w:uiPriority w:val="0"/>
    <w:pPr>
      <w:autoSpaceDE w:val="0"/>
      <w:autoSpaceDN w:val="0"/>
      <w:adjustRightInd w:val="0"/>
      <w:ind w:left="2100" w:leftChars="1000"/>
      <w:jc w:val="left"/>
    </w:pPr>
    <w:rPr>
      <w:kern w:val="0"/>
      <w:sz w:val="20"/>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2024-01-03T06:56:45Z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E86B412BF41645FE9313DED586102219_12</vt:lpwstr>
  </property>
</Properties>
</file>