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spacing w:line="460" w:lineRule="exact"/>
              <w:ind w:left="433" w:leftChars="206" w:firstLine="0" w:firstLineChars="0"/>
              <w:jc w:val="left"/>
              <w:outlineLvl w:val="0"/>
              <w:rPr>
                <w:rFonts w:hint="eastAsia" w:ascii="新宋体" w:hAnsi="新宋体" w:eastAsia="新宋体" w:cs="Times New Roman"/>
                <w:color w:val="auto"/>
                <w:sz w:val="22"/>
                <w:szCs w:val="22"/>
                <w:highlight w:val="none"/>
                <w:lang w:val="en-US" w:eastAsia="zh-CN"/>
              </w:rPr>
            </w:pPr>
            <w:bookmarkStart w:id="0" w:name="_Toc32066"/>
            <w:r>
              <w:rPr>
                <w:rFonts w:hint="eastAsia" w:ascii="新宋体" w:hAnsi="新宋体" w:eastAsia="新宋体"/>
                <w:b/>
                <w:color w:val="auto"/>
                <w:sz w:val="30"/>
                <w:highlight w:val="none"/>
                <w:lang w:val="en-US" w:eastAsia="zh-CN"/>
              </w:rPr>
              <w:t xml:space="preserve"> </w:t>
            </w:r>
            <w:bookmarkEnd w:id="0"/>
            <w:r>
              <w:rPr>
                <w:rFonts w:hint="eastAsia" w:ascii="新宋体" w:hAnsi="新宋体" w:eastAsia="新宋体" w:cs="Times New Roman"/>
                <w:color w:val="auto"/>
                <w:sz w:val="22"/>
                <w:szCs w:val="22"/>
                <w:highlight w:val="none"/>
                <w:lang w:val="en-US" w:eastAsia="zh-CN"/>
              </w:rPr>
              <w:t>为帮助提高在校学生参加浙江省普通高校专升本考试成绩，加强考前辅导，为专升本考生营造更加良好的学习条件，提高我校学生专升本通过率。经研究，决定公开遴选资质齐全、实力较强的培训机构为我校学生开展普通专升本考前辅导，现将有关情况通告如下：</w:t>
            </w:r>
          </w:p>
          <w:p>
            <w:pPr>
              <w:numPr>
                <w:ilvl w:val="0"/>
                <w:numId w:val="1"/>
              </w:numPr>
              <w:spacing w:line="460" w:lineRule="exact"/>
              <w:ind w:left="0" w:leftChars="0" w:firstLine="420" w:firstLineChars="0"/>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基本思路</w:t>
            </w:r>
          </w:p>
          <w:p>
            <w:pPr>
              <w:spacing w:line="460" w:lineRule="exact"/>
              <w:ind w:firstLine="539" w:firstLineChars="245"/>
              <w:rPr>
                <w:rFonts w:hint="eastAsia" w:ascii="新宋体" w:hAnsi="新宋体" w:eastAsia="新宋体" w:cs="Times New Roman"/>
                <w:color w:val="auto"/>
                <w:sz w:val="22"/>
                <w:szCs w:val="22"/>
                <w:highlight w:val="none"/>
                <w:lang w:eastAsia="zh-CN"/>
              </w:rPr>
            </w:pPr>
            <w:r>
              <w:rPr>
                <w:rFonts w:hint="eastAsia" w:ascii="新宋体" w:hAnsi="新宋体" w:eastAsia="新宋体" w:cs="Times New Roman"/>
                <w:color w:val="auto"/>
                <w:sz w:val="22"/>
                <w:szCs w:val="22"/>
                <w:highlight w:val="none"/>
              </w:rPr>
              <w:t>面向社会公开邀请资质齐全、实力较强</w:t>
            </w:r>
            <w:r>
              <w:rPr>
                <w:rFonts w:hint="eastAsia" w:ascii="新宋体" w:hAnsi="新宋体" w:eastAsia="新宋体" w:cs="Times New Roman"/>
                <w:color w:val="auto"/>
                <w:sz w:val="22"/>
                <w:szCs w:val="22"/>
                <w:highlight w:val="none"/>
                <w:lang w:eastAsia="zh-CN"/>
              </w:rPr>
              <w:t>，且具有一定专升本考前辅导经验的培训机构开展辅导。</w:t>
            </w:r>
          </w:p>
          <w:p>
            <w:pPr>
              <w:numPr>
                <w:ilvl w:val="0"/>
                <w:numId w:val="1"/>
              </w:numPr>
              <w:spacing w:line="460" w:lineRule="exact"/>
              <w:ind w:left="0" w:leftChars="0" w:firstLine="420" w:firstLineChars="0"/>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辅导内容</w:t>
            </w:r>
          </w:p>
          <w:p>
            <w:pPr>
              <w:spacing w:line="460" w:lineRule="exact"/>
              <w:ind w:firstLine="539" w:firstLineChars="245"/>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针对</w:t>
            </w:r>
            <w:r>
              <w:rPr>
                <w:rFonts w:hint="eastAsia" w:ascii="新宋体" w:hAnsi="新宋体" w:eastAsia="新宋体" w:cs="Times New Roman"/>
                <w:color w:val="auto"/>
                <w:sz w:val="22"/>
                <w:szCs w:val="22"/>
                <w:highlight w:val="none"/>
                <w:lang w:eastAsia="zh-CN"/>
              </w:rPr>
              <w:t>职业技术学院</w:t>
            </w:r>
            <w:r>
              <w:rPr>
                <w:rFonts w:hint="eastAsia" w:ascii="新宋体" w:hAnsi="新宋体" w:eastAsia="新宋体" w:cs="Times New Roman"/>
                <w:color w:val="auto"/>
                <w:sz w:val="22"/>
                <w:szCs w:val="22"/>
                <w:highlight w:val="none"/>
              </w:rPr>
              <w:t>校区、校区自愿报名参加专升本考试的学生，开设相应专升本课程教学与辅导。</w:t>
            </w:r>
          </w:p>
          <w:p>
            <w:pPr>
              <w:numPr>
                <w:ilvl w:val="0"/>
                <w:numId w:val="1"/>
              </w:numPr>
              <w:spacing w:line="460" w:lineRule="exact"/>
              <w:ind w:left="0" w:leftChars="0" w:firstLine="420" w:firstLineChars="0"/>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培训机构职责</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1.落实好课程教学师资，并承担授课、交通、住宿等一切费用。 </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2.研发和提供辅导班教学需要的教材、讲义、试卷等教学资料。</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3.开展招生工作的执行及支付招生宣传的各项费用。 </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4.每班需设置教务专员1名，做好学员课程安排、课业监督、心理疏导及集训期间的生活管理。</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5.集训期间晚上安排自习课两节，安排助教进班辅导，查缺补漏。日常学习中，学员可通过电话、QQ、微信等方式联系助教答疑解惑。</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6.做好志愿填报服务工作，考前安排专业人员对学生进行志愿填报1对1指导。</w:t>
            </w:r>
          </w:p>
          <w:p>
            <w:pPr>
              <w:numPr>
                <w:ilvl w:val="0"/>
                <w:numId w:val="1"/>
              </w:numPr>
              <w:spacing w:line="460" w:lineRule="exact"/>
              <w:ind w:left="0" w:leftChars="0" w:firstLine="420" w:firstLineChars="0"/>
              <w:rPr>
                <w:rFonts w:hint="default"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培训机构承诺要求</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1.认真组织教学，切实保障教学质量，提高学生专升本上线率。</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2.以学生为本，确保安全，承担学生辅导期间的安全责任。</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3.在我校的工作人员应严格遵守学校的各项规章制度。</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4.在我校服务期间培训机构不得恶性竞争。</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5.在我校服务期间培训机构有违法违规行为，经学校确认，学校有权单方面扣除培训机构所有</w:t>
            </w:r>
            <w:r>
              <w:rPr>
                <w:rFonts w:hint="default" w:ascii="新宋体" w:hAnsi="新宋体" w:eastAsia="新宋体" w:cs="新宋体"/>
                <w:i w:val="0"/>
                <w:iCs w:val="0"/>
                <w:color w:val="auto"/>
                <w:kern w:val="0"/>
                <w:sz w:val="22"/>
                <w:szCs w:val="22"/>
                <w:highlight w:val="none"/>
                <w:u w:val="none"/>
                <w:lang w:val="en-US" w:eastAsia="zh-CN" w:bidi="ar"/>
              </w:rPr>
              <w:t>公共资源使用费</w:t>
            </w:r>
            <w:r>
              <w:rPr>
                <w:rFonts w:hint="eastAsia" w:ascii="新宋体" w:hAnsi="新宋体" w:eastAsia="新宋体" w:cs="新宋体"/>
                <w:i w:val="0"/>
                <w:iCs w:val="0"/>
                <w:color w:val="auto"/>
                <w:kern w:val="0"/>
                <w:sz w:val="22"/>
                <w:szCs w:val="22"/>
                <w:highlight w:val="none"/>
                <w:u w:val="none"/>
                <w:lang w:val="en-US" w:eastAsia="zh-CN" w:bidi="ar"/>
              </w:rPr>
              <w:t>与管理服务费</w:t>
            </w:r>
            <w:r>
              <w:rPr>
                <w:rFonts w:hint="eastAsia" w:ascii="新宋体" w:hAnsi="新宋体" w:eastAsia="新宋体" w:cs="Times New Roman"/>
                <w:color w:val="auto"/>
                <w:sz w:val="22"/>
                <w:szCs w:val="22"/>
                <w:highlight w:val="none"/>
                <w:lang w:val="en-US" w:eastAsia="zh-CN"/>
              </w:rPr>
              <w:t>。</w:t>
            </w:r>
          </w:p>
          <w:p>
            <w:pPr>
              <w:spacing w:line="460" w:lineRule="exact"/>
              <w:ind w:firstLine="539" w:firstLineChars="245"/>
              <w:rPr>
                <w:rFonts w:hint="default"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6.在服务期任何一个年度，中标人放弃中标资格的，学校将没收中标人提交的全额</w:t>
            </w:r>
            <w:r>
              <w:rPr>
                <w:rFonts w:hint="eastAsia" w:ascii="新宋体" w:hAnsi="新宋体" w:eastAsia="新宋体" w:cs="新宋体"/>
                <w:i w:val="0"/>
                <w:iCs w:val="0"/>
                <w:color w:val="auto"/>
                <w:kern w:val="0"/>
                <w:sz w:val="22"/>
                <w:szCs w:val="22"/>
                <w:highlight w:val="none"/>
                <w:u w:val="none"/>
                <w:lang w:val="en-US" w:eastAsia="zh-CN" w:bidi="ar"/>
              </w:rPr>
              <w:t>履约保证金</w:t>
            </w:r>
            <w:r>
              <w:rPr>
                <w:rFonts w:hint="eastAsia" w:ascii="新宋体" w:hAnsi="新宋体" w:eastAsia="新宋体" w:cs="Times New Roman"/>
                <w:color w:val="auto"/>
                <w:sz w:val="22"/>
                <w:szCs w:val="22"/>
                <w:highlight w:val="none"/>
                <w:lang w:val="en-US" w:eastAsia="zh-CN"/>
              </w:rPr>
              <w:t>。</w:t>
            </w:r>
          </w:p>
          <w:p>
            <w:pPr>
              <w:pStyle w:val="2"/>
              <w:rPr>
                <w:rFonts w:hint="default"/>
                <w:color w:val="auto"/>
                <w:highlight w:val="none"/>
                <w:lang w:val="en-US" w:eastAsia="zh-CN"/>
              </w:rPr>
            </w:pPr>
          </w:p>
          <w:p>
            <w:pPr>
              <w:numPr>
                <w:ilvl w:val="0"/>
                <w:numId w:val="1"/>
              </w:numPr>
              <w:spacing w:line="460" w:lineRule="exact"/>
              <w:ind w:left="0" w:leftChars="0" w:firstLine="420" w:firstLineChars="0"/>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学校承诺</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1.营造良好学习氛围，鼓励学生积极参加专升本考试及相关辅导。</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2.在学校硬件条件允许下为中标培训机构提供学生大一、大二期间在校辅导学习所需教室、计算机房、办公室等办学场所和空间。</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3.禁止非中标单位在学校及相关场所开展专升本有关的宣传、展示、宣讲等活动。</w:t>
            </w:r>
          </w:p>
          <w:p>
            <w:pPr>
              <w:spacing w:line="460" w:lineRule="exact"/>
              <w:ind w:firstLine="539" w:firstLineChars="2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4.学校任何相关人员不得从培训机构收取专升本学生推荐费用。</w:t>
            </w:r>
          </w:p>
          <w:p>
            <w:pPr>
              <w:numPr>
                <w:ilvl w:val="0"/>
                <w:numId w:val="1"/>
              </w:numPr>
              <w:spacing w:line="460" w:lineRule="exact"/>
              <w:ind w:left="0" w:leftChars="0" w:firstLine="420" w:firstLineChars="0"/>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办学期限</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Times New Roman"/>
                <w:color w:val="auto"/>
                <w:sz w:val="22"/>
                <w:szCs w:val="22"/>
                <w:highlight w:val="none"/>
                <w:lang w:val="en-US" w:eastAsia="zh-CN"/>
              </w:rPr>
              <w:t>合同期限三年（以合同约定时间为准）。合同期满后，乙方应继续履行本合同存续期间所招收学生的相关培训及服务工作。</w:t>
            </w:r>
          </w:p>
          <w:p>
            <w:pPr>
              <w:pStyle w:val="3"/>
              <w:rPr>
                <w:color w:val="auto"/>
                <w:highlight w:val="none"/>
                <w:vertAlign w:val="baseline"/>
              </w:rPr>
            </w:pPr>
          </w:p>
        </w:tc>
      </w:tr>
    </w:tbl>
    <w:p>
      <w:pPr>
        <w:pStyle w:val="3"/>
        <w:rPr>
          <w:color w:val="auto"/>
          <w:highlight w:val="none"/>
        </w:rPr>
      </w:pPr>
    </w:p>
    <w:p>
      <w:pPr>
        <w:numPr>
          <w:ilvl w:val="0"/>
          <w:numId w:val="2"/>
        </w:numPr>
        <w:spacing w:line="360" w:lineRule="exact"/>
        <w:outlineLvl w:val="0"/>
        <w:rPr>
          <w:rFonts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p>
      <w:pPr>
        <w:pStyle w:val="3"/>
        <w:ind w:firstLine="0" w:firstLineChars="0"/>
        <w:rPr>
          <w:color w:val="auto"/>
          <w:highlight w:val="none"/>
        </w:rPr>
      </w:pPr>
    </w:p>
    <w:tbl>
      <w:tblPr>
        <w:tblStyle w:val="6"/>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8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ascii="宋体" w:hAnsi="宋体" w:cs="宋体"/>
                <w:color w:val="auto"/>
                <w:sz w:val="22"/>
                <w:highlight w:val="none"/>
              </w:rPr>
            </w:pPr>
            <w:r>
              <w:rPr>
                <w:rFonts w:hint="eastAsia" w:ascii="宋体" w:hAnsi="宋体" w:cs="宋体"/>
                <w:bCs/>
                <w:color w:val="auto"/>
                <w:sz w:val="22"/>
                <w:highlight w:val="none"/>
              </w:rPr>
              <w:t>服务时间</w:t>
            </w:r>
          </w:p>
        </w:tc>
        <w:tc>
          <w:tcPr>
            <w:tcW w:w="8058" w:type="dxa"/>
            <w:vAlign w:val="center"/>
          </w:tcPr>
          <w:p>
            <w:pPr>
              <w:spacing w:line="460" w:lineRule="exact"/>
              <w:rPr>
                <w:rFonts w:ascii="宋体" w:hAnsi="宋体" w:cs="宋体"/>
                <w:color w:val="auto"/>
                <w:sz w:val="22"/>
                <w:highlight w:val="none"/>
              </w:rPr>
            </w:pPr>
            <w:r>
              <w:rPr>
                <w:rFonts w:hint="eastAsia" w:ascii="新宋体" w:hAnsi="新宋体" w:eastAsia="新宋体" w:cs="Times New Roman"/>
                <w:color w:val="auto"/>
                <w:sz w:val="22"/>
                <w:szCs w:val="22"/>
                <w:highlight w:val="none"/>
                <w:lang w:val="en-US" w:eastAsia="zh-CN"/>
              </w:rPr>
              <w:t>合同期限三年（以合同约定时间为准）。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ascii="宋体" w:hAnsi="宋体" w:cs="宋体"/>
                <w:color w:val="auto"/>
                <w:sz w:val="22"/>
                <w:highlight w:val="none"/>
              </w:rPr>
            </w:pPr>
            <w:r>
              <w:rPr>
                <w:rFonts w:hint="eastAsia" w:ascii="宋体" w:hAnsi="宋体" w:cs="宋体"/>
                <w:color w:val="auto"/>
                <w:spacing w:val="-6"/>
                <w:sz w:val="22"/>
                <w:highlight w:val="none"/>
              </w:rPr>
              <w:t>服务地点</w:t>
            </w:r>
          </w:p>
        </w:tc>
        <w:tc>
          <w:tcPr>
            <w:tcW w:w="8058" w:type="dxa"/>
            <w:vAlign w:val="center"/>
          </w:tcPr>
          <w:p>
            <w:pPr>
              <w:widowControl/>
              <w:spacing w:line="400" w:lineRule="exact"/>
              <w:jc w:val="left"/>
              <w:textAlignment w:val="center"/>
              <w:rPr>
                <w:rFonts w:ascii="宋体" w:hAnsi="宋体" w:cs="宋体"/>
                <w:color w:val="auto"/>
                <w:sz w:val="22"/>
                <w:highlight w:val="none"/>
              </w:rPr>
            </w:pPr>
            <w:r>
              <w:rPr>
                <w:rFonts w:hint="eastAsia" w:ascii="宋体" w:hAnsi="宋体" w:cs="宋体"/>
                <w:color w:val="auto"/>
                <w:kern w:val="0"/>
                <w:sz w:val="22"/>
                <w:highlight w:val="none"/>
              </w:rPr>
              <w:t>浙江安防职业技术学院指定地点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hint="default" w:ascii="宋体" w:hAnsi="宋体" w:eastAsia="宋体" w:cs="宋体"/>
                <w:color w:val="auto"/>
                <w:spacing w:val="-6"/>
                <w:sz w:val="22"/>
                <w:highlight w:val="none"/>
                <w:u w:val="single"/>
                <w:lang w:val="en-US" w:eastAsia="zh-CN"/>
              </w:rPr>
            </w:pPr>
            <w:r>
              <w:rPr>
                <w:rFonts w:hint="eastAsia" w:ascii="宋体" w:hAnsi="宋体" w:cs="宋体"/>
                <w:b/>
                <w:color w:val="auto"/>
                <w:spacing w:val="-6"/>
                <w:sz w:val="22"/>
                <w:highlight w:val="none"/>
                <w:u w:val="single"/>
              </w:rPr>
              <w:t>▲</w:t>
            </w:r>
            <w:r>
              <w:rPr>
                <w:rFonts w:hint="default" w:ascii="新宋体" w:hAnsi="新宋体" w:eastAsia="新宋体" w:cs="新宋体"/>
                <w:i w:val="0"/>
                <w:iCs w:val="0"/>
                <w:color w:val="auto"/>
                <w:kern w:val="0"/>
                <w:sz w:val="22"/>
                <w:szCs w:val="22"/>
                <w:highlight w:val="none"/>
                <w:u w:val="single"/>
                <w:lang w:val="en-US" w:eastAsia="zh-CN" w:bidi="ar"/>
              </w:rPr>
              <w:t>公共资源使用费</w:t>
            </w:r>
            <w:r>
              <w:rPr>
                <w:rFonts w:hint="eastAsia" w:ascii="新宋体" w:hAnsi="新宋体" w:eastAsia="新宋体" w:cs="新宋体"/>
                <w:i w:val="0"/>
                <w:iCs w:val="0"/>
                <w:color w:val="auto"/>
                <w:kern w:val="0"/>
                <w:sz w:val="22"/>
                <w:szCs w:val="22"/>
                <w:highlight w:val="none"/>
                <w:u w:val="single"/>
                <w:lang w:val="en-US" w:eastAsia="zh-CN" w:bidi="ar"/>
              </w:rPr>
              <w:t>与管理服务费收取方式</w:t>
            </w:r>
          </w:p>
        </w:tc>
        <w:tc>
          <w:tcPr>
            <w:tcW w:w="8058" w:type="dxa"/>
            <w:vAlign w:val="center"/>
          </w:tcPr>
          <w:p>
            <w:pPr>
              <w:widowControl/>
              <w:spacing w:line="400" w:lineRule="exact"/>
              <w:jc w:val="left"/>
              <w:textAlignment w:val="center"/>
              <w:rPr>
                <w:rFonts w:hint="default" w:ascii="宋体" w:hAnsi="宋体" w:eastAsia="宋体" w:cs="宋体"/>
                <w:color w:val="auto"/>
                <w:kern w:val="0"/>
                <w:sz w:val="22"/>
                <w:highlight w:val="none"/>
                <w:u w:val="single"/>
                <w:lang w:val="en-US" w:eastAsia="zh-CN"/>
              </w:rPr>
            </w:pPr>
            <w:r>
              <w:rPr>
                <w:rFonts w:hint="default" w:ascii="新宋体" w:hAnsi="新宋体" w:eastAsia="新宋体" w:cs="新宋体"/>
                <w:i w:val="0"/>
                <w:iCs w:val="0"/>
                <w:color w:val="auto"/>
                <w:kern w:val="0"/>
                <w:sz w:val="22"/>
                <w:szCs w:val="22"/>
                <w:highlight w:val="none"/>
                <w:u w:val="single"/>
                <w:lang w:val="en-US" w:eastAsia="zh-CN" w:bidi="ar"/>
              </w:rPr>
              <w:t>公共资源使用费</w:t>
            </w:r>
            <w:r>
              <w:rPr>
                <w:rFonts w:hint="eastAsia" w:ascii="新宋体" w:hAnsi="新宋体" w:eastAsia="新宋体" w:cs="新宋体"/>
                <w:i w:val="0"/>
                <w:iCs w:val="0"/>
                <w:color w:val="auto"/>
                <w:kern w:val="0"/>
                <w:sz w:val="22"/>
                <w:szCs w:val="22"/>
                <w:highlight w:val="none"/>
                <w:u w:val="single"/>
                <w:lang w:val="en-US" w:eastAsia="zh-CN" w:bidi="ar"/>
              </w:rPr>
              <w:t>与管理服务费按年收取，按先支付后开展服务为基本要求，第一年费用乙方应于合同签订后7个工作日内打入甲方指定账号，第二年费用乙方应于2025年04月30日前打入甲方指定账号，第三年费用乙方应于2026年04月30日前内打入甲方指定账号；</w:t>
            </w:r>
            <w:r>
              <w:rPr>
                <w:rFonts w:hint="eastAsia" w:ascii="新宋体" w:hAnsi="新宋体" w:eastAsia="新宋体" w:cs="新宋体"/>
                <w:b/>
                <w:bCs/>
                <w:i w:val="0"/>
                <w:iCs w:val="0"/>
                <w:color w:val="auto"/>
                <w:kern w:val="0"/>
                <w:sz w:val="22"/>
                <w:szCs w:val="22"/>
                <w:highlight w:val="none"/>
                <w:u w:val="single"/>
                <w:lang w:val="en-US" w:eastAsia="zh-CN" w:bidi="ar"/>
              </w:rPr>
              <w:t>未按规定支付以上费用的视为自动放弃中标资格，没收全额履约保证金。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rPr>
                <w:rFonts w:hint="eastAsia" w:ascii="宋体" w:hAnsi="宋体" w:cs="宋体"/>
                <w:color w:val="auto"/>
                <w:spacing w:val="-6"/>
                <w:sz w:val="22"/>
                <w:highlight w:val="none"/>
                <w:u w:val="single"/>
                <w:lang w:val="en-US" w:eastAsia="zh-CN"/>
              </w:rPr>
            </w:pPr>
            <w:r>
              <w:rPr>
                <w:rFonts w:hint="eastAsia" w:ascii="宋体" w:hAnsi="宋体" w:cs="宋体"/>
                <w:b/>
                <w:color w:val="auto"/>
                <w:spacing w:val="-6"/>
                <w:sz w:val="22"/>
                <w:highlight w:val="none"/>
                <w:u w:val="single"/>
              </w:rPr>
              <w:t>▲</w:t>
            </w:r>
            <w:r>
              <w:rPr>
                <w:rFonts w:hint="eastAsia" w:ascii="宋体" w:hAnsi="宋体" w:cs="宋体"/>
                <w:color w:val="auto"/>
                <w:spacing w:val="-6"/>
                <w:sz w:val="22"/>
                <w:highlight w:val="none"/>
                <w:u w:val="single"/>
                <w:lang w:val="en-US" w:eastAsia="zh-CN"/>
              </w:rPr>
              <w:t>履约保证金收取方式</w:t>
            </w:r>
          </w:p>
        </w:tc>
        <w:tc>
          <w:tcPr>
            <w:tcW w:w="8058" w:type="dxa"/>
            <w:vAlign w:val="center"/>
          </w:tcPr>
          <w:p>
            <w:pPr>
              <w:widowControl/>
              <w:spacing w:line="360" w:lineRule="auto"/>
              <w:jc w:val="left"/>
              <w:textAlignment w:val="auto"/>
              <w:rPr>
                <w:rFonts w:hint="default" w:ascii="宋体" w:hAnsi="宋体" w:cs="宋体"/>
                <w:color w:val="auto"/>
                <w:kern w:val="0"/>
                <w:sz w:val="22"/>
                <w:highlight w:val="none"/>
                <w:u w:val="single"/>
                <w:lang w:val="en-US" w:eastAsia="zh-CN"/>
              </w:rPr>
            </w:pPr>
            <w:r>
              <w:rPr>
                <w:rFonts w:hint="eastAsia" w:ascii="宋体" w:hAnsi="宋体" w:cs="宋体"/>
                <w:color w:val="auto"/>
                <w:kern w:val="0"/>
                <w:sz w:val="22"/>
                <w:highlight w:val="none"/>
                <w:u w:val="single"/>
                <w:lang w:eastAsia="zh-CN"/>
              </w:rPr>
              <w:t>甲方</w:t>
            </w:r>
            <w:r>
              <w:rPr>
                <w:rFonts w:hint="eastAsia" w:ascii="宋体" w:hAnsi="宋体" w:cs="宋体"/>
                <w:color w:val="auto"/>
                <w:kern w:val="0"/>
                <w:sz w:val="22"/>
                <w:highlight w:val="none"/>
                <w:u w:val="single"/>
                <w:lang w:val="en-US" w:eastAsia="zh-CN"/>
              </w:rPr>
              <w:t>按合同金额的1%的履约保证金进行收取，在合同签订后7个工作日内打入甲方指定账户</w:t>
            </w:r>
            <w:r>
              <w:rPr>
                <w:rFonts w:hint="eastAsia" w:ascii="宋体" w:hAnsi="宋体" w:cs="宋体"/>
                <w:color w:val="auto"/>
                <w:sz w:val="22"/>
                <w:highlight w:val="none"/>
                <w:u w:val="single"/>
              </w:rPr>
              <w:t>（接受银行转账、支票、汇票、本票、履约保函等多种非现金形式），履约保证金自</w:t>
            </w:r>
            <w:r>
              <w:rPr>
                <w:rFonts w:hint="eastAsia" w:ascii="宋体" w:hAnsi="宋体" w:cs="宋体"/>
                <w:color w:val="auto"/>
                <w:sz w:val="22"/>
                <w:highlight w:val="none"/>
                <w:u w:val="single"/>
                <w:lang w:eastAsia="zh-CN"/>
              </w:rPr>
              <w:t>服务期结束</w:t>
            </w:r>
            <w:r>
              <w:rPr>
                <w:rFonts w:hint="eastAsia" w:ascii="宋体" w:hAnsi="宋体" w:cs="宋体"/>
                <w:color w:val="auto"/>
                <w:sz w:val="22"/>
                <w:highlight w:val="none"/>
                <w:u w:val="single"/>
              </w:rPr>
              <w:t>无息退还。</w:t>
            </w:r>
          </w:p>
        </w:tc>
      </w:tr>
    </w:tbl>
    <w:p>
      <w:pPr>
        <w:rPr>
          <w:color w:val="auto"/>
          <w:highlight w:val="none"/>
        </w:rPr>
      </w:pPr>
    </w:p>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3"/>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3"/>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3"/>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F"/>
    <w:multiLevelType w:val="singleLevel"/>
    <w:tmpl w:val="0000000F"/>
    <w:lvl w:ilvl="0" w:tentative="0">
      <w:start w:val="2"/>
      <w:numFmt w:val="chineseCounting"/>
      <w:suff w:val="space"/>
      <w:lvlText w:val="%1、"/>
      <w:lvlJc w:val="left"/>
      <w:rPr>
        <w:rFonts w:hint="eastAsia"/>
      </w:rPr>
    </w:lvl>
  </w:abstractNum>
  <w:abstractNum w:abstractNumId="2">
    <w:nsid w:val="748F7326"/>
    <w:multiLevelType w:val="singleLevel"/>
    <w:tmpl w:val="748F7326"/>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6D9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autoSpaceDE w:val="0"/>
      <w:autoSpaceDN w:val="0"/>
      <w:adjustRightInd w:val="0"/>
      <w:ind w:firstLine="420" w:firstLineChars="100"/>
      <w:jc w:val="left"/>
    </w:pPr>
    <w:rPr>
      <w:rFonts w:ascii="仿宋_GB2312"/>
      <w:b/>
      <w:kern w:val="0"/>
      <w:sz w:val="32"/>
      <w:szCs w:val="32"/>
    </w:r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Body Text Indent"/>
    <w:basedOn w:val="1"/>
    <w:next w:val="1"/>
    <w:qFormat/>
    <w:uiPriority w:val="0"/>
    <w:pPr>
      <w:ind w:left="480" w:hanging="480" w:hangingChars="200"/>
    </w:pPr>
    <w:rPr>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2024-05-24T02:47:35Z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9F8C1E19A2C04D4A8522FCE0EEFA3FFD_12</vt:lpwstr>
  </property>
</Properties>
</file>