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22EF1">
      <w:pPr>
        <w:spacing w:line="440" w:lineRule="exact"/>
        <w:rPr>
          <w:rFonts w:hint="eastAsia" w:ascii="宋体" w:hAnsi="宋体"/>
          <w:b/>
          <w:bCs/>
          <w:color w:val="auto"/>
          <w:spacing w:val="140"/>
          <w:w w:val="50"/>
          <w:sz w:val="52"/>
          <w:szCs w:val="52"/>
        </w:rPr>
      </w:pPr>
    </w:p>
    <w:p w14:paraId="5EF72EB3">
      <w:pPr>
        <w:jc w:val="center"/>
        <w:rPr>
          <w:rFonts w:hint="eastAsia" w:ascii="宋体" w:hAnsi="宋体"/>
          <w:b/>
          <w:bCs/>
          <w:color w:val="auto"/>
          <w:spacing w:val="20"/>
          <w:sz w:val="84"/>
          <w:szCs w:val="84"/>
        </w:rPr>
      </w:pPr>
      <w:r>
        <w:rPr>
          <w:rFonts w:hint="eastAsia" w:ascii="宋体" w:hAnsi="宋体"/>
          <w:b/>
          <w:bCs/>
          <w:color w:val="auto"/>
          <w:spacing w:val="20"/>
          <w:sz w:val="84"/>
          <w:szCs w:val="84"/>
        </w:rPr>
        <w:t>温州市政府（分散）采购</w:t>
      </w:r>
    </w:p>
    <w:p w14:paraId="56B4234E">
      <w:pPr>
        <w:ind w:firstLine="2357" w:firstLineChars="235"/>
        <w:rPr>
          <w:rFonts w:hint="eastAsia" w:ascii="宋体" w:hAnsi="宋体"/>
          <w:b/>
          <w:bCs/>
          <w:color w:val="auto"/>
          <w:spacing w:val="140"/>
          <w:sz w:val="72"/>
        </w:rPr>
      </w:pPr>
    </w:p>
    <w:p w14:paraId="6FA2F3F8">
      <w:pPr>
        <w:ind w:firstLine="2357" w:firstLineChars="235"/>
        <w:rPr>
          <w:rFonts w:hint="eastAsia" w:ascii="宋体" w:hAnsi="宋体"/>
          <w:b/>
          <w:bCs/>
          <w:color w:val="auto"/>
          <w:spacing w:val="140"/>
          <w:sz w:val="72"/>
        </w:rPr>
      </w:pPr>
    </w:p>
    <w:p w14:paraId="2D8EB6C3">
      <w:pPr>
        <w:jc w:val="center"/>
        <w:rPr>
          <w:rFonts w:hint="eastAsia" w:ascii="宋体" w:hAnsi="宋体"/>
          <w:b/>
          <w:bCs/>
          <w:color w:val="auto"/>
          <w:spacing w:val="140"/>
          <w:sz w:val="72"/>
        </w:rPr>
      </w:pPr>
    </w:p>
    <w:p w14:paraId="7ABD8AB1">
      <w:pPr>
        <w:spacing w:line="900" w:lineRule="exact"/>
        <w:jc w:val="center"/>
        <w:rPr>
          <w:rFonts w:hint="eastAsia" w:ascii="宋体" w:hAnsi="宋体"/>
          <w:b/>
          <w:bCs/>
          <w:color w:val="auto"/>
          <w:spacing w:val="140"/>
          <w:sz w:val="84"/>
          <w:szCs w:val="84"/>
        </w:rPr>
      </w:pPr>
      <w:r>
        <w:rPr>
          <w:rFonts w:hint="eastAsia" w:ascii="宋体" w:hAnsi="宋体"/>
          <w:b/>
          <w:bCs/>
          <w:color w:val="auto"/>
          <w:spacing w:val="140"/>
          <w:sz w:val="84"/>
          <w:szCs w:val="84"/>
        </w:rPr>
        <w:t>磋 商 文 件</w:t>
      </w:r>
    </w:p>
    <w:p w14:paraId="03EE5DBB">
      <w:pPr>
        <w:spacing w:line="400" w:lineRule="exact"/>
        <w:jc w:val="center"/>
        <w:rPr>
          <w:rFonts w:hint="eastAsia" w:ascii="宋体" w:hAnsi="宋体"/>
          <w:b/>
          <w:bCs/>
          <w:color w:val="auto"/>
          <w:sz w:val="32"/>
          <w:szCs w:val="32"/>
        </w:rPr>
      </w:pPr>
    </w:p>
    <w:p w14:paraId="1879C740">
      <w:pPr>
        <w:spacing w:line="400" w:lineRule="exact"/>
        <w:jc w:val="center"/>
        <w:rPr>
          <w:rFonts w:hint="eastAsia" w:ascii="宋体" w:hAnsi="宋体"/>
          <w:b/>
          <w:bCs/>
          <w:color w:val="auto"/>
          <w:sz w:val="32"/>
          <w:szCs w:val="32"/>
        </w:rPr>
      </w:pPr>
    </w:p>
    <w:p w14:paraId="134593E4">
      <w:pPr>
        <w:spacing w:line="400" w:lineRule="exact"/>
        <w:jc w:val="center"/>
        <w:rPr>
          <w:rFonts w:hint="eastAsia" w:ascii="宋体" w:hAnsi="宋体"/>
          <w:b/>
          <w:bCs/>
          <w:color w:val="auto"/>
          <w:sz w:val="24"/>
        </w:rPr>
      </w:pPr>
    </w:p>
    <w:p w14:paraId="4433D4E1">
      <w:pPr>
        <w:rPr>
          <w:rFonts w:hint="eastAsia" w:ascii="宋体" w:hAnsi="宋体"/>
          <w:b/>
          <w:bCs/>
          <w:color w:val="auto"/>
          <w:sz w:val="24"/>
        </w:rPr>
      </w:pPr>
    </w:p>
    <w:p w14:paraId="36233282">
      <w:pPr>
        <w:ind w:firstLine="1140" w:firstLineChars="300"/>
        <w:rPr>
          <w:rFonts w:hint="eastAsia" w:ascii="宋体" w:hAnsi="宋体"/>
          <w:color w:val="auto"/>
          <w:spacing w:val="40"/>
          <w:sz w:val="30"/>
          <w:szCs w:val="30"/>
        </w:rPr>
      </w:pPr>
    </w:p>
    <w:p w14:paraId="108C64C3">
      <w:pPr>
        <w:widowControl/>
        <w:spacing w:line="440" w:lineRule="exact"/>
        <w:ind w:firstLine="1566" w:firstLineChars="450"/>
        <w:rPr>
          <w:rFonts w:ascii="宋体" w:hAnsi="宋体"/>
          <w:color w:val="auto"/>
          <w:spacing w:val="24"/>
          <w:sz w:val="30"/>
          <w:szCs w:val="30"/>
        </w:rPr>
      </w:pPr>
      <w:r>
        <w:rPr>
          <w:rFonts w:hint="eastAsia" w:ascii="宋体" w:hAnsi="宋体"/>
          <w:color w:val="auto"/>
          <w:spacing w:val="24"/>
          <w:sz w:val="30"/>
          <w:szCs w:val="30"/>
        </w:rPr>
        <w:t>项 目 编 号：WZZF2024(ZC)-04-076（</w:t>
      </w:r>
      <w:r>
        <w:rPr>
          <w:rFonts w:hint="eastAsia" w:ascii="宋体" w:hAnsi="宋体"/>
          <w:color w:val="auto"/>
          <w:spacing w:val="24"/>
          <w:sz w:val="30"/>
          <w:szCs w:val="30"/>
          <w:lang w:val="en-US" w:eastAsia="zh-CN"/>
        </w:rPr>
        <w:t>CS</w:t>
      </w:r>
      <w:r>
        <w:rPr>
          <w:rFonts w:hint="eastAsia" w:ascii="宋体" w:hAnsi="宋体"/>
          <w:color w:val="auto"/>
          <w:spacing w:val="24"/>
          <w:sz w:val="30"/>
          <w:szCs w:val="30"/>
        </w:rPr>
        <w:t>）</w:t>
      </w:r>
    </w:p>
    <w:p w14:paraId="247D0637">
      <w:pPr>
        <w:keepNext w:val="0"/>
        <w:keepLines w:val="0"/>
        <w:pageBreakBefore w:val="0"/>
        <w:widowControl w:val="0"/>
        <w:kinsoku/>
        <w:wordWrap/>
        <w:overflowPunct/>
        <w:topLinePunct w:val="0"/>
        <w:autoSpaceDE/>
        <w:autoSpaceDN/>
        <w:bidi w:val="0"/>
        <w:adjustRightInd/>
        <w:snapToGrid/>
        <w:spacing w:line="600" w:lineRule="exact"/>
        <w:ind w:left="4005" w:leftChars="747" w:hanging="2436" w:hangingChars="700"/>
        <w:textAlignment w:val="auto"/>
        <w:rPr>
          <w:rFonts w:hint="eastAsia" w:ascii="宋体" w:hAnsi="宋体" w:eastAsia="宋体"/>
          <w:color w:val="auto"/>
          <w:sz w:val="30"/>
          <w:szCs w:val="30"/>
          <w:lang w:eastAsia="zh-CN"/>
        </w:rPr>
      </w:pPr>
      <w:r>
        <w:rPr>
          <w:rFonts w:hint="eastAsia" w:ascii="宋体" w:hAnsi="宋体"/>
          <w:color w:val="auto"/>
          <w:spacing w:val="24"/>
          <w:sz w:val="30"/>
          <w:szCs w:val="30"/>
        </w:rPr>
        <w:t>项 目 名 称：</w:t>
      </w:r>
      <w:r>
        <w:rPr>
          <w:rFonts w:hint="eastAsia" w:ascii="宋体" w:hAnsi="宋体"/>
          <w:color w:val="auto"/>
          <w:spacing w:val="24"/>
          <w:sz w:val="30"/>
          <w:szCs w:val="30"/>
          <w:lang w:eastAsia="zh-CN"/>
        </w:rPr>
        <w:t>学校配电房提升改造（2x630KVA配电工程（单电源））</w:t>
      </w:r>
    </w:p>
    <w:p w14:paraId="5F787B3B">
      <w:pPr>
        <w:spacing w:line="600" w:lineRule="exact"/>
        <w:ind w:firstLine="1566" w:firstLineChars="450"/>
        <w:rPr>
          <w:rFonts w:hint="eastAsia" w:ascii="宋体" w:hAnsi="宋体"/>
          <w:color w:val="auto"/>
          <w:spacing w:val="24"/>
          <w:sz w:val="30"/>
          <w:szCs w:val="30"/>
        </w:rPr>
      </w:pPr>
      <w:r>
        <w:rPr>
          <w:rFonts w:hint="eastAsia" w:ascii="宋体" w:hAnsi="宋体"/>
          <w:color w:val="auto"/>
          <w:spacing w:val="24"/>
          <w:sz w:val="30"/>
          <w:szCs w:val="30"/>
        </w:rPr>
        <w:t>采 购 方 式：</w:t>
      </w:r>
      <w:r>
        <w:rPr>
          <w:rFonts w:hint="eastAsia" w:ascii="宋体" w:hAnsi="宋体"/>
          <w:color w:val="auto"/>
          <w:sz w:val="30"/>
          <w:szCs w:val="30"/>
        </w:rPr>
        <w:t>竞争性磋商</w:t>
      </w:r>
    </w:p>
    <w:p w14:paraId="19C608BF">
      <w:pPr>
        <w:spacing w:line="600" w:lineRule="exact"/>
        <w:ind w:firstLine="1140" w:firstLineChars="300"/>
        <w:rPr>
          <w:rFonts w:hint="eastAsia" w:ascii="宋体" w:hAnsi="宋体"/>
          <w:color w:val="auto"/>
          <w:spacing w:val="40"/>
          <w:sz w:val="30"/>
          <w:szCs w:val="30"/>
        </w:rPr>
      </w:pPr>
    </w:p>
    <w:p w14:paraId="721D2D14">
      <w:pPr>
        <w:spacing w:line="600" w:lineRule="exact"/>
        <w:rPr>
          <w:rFonts w:hint="eastAsia" w:ascii="宋体" w:hAnsi="宋体"/>
          <w:color w:val="auto"/>
          <w:spacing w:val="40"/>
          <w:sz w:val="30"/>
          <w:szCs w:val="30"/>
        </w:rPr>
      </w:pPr>
    </w:p>
    <w:p w14:paraId="2E27C82F">
      <w:pPr>
        <w:spacing w:line="600" w:lineRule="exact"/>
        <w:rPr>
          <w:rFonts w:hint="eastAsia" w:ascii="宋体" w:hAnsi="宋体"/>
          <w:color w:val="auto"/>
          <w:spacing w:val="40"/>
          <w:sz w:val="30"/>
          <w:szCs w:val="30"/>
        </w:rPr>
      </w:pPr>
    </w:p>
    <w:p w14:paraId="4C1E701C">
      <w:pPr>
        <w:spacing w:line="600" w:lineRule="exact"/>
        <w:rPr>
          <w:rFonts w:ascii="宋体" w:hAnsi="宋体"/>
          <w:color w:val="auto"/>
          <w:spacing w:val="40"/>
          <w:sz w:val="30"/>
          <w:szCs w:val="30"/>
        </w:rPr>
      </w:pPr>
    </w:p>
    <w:p w14:paraId="6083735A">
      <w:pPr>
        <w:spacing w:line="600" w:lineRule="exact"/>
        <w:rPr>
          <w:rFonts w:ascii="宋体" w:hAnsi="宋体"/>
          <w:color w:val="auto"/>
          <w:spacing w:val="40"/>
          <w:sz w:val="30"/>
          <w:szCs w:val="30"/>
        </w:rPr>
      </w:pPr>
    </w:p>
    <w:p w14:paraId="407982FB">
      <w:pPr>
        <w:spacing w:line="600" w:lineRule="exact"/>
        <w:jc w:val="center"/>
        <w:rPr>
          <w:rFonts w:hint="eastAsia" w:ascii="宋体" w:hAnsi="宋体" w:eastAsia="宋体"/>
          <w:b/>
          <w:bCs/>
          <w:color w:val="auto"/>
          <w:sz w:val="32"/>
          <w:szCs w:val="32"/>
          <w:lang w:eastAsia="zh-CN"/>
        </w:rPr>
      </w:pPr>
      <w:r>
        <w:rPr>
          <w:rFonts w:hint="eastAsia" w:ascii="宋体" w:hAnsi="宋体"/>
          <w:b/>
          <w:color w:val="auto"/>
          <w:sz w:val="32"/>
          <w:szCs w:val="32"/>
        </w:rPr>
        <w:t>采购人：</w:t>
      </w:r>
      <w:r>
        <w:rPr>
          <w:rFonts w:hint="eastAsia" w:ascii="宋体" w:hAnsi="宋体"/>
          <w:b/>
          <w:color w:val="auto"/>
          <w:sz w:val="32"/>
          <w:szCs w:val="32"/>
          <w:lang w:eastAsia="zh-CN"/>
        </w:rPr>
        <w:t>浙江安防职业技术学院</w:t>
      </w:r>
    </w:p>
    <w:p w14:paraId="720740F2">
      <w:pPr>
        <w:spacing w:line="600" w:lineRule="exact"/>
        <w:jc w:val="center"/>
        <w:rPr>
          <w:rFonts w:hint="eastAsia" w:ascii="宋体" w:hAnsi="宋体"/>
          <w:b/>
          <w:color w:val="auto"/>
          <w:sz w:val="32"/>
          <w:szCs w:val="32"/>
        </w:rPr>
      </w:pPr>
      <w:r>
        <w:rPr>
          <w:rFonts w:hint="eastAsia" w:ascii="宋体" w:hAnsi="宋体"/>
          <w:b/>
          <w:color w:val="auto"/>
          <w:sz w:val="32"/>
          <w:szCs w:val="32"/>
        </w:rPr>
        <w:t>采购代理机构：温州正风招标代理有限公司</w:t>
      </w:r>
    </w:p>
    <w:p w14:paraId="4272CDA2">
      <w:pPr>
        <w:spacing w:line="680" w:lineRule="exact"/>
        <w:jc w:val="center"/>
        <w:rPr>
          <w:rFonts w:hint="eastAsia" w:ascii="宋体" w:hAnsi="宋体"/>
          <w:b/>
          <w:color w:val="auto"/>
          <w:sz w:val="32"/>
          <w:szCs w:val="32"/>
        </w:rPr>
      </w:pPr>
      <w:r>
        <w:rPr>
          <w:rFonts w:hint="eastAsia" w:ascii="宋体" w:hAnsi="宋体"/>
          <w:b/>
          <w:color w:val="auto"/>
          <w:sz w:val="32"/>
          <w:szCs w:val="32"/>
        </w:rPr>
        <w:t>二〇二</w:t>
      </w:r>
      <w:r>
        <w:rPr>
          <w:rFonts w:hint="eastAsia" w:ascii="宋体" w:hAnsi="宋体"/>
          <w:b/>
          <w:color w:val="auto"/>
          <w:sz w:val="32"/>
          <w:szCs w:val="32"/>
          <w:lang w:val="en-US" w:eastAsia="zh-CN"/>
        </w:rPr>
        <w:t>四</w:t>
      </w:r>
      <w:r>
        <w:rPr>
          <w:rFonts w:hint="eastAsia" w:ascii="宋体" w:hAnsi="宋体"/>
          <w:b/>
          <w:color w:val="auto"/>
          <w:sz w:val="32"/>
          <w:szCs w:val="32"/>
        </w:rPr>
        <w:t>年</w:t>
      </w:r>
      <w:r>
        <w:rPr>
          <w:rFonts w:hint="eastAsia" w:ascii="宋体" w:hAnsi="宋体"/>
          <w:b/>
          <w:color w:val="auto"/>
          <w:sz w:val="32"/>
          <w:szCs w:val="32"/>
          <w:lang w:val="en-US" w:eastAsia="zh-CN"/>
        </w:rPr>
        <w:t>七</w:t>
      </w:r>
      <w:r>
        <w:rPr>
          <w:rFonts w:hint="eastAsia" w:ascii="宋体" w:hAnsi="宋体"/>
          <w:b/>
          <w:color w:val="auto"/>
          <w:sz w:val="32"/>
          <w:szCs w:val="32"/>
        </w:rPr>
        <w:t>月</w:t>
      </w:r>
    </w:p>
    <w:p w14:paraId="1B1E2514">
      <w:pPr>
        <w:pStyle w:val="2"/>
        <w:spacing w:line="560" w:lineRule="exact"/>
        <w:jc w:val="center"/>
        <w:rPr>
          <w:rFonts w:hint="eastAsia" w:ascii="黑体" w:hAnsi="黑体" w:eastAsia="黑体"/>
          <w:color w:val="auto"/>
          <w:sz w:val="32"/>
          <w:szCs w:val="32"/>
        </w:rPr>
      </w:pPr>
      <w:bookmarkStart w:id="0" w:name="_Toc11531"/>
      <w:bookmarkStart w:id="1" w:name="_Toc22113"/>
      <w:r>
        <w:rPr>
          <w:rFonts w:hint="eastAsia" w:ascii="黑体" w:hAnsi="黑体" w:eastAsia="黑体"/>
          <w:color w:val="auto"/>
          <w:sz w:val="32"/>
          <w:szCs w:val="32"/>
        </w:rPr>
        <w:t>目    录</w:t>
      </w:r>
      <w:bookmarkEnd w:id="0"/>
      <w:bookmarkEnd w:id="1"/>
    </w:p>
    <w:p w14:paraId="0A5591FD">
      <w:pPr>
        <w:pStyle w:val="27"/>
        <w:tabs>
          <w:tab w:val="right" w:leader="dot" w:pos="9638"/>
        </w:tabs>
      </w:pPr>
      <w:r>
        <w:rPr>
          <w:rFonts w:ascii="宋体" w:hAnsi="宋体"/>
          <w:color w:val="auto"/>
          <w:kern w:val="10"/>
          <w:szCs w:val="21"/>
        </w:rPr>
        <w:fldChar w:fldCharType="begin"/>
      </w:r>
      <w:r>
        <w:rPr>
          <w:rFonts w:ascii="宋体" w:hAnsi="宋体"/>
          <w:color w:val="auto"/>
          <w:kern w:val="10"/>
          <w:szCs w:val="21"/>
        </w:rPr>
        <w:instrText xml:space="preserve"> TOC \o "1-3" \h \z \u </w:instrText>
      </w:r>
      <w:r>
        <w:rPr>
          <w:rFonts w:ascii="宋体" w:hAnsi="宋体"/>
          <w:color w:val="auto"/>
          <w:kern w:val="10"/>
          <w:szCs w:val="21"/>
        </w:rPr>
        <w:fldChar w:fldCharType="separate"/>
      </w:r>
      <w:r>
        <w:rPr>
          <w:rFonts w:ascii="宋体" w:hAnsi="宋体"/>
          <w:color w:val="auto"/>
          <w:kern w:val="10"/>
          <w:szCs w:val="21"/>
        </w:rPr>
        <w:fldChar w:fldCharType="begin"/>
      </w:r>
      <w:r>
        <w:rPr>
          <w:rFonts w:ascii="宋体" w:hAnsi="宋体"/>
          <w:kern w:val="10"/>
          <w:szCs w:val="21"/>
        </w:rPr>
        <w:instrText xml:space="preserve"> HYPERLINK \l _Toc22113 </w:instrText>
      </w:r>
      <w:r>
        <w:rPr>
          <w:rFonts w:ascii="宋体" w:hAnsi="宋体"/>
          <w:kern w:val="10"/>
          <w:szCs w:val="21"/>
        </w:rPr>
        <w:fldChar w:fldCharType="separate"/>
      </w:r>
      <w:r>
        <w:rPr>
          <w:rFonts w:hint="eastAsia" w:ascii="黑体" w:hAnsi="黑体" w:eastAsia="黑体"/>
          <w:szCs w:val="32"/>
        </w:rPr>
        <w:t>目    录</w:t>
      </w:r>
      <w:r>
        <w:tab/>
      </w:r>
      <w:r>
        <w:fldChar w:fldCharType="begin"/>
      </w:r>
      <w:r>
        <w:instrText xml:space="preserve"> PAGEREF _Toc22113 \h </w:instrText>
      </w:r>
      <w:r>
        <w:fldChar w:fldCharType="separate"/>
      </w:r>
      <w:r>
        <w:t>1</w:t>
      </w:r>
      <w:r>
        <w:fldChar w:fldCharType="end"/>
      </w:r>
      <w:r>
        <w:rPr>
          <w:rFonts w:ascii="宋体" w:hAnsi="宋体"/>
          <w:color w:val="auto"/>
          <w:kern w:val="10"/>
          <w:szCs w:val="21"/>
        </w:rPr>
        <w:fldChar w:fldCharType="end"/>
      </w:r>
    </w:p>
    <w:p w14:paraId="51D02788">
      <w:pPr>
        <w:pStyle w:val="27"/>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_Toc17904 </w:instrText>
      </w:r>
      <w:r>
        <w:rPr>
          <w:rFonts w:ascii="宋体" w:hAnsi="宋体"/>
          <w:kern w:val="10"/>
          <w:szCs w:val="21"/>
        </w:rPr>
        <w:fldChar w:fldCharType="separate"/>
      </w:r>
      <w:r>
        <w:rPr>
          <w:rFonts w:hint="eastAsia" w:ascii="黑体" w:hAnsi="黑体" w:eastAsia="黑体"/>
          <w:szCs w:val="32"/>
        </w:rPr>
        <w:t>第一部分  磋商公告</w:t>
      </w:r>
      <w:r>
        <w:tab/>
      </w:r>
      <w:r>
        <w:fldChar w:fldCharType="begin"/>
      </w:r>
      <w:r>
        <w:instrText xml:space="preserve"> PAGEREF _Toc17904 \h </w:instrText>
      </w:r>
      <w:r>
        <w:fldChar w:fldCharType="separate"/>
      </w:r>
      <w:r>
        <w:t>2</w:t>
      </w:r>
      <w:r>
        <w:fldChar w:fldCharType="end"/>
      </w:r>
      <w:r>
        <w:rPr>
          <w:rFonts w:ascii="宋体" w:hAnsi="宋体"/>
          <w:color w:val="auto"/>
          <w:kern w:val="10"/>
          <w:szCs w:val="21"/>
        </w:rPr>
        <w:fldChar w:fldCharType="end"/>
      </w:r>
    </w:p>
    <w:p w14:paraId="24B96AA9">
      <w:pPr>
        <w:pStyle w:val="27"/>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_Toc24101 </w:instrText>
      </w:r>
      <w:r>
        <w:rPr>
          <w:rFonts w:ascii="宋体" w:hAnsi="宋体"/>
          <w:kern w:val="10"/>
          <w:szCs w:val="21"/>
        </w:rPr>
        <w:fldChar w:fldCharType="separate"/>
      </w:r>
      <w:r>
        <w:rPr>
          <w:rFonts w:hint="eastAsia" w:ascii="黑体" w:hAnsi="黑体" w:eastAsia="黑体"/>
          <w:szCs w:val="32"/>
        </w:rPr>
        <w:t>第二部分  磋商供应商须知</w:t>
      </w:r>
      <w:r>
        <w:tab/>
      </w:r>
      <w:r>
        <w:fldChar w:fldCharType="begin"/>
      </w:r>
      <w:r>
        <w:instrText xml:space="preserve"> PAGEREF _Toc24101 \h </w:instrText>
      </w:r>
      <w:r>
        <w:fldChar w:fldCharType="separate"/>
      </w:r>
      <w:r>
        <w:t>6</w:t>
      </w:r>
      <w:r>
        <w:fldChar w:fldCharType="end"/>
      </w:r>
      <w:r>
        <w:rPr>
          <w:rFonts w:ascii="宋体" w:hAnsi="宋体"/>
          <w:color w:val="auto"/>
          <w:kern w:val="10"/>
          <w:szCs w:val="21"/>
        </w:rPr>
        <w:fldChar w:fldCharType="end"/>
      </w:r>
    </w:p>
    <w:p w14:paraId="7541051F">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_Toc6797 </w:instrText>
      </w:r>
      <w:r>
        <w:rPr>
          <w:rFonts w:ascii="宋体" w:hAnsi="宋体"/>
          <w:kern w:val="10"/>
          <w:szCs w:val="21"/>
        </w:rPr>
        <w:fldChar w:fldCharType="separate"/>
      </w:r>
      <w:r>
        <w:rPr>
          <w:rFonts w:hint="eastAsia" w:ascii="宋体" w:hAnsi="宋体" w:eastAsia="宋体"/>
          <w:szCs w:val="28"/>
        </w:rPr>
        <w:t>磋商供应商须知前附表</w:t>
      </w:r>
      <w:r>
        <w:tab/>
      </w:r>
      <w:r>
        <w:fldChar w:fldCharType="begin"/>
      </w:r>
      <w:r>
        <w:instrText xml:space="preserve"> PAGEREF _Toc6797 \h </w:instrText>
      </w:r>
      <w:r>
        <w:fldChar w:fldCharType="separate"/>
      </w:r>
      <w:r>
        <w:t>6</w:t>
      </w:r>
      <w:r>
        <w:fldChar w:fldCharType="end"/>
      </w:r>
      <w:r>
        <w:rPr>
          <w:rFonts w:ascii="宋体" w:hAnsi="宋体"/>
          <w:color w:val="auto"/>
          <w:kern w:val="10"/>
          <w:szCs w:val="21"/>
        </w:rPr>
        <w:fldChar w:fldCharType="end"/>
      </w:r>
    </w:p>
    <w:p w14:paraId="3AD6F5D9">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_Toc26925 </w:instrText>
      </w:r>
      <w:r>
        <w:rPr>
          <w:rFonts w:ascii="宋体" w:hAnsi="宋体"/>
          <w:kern w:val="10"/>
          <w:szCs w:val="21"/>
        </w:rPr>
        <w:fldChar w:fldCharType="separate"/>
      </w:r>
      <w:r>
        <w:rPr>
          <w:rFonts w:hint="eastAsia" w:ascii="宋体" w:hAnsi="宋体" w:eastAsia="宋体"/>
          <w:szCs w:val="28"/>
        </w:rPr>
        <w:t>一、 说  明</w:t>
      </w:r>
      <w:r>
        <w:tab/>
      </w:r>
      <w:r>
        <w:fldChar w:fldCharType="begin"/>
      </w:r>
      <w:r>
        <w:instrText xml:space="preserve"> PAGEREF _Toc26925 \h </w:instrText>
      </w:r>
      <w:r>
        <w:fldChar w:fldCharType="separate"/>
      </w:r>
      <w:r>
        <w:t>10</w:t>
      </w:r>
      <w:r>
        <w:fldChar w:fldCharType="end"/>
      </w:r>
      <w:r>
        <w:rPr>
          <w:rFonts w:ascii="宋体" w:hAnsi="宋体"/>
          <w:color w:val="auto"/>
          <w:kern w:val="10"/>
          <w:szCs w:val="21"/>
        </w:rPr>
        <w:fldChar w:fldCharType="end"/>
      </w:r>
    </w:p>
    <w:p w14:paraId="01068793">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_Toc30966 </w:instrText>
      </w:r>
      <w:r>
        <w:rPr>
          <w:rFonts w:ascii="宋体" w:hAnsi="宋体"/>
          <w:kern w:val="10"/>
          <w:szCs w:val="21"/>
        </w:rPr>
        <w:fldChar w:fldCharType="separate"/>
      </w:r>
      <w:r>
        <w:rPr>
          <w:rFonts w:hint="eastAsia" w:ascii="宋体" w:hAnsi="宋体" w:eastAsia="宋体"/>
          <w:szCs w:val="28"/>
        </w:rPr>
        <w:t>二、 磋商文件</w:t>
      </w:r>
      <w:r>
        <w:tab/>
      </w:r>
      <w:r>
        <w:fldChar w:fldCharType="begin"/>
      </w:r>
      <w:r>
        <w:instrText xml:space="preserve"> PAGEREF _Toc30966 \h </w:instrText>
      </w:r>
      <w:r>
        <w:fldChar w:fldCharType="separate"/>
      </w:r>
      <w:r>
        <w:t>14</w:t>
      </w:r>
      <w:r>
        <w:fldChar w:fldCharType="end"/>
      </w:r>
      <w:r>
        <w:rPr>
          <w:rFonts w:ascii="宋体" w:hAnsi="宋体"/>
          <w:color w:val="auto"/>
          <w:kern w:val="10"/>
          <w:szCs w:val="21"/>
        </w:rPr>
        <w:fldChar w:fldCharType="end"/>
      </w:r>
    </w:p>
    <w:p w14:paraId="14CCBEA5">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_Toc276 </w:instrText>
      </w:r>
      <w:r>
        <w:rPr>
          <w:rFonts w:ascii="宋体" w:hAnsi="宋体"/>
          <w:kern w:val="10"/>
          <w:szCs w:val="21"/>
        </w:rPr>
        <w:fldChar w:fldCharType="separate"/>
      </w:r>
      <w:r>
        <w:rPr>
          <w:rFonts w:hint="eastAsia" w:ascii="宋体" w:hAnsi="宋体" w:eastAsia="宋体"/>
          <w:szCs w:val="28"/>
        </w:rPr>
        <w:t>三、 磋商响应文件的编制</w:t>
      </w:r>
      <w:r>
        <w:tab/>
      </w:r>
      <w:r>
        <w:fldChar w:fldCharType="begin"/>
      </w:r>
      <w:r>
        <w:instrText xml:space="preserve"> PAGEREF _Toc276 \h </w:instrText>
      </w:r>
      <w:r>
        <w:fldChar w:fldCharType="separate"/>
      </w:r>
      <w:r>
        <w:t>14</w:t>
      </w:r>
      <w:r>
        <w:fldChar w:fldCharType="end"/>
      </w:r>
      <w:r>
        <w:rPr>
          <w:rFonts w:ascii="宋体" w:hAnsi="宋体"/>
          <w:color w:val="auto"/>
          <w:kern w:val="10"/>
          <w:szCs w:val="21"/>
        </w:rPr>
        <w:fldChar w:fldCharType="end"/>
      </w:r>
    </w:p>
    <w:p w14:paraId="0F6D8243">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_Toc768 </w:instrText>
      </w:r>
      <w:r>
        <w:rPr>
          <w:rFonts w:ascii="宋体" w:hAnsi="宋体"/>
          <w:kern w:val="10"/>
          <w:szCs w:val="21"/>
        </w:rPr>
        <w:fldChar w:fldCharType="separate"/>
      </w:r>
      <w:r>
        <w:rPr>
          <w:rFonts w:hint="eastAsia" w:ascii="宋体" w:hAnsi="宋体" w:eastAsia="宋体"/>
          <w:szCs w:val="28"/>
        </w:rPr>
        <w:t>四、 磋商响应文件的递交</w:t>
      </w:r>
      <w:r>
        <w:tab/>
      </w:r>
      <w:r>
        <w:fldChar w:fldCharType="begin"/>
      </w:r>
      <w:r>
        <w:instrText xml:space="preserve"> PAGEREF _Toc768 \h </w:instrText>
      </w:r>
      <w:r>
        <w:fldChar w:fldCharType="separate"/>
      </w:r>
      <w:r>
        <w:t>22</w:t>
      </w:r>
      <w:r>
        <w:fldChar w:fldCharType="end"/>
      </w:r>
      <w:r>
        <w:rPr>
          <w:rFonts w:ascii="宋体" w:hAnsi="宋体"/>
          <w:color w:val="auto"/>
          <w:kern w:val="10"/>
          <w:szCs w:val="21"/>
        </w:rPr>
        <w:fldChar w:fldCharType="end"/>
      </w:r>
    </w:p>
    <w:p w14:paraId="517618FC">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_Toc11350 </w:instrText>
      </w:r>
      <w:r>
        <w:rPr>
          <w:rFonts w:ascii="宋体" w:hAnsi="宋体"/>
          <w:kern w:val="10"/>
          <w:szCs w:val="21"/>
        </w:rPr>
        <w:fldChar w:fldCharType="separate"/>
      </w:r>
      <w:r>
        <w:rPr>
          <w:rFonts w:hint="eastAsia"/>
          <w:szCs w:val="28"/>
        </w:rPr>
        <w:t>五、 开标、评审和定标</w:t>
      </w:r>
      <w:r>
        <w:tab/>
      </w:r>
      <w:r>
        <w:fldChar w:fldCharType="begin"/>
      </w:r>
      <w:r>
        <w:instrText xml:space="preserve"> PAGEREF _Toc11350 \h </w:instrText>
      </w:r>
      <w:r>
        <w:fldChar w:fldCharType="separate"/>
      </w:r>
      <w:r>
        <w:t>22</w:t>
      </w:r>
      <w:r>
        <w:fldChar w:fldCharType="end"/>
      </w:r>
      <w:r>
        <w:rPr>
          <w:rFonts w:ascii="宋体" w:hAnsi="宋体"/>
          <w:color w:val="auto"/>
          <w:kern w:val="10"/>
          <w:szCs w:val="21"/>
        </w:rPr>
        <w:fldChar w:fldCharType="end"/>
      </w:r>
    </w:p>
    <w:p w14:paraId="1B81F609">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_Toc26929 </w:instrText>
      </w:r>
      <w:r>
        <w:rPr>
          <w:rFonts w:ascii="宋体" w:hAnsi="宋体"/>
          <w:kern w:val="10"/>
          <w:szCs w:val="21"/>
        </w:rPr>
        <w:fldChar w:fldCharType="separate"/>
      </w:r>
      <w:r>
        <w:rPr>
          <w:rFonts w:hint="eastAsia"/>
          <w:szCs w:val="28"/>
        </w:rPr>
        <w:t>六、 授予合同</w:t>
      </w:r>
      <w:r>
        <w:tab/>
      </w:r>
      <w:r>
        <w:fldChar w:fldCharType="begin"/>
      </w:r>
      <w:r>
        <w:instrText xml:space="preserve"> PAGEREF _Toc26929 \h </w:instrText>
      </w:r>
      <w:r>
        <w:fldChar w:fldCharType="separate"/>
      </w:r>
      <w:r>
        <w:t>25</w:t>
      </w:r>
      <w:r>
        <w:fldChar w:fldCharType="end"/>
      </w:r>
      <w:r>
        <w:rPr>
          <w:rFonts w:ascii="宋体" w:hAnsi="宋体"/>
          <w:color w:val="auto"/>
          <w:kern w:val="10"/>
          <w:szCs w:val="21"/>
        </w:rPr>
        <w:fldChar w:fldCharType="end"/>
      </w:r>
    </w:p>
    <w:p w14:paraId="7EB074D1">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_Toc30075 </w:instrText>
      </w:r>
      <w:r>
        <w:rPr>
          <w:rFonts w:ascii="宋体" w:hAnsi="宋体"/>
          <w:kern w:val="10"/>
          <w:szCs w:val="21"/>
        </w:rPr>
        <w:fldChar w:fldCharType="separate"/>
      </w:r>
      <w:r>
        <w:rPr>
          <w:rFonts w:hint="eastAsia"/>
          <w:szCs w:val="28"/>
        </w:rPr>
        <w:t>七、 其他注意事项</w:t>
      </w:r>
      <w:r>
        <w:tab/>
      </w:r>
      <w:r>
        <w:fldChar w:fldCharType="begin"/>
      </w:r>
      <w:r>
        <w:instrText xml:space="preserve"> PAGEREF _Toc30075 \h </w:instrText>
      </w:r>
      <w:r>
        <w:fldChar w:fldCharType="separate"/>
      </w:r>
      <w:r>
        <w:t>26</w:t>
      </w:r>
      <w:r>
        <w:fldChar w:fldCharType="end"/>
      </w:r>
      <w:r>
        <w:rPr>
          <w:rFonts w:ascii="宋体" w:hAnsi="宋体"/>
          <w:color w:val="auto"/>
          <w:kern w:val="10"/>
          <w:szCs w:val="21"/>
        </w:rPr>
        <w:fldChar w:fldCharType="end"/>
      </w:r>
    </w:p>
    <w:p w14:paraId="5F50CB3C">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_Toc32702 </w:instrText>
      </w:r>
      <w:r>
        <w:rPr>
          <w:rFonts w:ascii="宋体" w:hAnsi="宋体"/>
          <w:kern w:val="10"/>
          <w:szCs w:val="21"/>
        </w:rPr>
        <w:fldChar w:fldCharType="separate"/>
      </w:r>
      <w:r>
        <w:rPr>
          <w:rFonts w:hint="eastAsia"/>
          <w:szCs w:val="28"/>
        </w:rPr>
        <w:t>八、 可中止电子交易活动的情形</w:t>
      </w:r>
      <w:r>
        <w:tab/>
      </w:r>
      <w:r>
        <w:fldChar w:fldCharType="begin"/>
      </w:r>
      <w:r>
        <w:instrText xml:space="preserve"> PAGEREF _Toc32702 \h </w:instrText>
      </w:r>
      <w:r>
        <w:fldChar w:fldCharType="separate"/>
      </w:r>
      <w:r>
        <w:t>27</w:t>
      </w:r>
      <w:r>
        <w:fldChar w:fldCharType="end"/>
      </w:r>
      <w:r>
        <w:rPr>
          <w:rFonts w:ascii="宋体" w:hAnsi="宋体"/>
          <w:color w:val="auto"/>
          <w:kern w:val="10"/>
          <w:szCs w:val="21"/>
        </w:rPr>
        <w:fldChar w:fldCharType="end"/>
      </w:r>
    </w:p>
    <w:p w14:paraId="240CC3F3">
      <w:pPr>
        <w:pStyle w:val="27"/>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_Toc11391 </w:instrText>
      </w:r>
      <w:r>
        <w:rPr>
          <w:rFonts w:ascii="宋体" w:hAnsi="宋体"/>
          <w:kern w:val="10"/>
          <w:szCs w:val="21"/>
        </w:rPr>
        <w:fldChar w:fldCharType="separate"/>
      </w:r>
      <w:r>
        <w:rPr>
          <w:rFonts w:hint="eastAsia" w:ascii="黑体" w:hAnsi="黑体" w:eastAsia="黑体"/>
          <w:szCs w:val="32"/>
        </w:rPr>
        <w:t>第三部分  合同主要条款</w:t>
      </w:r>
      <w:r>
        <w:tab/>
      </w:r>
      <w:r>
        <w:fldChar w:fldCharType="begin"/>
      </w:r>
      <w:r>
        <w:instrText xml:space="preserve"> PAGEREF _Toc11391 \h </w:instrText>
      </w:r>
      <w:r>
        <w:fldChar w:fldCharType="separate"/>
      </w:r>
      <w:r>
        <w:t>28</w:t>
      </w:r>
      <w:r>
        <w:fldChar w:fldCharType="end"/>
      </w:r>
      <w:r>
        <w:rPr>
          <w:rFonts w:ascii="宋体" w:hAnsi="宋体"/>
          <w:color w:val="auto"/>
          <w:kern w:val="10"/>
          <w:szCs w:val="21"/>
        </w:rPr>
        <w:fldChar w:fldCharType="end"/>
      </w:r>
    </w:p>
    <w:p w14:paraId="1C90F83D">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_Toc30921 </w:instrText>
      </w:r>
      <w:r>
        <w:rPr>
          <w:rFonts w:ascii="宋体" w:hAnsi="宋体"/>
          <w:kern w:val="10"/>
          <w:szCs w:val="21"/>
        </w:rPr>
        <w:fldChar w:fldCharType="separate"/>
      </w:r>
      <w:r>
        <w:rPr>
          <w:rFonts w:hint="eastAsia"/>
          <w:szCs w:val="28"/>
        </w:rPr>
        <w:t>（一）合同协议书</w:t>
      </w:r>
      <w:r>
        <w:tab/>
      </w:r>
      <w:r>
        <w:fldChar w:fldCharType="begin"/>
      </w:r>
      <w:r>
        <w:instrText xml:space="preserve"> PAGEREF _Toc30921 \h </w:instrText>
      </w:r>
      <w:r>
        <w:fldChar w:fldCharType="separate"/>
      </w:r>
      <w:r>
        <w:t>28</w:t>
      </w:r>
      <w:r>
        <w:fldChar w:fldCharType="end"/>
      </w:r>
      <w:r>
        <w:rPr>
          <w:rFonts w:ascii="宋体" w:hAnsi="宋体"/>
          <w:color w:val="auto"/>
          <w:kern w:val="10"/>
          <w:szCs w:val="21"/>
        </w:rPr>
        <w:fldChar w:fldCharType="end"/>
      </w:r>
    </w:p>
    <w:p w14:paraId="5C6CD64D">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_Toc15540 </w:instrText>
      </w:r>
      <w:r>
        <w:rPr>
          <w:rFonts w:ascii="宋体" w:hAnsi="宋体"/>
          <w:kern w:val="10"/>
          <w:szCs w:val="21"/>
        </w:rPr>
        <w:fldChar w:fldCharType="separate"/>
      </w:r>
      <w:r>
        <w:rPr>
          <w:rFonts w:hint="eastAsia"/>
          <w:szCs w:val="28"/>
        </w:rPr>
        <w:t>（二）通用条款（略）</w:t>
      </w:r>
      <w:r>
        <w:tab/>
      </w:r>
      <w:r>
        <w:fldChar w:fldCharType="begin"/>
      </w:r>
      <w:r>
        <w:instrText xml:space="preserve"> PAGEREF _Toc15540 \h </w:instrText>
      </w:r>
      <w:r>
        <w:fldChar w:fldCharType="separate"/>
      </w:r>
      <w:r>
        <w:t>31</w:t>
      </w:r>
      <w:r>
        <w:fldChar w:fldCharType="end"/>
      </w:r>
      <w:r>
        <w:rPr>
          <w:rFonts w:ascii="宋体" w:hAnsi="宋体"/>
          <w:color w:val="auto"/>
          <w:kern w:val="10"/>
          <w:szCs w:val="21"/>
        </w:rPr>
        <w:fldChar w:fldCharType="end"/>
      </w:r>
    </w:p>
    <w:p w14:paraId="50292589">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_Toc21837 </w:instrText>
      </w:r>
      <w:r>
        <w:rPr>
          <w:rFonts w:ascii="宋体" w:hAnsi="宋体"/>
          <w:kern w:val="10"/>
          <w:szCs w:val="21"/>
        </w:rPr>
        <w:fldChar w:fldCharType="separate"/>
      </w:r>
      <w:r>
        <w:rPr>
          <w:rFonts w:hint="eastAsia"/>
          <w:szCs w:val="28"/>
        </w:rPr>
        <w:t>（三）专用条款</w:t>
      </w:r>
      <w:r>
        <w:tab/>
      </w:r>
      <w:r>
        <w:fldChar w:fldCharType="begin"/>
      </w:r>
      <w:r>
        <w:instrText xml:space="preserve"> PAGEREF _Toc21837 \h </w:instrText>
      </w:r>
      <w:r>
        <w:fldChar w:fldCharType="separate"/>
      </w:r>
      <w:r>
        <w:t>31</w:t>
      </w:r>
      <w:r>
        <w:fldChar w:fldCharType="end"/>
      </w:r>
      <w:r>
        <w:rPr>
          <w:rFonts w:ascii="宋体" w:hAnsi="宋体"/>
          <w:color w:val="auto"/>
          <w:kern w:val="10"/>
          <w:szCs w:val="21"/>
        </w:rPr>
        <w:fldChar w:fldCharType="end"/>
      </w:r>
    </w:p>
    <w:p w14:paraId="738424BD">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_Toc617 </w:instrText>
      </w:r>
      <w:r>
        <w:rPr>
          <w:rFonts w:ascii="宋体" w:hAnsi="宋体"/>
          <w:kern w:val="10"/>
          <w:szCs w:val="21"/>
        </w:rPr>
        <w:fldChar w:fldCharType="separate"/>
      </w:r>
      <w:r>
        <w:rPr>
          <w:rFonts w:hint="eastAsia"/>
          <w:szCs w:val="28"/>
        </w:rPr>
        <w:t>（四）</w:t>
      </w:r>
      <w:r>
        <w:rPr>
          <w:szCs w:val="28"/>
        </w:rPr>
        <w:t>工程质量保修书</w:t>
      </w:r>
      <w:r>
        <w:tab/>
      </w:r>
      <w:r>
        <w:fldChar w:fldCharType="begin"/>
      </w:r>
      <w:r>
        <w:instrText xml:space="preserve"> PAGEREF _Toc617 \h </w:instrText>
      </w:r>
      <w:r>
        <w:fldChar w:fldCharType="separate"/>
      </w:r>
      <w:r>
        <w:t>50</w:t>
      </w:r>
      <w:r>
        <w:fldChar w:fldCharType="end"/>
      </w:r>
      <w:r>
        <w:rPr>
          <w:rFonts w:ascii="宋体" w:hAnsi="宋体"/>
          <w:color w:val="auto"/>
          <w:kern w:val="10"/>
          <w:szCs w:val="21"/>
        </w:rPr>
        <w:fldChar w:fldCharType="end"/>
      </w:r>
    </w:p>
    <w:p w14:paraId="4D64A825">
      <w:pPr>
        <w:pStyle w:val="27"/>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_Toc27279 </w:instrText>
      </w:r>
      <w:r>
        <w:rPr>
          <w:rFonts w:ascii="宋体" w:hAnsi="宋体"/>
          <w:kern w:val="10"/>
          <w:szCs w:val="21"/>
        </w:rPr>
        <w:fldChar w:fldCharType="separate"/>
      </w:r>
      <w:r>
        <w:rPr>
          <w:rFonts w:hint="eastAsia" w:ascii="黑体" w:eastAsia="黑体"/>
          <w:szCs w:val="32"/>
        </w:rPr>
        <w:t>第四部分  附 件</w:t>
      </w:r>
      <w:r>
        <w:tab/>
      </w:r>
      <w:r>
        <w:fldChar w:fldCharType="begin"/>
      </w:r>
      <w:r>
        <w:instrText xml:space="preserve"> PAGEREF _Toc27279 \h </w:instrText>
      </w:r>
      <w:r>
        <w:fldChar w:fldCharType="separate"/>
      </w:r>
      <w:r>
        <w:t>52</w:t>
      </w:r>
      <w:r>
        <w:fldChar w:fldCharType="end"/>
      </w:r>
      <w:r>
        <w:rPr>
          <w:rFonts w:ascii="宋体" w:hAnsi="宋体"/>
          <w:color w:val="auto"/>
          <w:kern w:val="10"/>
          <w:szCs w:val="21"/>
        </w:rPr>
        <w:fldChar w:fldCharType="end"/>
      </w:r>
    </w:p>
    <w:p w14:paraId="7C0C827D">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_Toc10014 </w:instrText>
      </w:r>
      <w:r>
        <w:rPr>
          <w:rFonts w:ascii="宋体" w:hAnsi="宋体"/>
          <w:kern w:val="10"/>
          <w:szCs w:val="21"/>
        </w:rPr>
        <w:fldChar w:fldCharType="separate"/>
      </w:r>
      <w:r>
        <w:rPr>
          <w:rFonts w:hint="eastAsia" w:ascii="黑体" w:hAnsi="宋体"/>
          <w:szCs w:val="24"/>
        </w:rPr>
        <w:t>附件1 磋商响应函</w:t>
      </w:r>
      <w:r>
        <w:tab/>
      </w:r>
      <w:r>
        <w:fldChar w:fldCharType="begin"/>
      </w:r>
      <w:r>
        <w:instrText xml:space="preserve"> PAGEREF _Toc10014 \h </w:instrText>
      </w:r>
      <w:r>
        <w:fldChar w:fldCharType="separate"/>
      </w:r>
      <w:r>
        <w:t>52</w:t>
      </w:r>
      <w:r>
        <w:fldChar w:fldCharType="end"/>
      </w:r>
      <w:r>
        <w:rPr>
          <w:rFonts w:ascii="宋体" w:hAnsi="宋体"/>
          <w:color w:val="auto"/>
          <w:kern w:val="10"/>
          <w:szCs w:val="21"/>
        </w:rPr>
        <w:fldChar w:fldCharType="end"/>
      </w:r>
    </w:p>
    <w:p w14:paraId="5AEA1DAB">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_Toc2075 </w:instrText>
      </w:r>
      <w:r>
        <w:rPr>
          <w:rFonts w:ascii="宋体" w:hAnsi="宋体"/>
          <w:kern w:val="10"/>
          <w:szCs w:val="21"/>
        </w:rPr>
        <w:fldChar w:fldCharType="separate"/>
      </w:r>
      <w:r>
        <w:rPr>
          <w:rFonts w:hint="eastAsia" w:ascii="黑体" w:hAnsi="宋体"/>
          <w:szCs w:val="24"/>
        </w:rPr>
        <w:t>附件2 工程量报价表</w:t>
      </w:r>
      <w:r>
        <w:tab/>
      </w:r>
      <w:r>
        <w:fldChar w:fldCharType="begin"/>
      </w:r>
      <w:r>
        <w:instrText xml:space="preserve"> PAGEREF _Toc2075 \h </w:instrText>
      </w:r>
      <w:r>
        <w:fldChar w:fldCharType="separate"/>
      </w:r>
      <w:r>
        <w:t>53</w:t>
      </w:r>
      <w:r>
        <w:fldChar w:fldCharType="end"/>
      </w:r>
      <w:r>
        <w:rPr>
          <w:rFonts w:ascii="宋体" w:hAnsi="宋体"/>
          <w:color w:val="auto"/>
          <w:kern w:val="10"/>
          <w:szCs w:val="21"/>
        </w:rPr>
        <w:fldChar w:fldCharType="end"/>
      </w:r>
    </w:p>
    <w:p w14:paraId="5825161B">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_Toc19 </w:instrText>
      </w:r>
      <w:r>
        <w:rPr>
          <w:rFonts w:ascii="宋体" w:hAnsi="宋体"/>
          <w:kern w:val="10"/>
          <w:szCs w:val="21"/>
        </w:rPr>
        <w:fldChar w:fldCharType="separate"/>
      </w:r>
      <w:r>
        <w:rPr>
          <w:rFonts w:hint="eastAsia" w:ascii="黑体" w:hAnsi="宋体"/>
          <w:szCs w:val="24"/>
        </w:rPr>
        <w:t>附件3 编制说明</w:t>
      </w:r>
      <w:r>
        <w:tab/>
      </w:r>
      <w:r>
        <w:fldChar w:fldCharType="begin"/>
      </w:r>
      <w:r>
        <w:instrText xml:space="preserve"> PAGEREF _Toc19 \h </w:instrText>
      </w:r>
      <w:r>
        <w:fldChar w:fldCharType="separate"/>
      </w:r>
      <w:r>
        <w:t>54</w:t>
      </w:r>
      <w:r>
        <w:fldChar w:fldCharType="end"/>
      </w:r>
      <w:r>
        <w:rPr>
          <w:rFonts w:ascii="宋体" w:hAnsi="宋体"/>
          <w:color w:val="auto"/>
          <w:kern w:val="10"/>
          <w:szCs w:val="21"/>
        </w:rPr>
        <w:fldChar w:fldCharType="end"/>
      </w:r>
    </w:p>
    <w:p w14:paraId="02F40307">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_Toc27278 </w:instrText>
      </w:r>
      <w:r>
        <w:rPr>
          <w:rFonts w:ascii="宋体" w:hAnsi="宋体"/>
          <w:kern w:val="10"/>
          <w:szCs w:val="21"/>
        </w:rPr>
        <w:fldChar w:fldCharType="separate"/>
      </w:r>
      <w:r>
        <w:rPr>
          <w:rFonts w:hint="eastAsia" w:ascii="黑体" w:hAnsi="宋体"/>
          <w:szCs w:val="24"/>
        </w:rPr>
        <w:t>附件4 磋商总价</w:t>
      </w:r>
      <w:r>
        <w:tab/>
      </w:r>
      <w:r>
        <w:fldChar w:fldCharType="begin"/>
      </w:r>
      <w:r>
        <w:instrText xml:space="preserve"> PAGEREF _Toc27278 \h </w:instrText>
      </w:r>
      <w:r>
        <w:fldChar w:fldCharType="separate"/>
      </w:r>
      <w:r>
        <w:t>55</w:t>
      </w:r>
      <w:r>
        <w:fldChar w:fldCharType="end"/>
      </w:r>
      <w:r>
        <w:rPr>
          <w:rFonts w:ascii="宋体" w:hAnsi="宋体"/>
          <w:color w:val="auto"/>
          <w:kern w:val="10"/>
          <w:szCs w:val="21"/>
        </w:rPr>
        <w:fldChar w:fldCharType="end"/>
      </w:r>
    </w:p>
    <w:p w14:paraId="757C7181">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_Toc2662 </w:instrText>
      </w:r>
      <w:r>
        <w:rPr>
          <w:rFonts w:ascii="宋体" w:hAnsi="宋体"/>
          <w:kern w:val="10"/>
          <w:szCs w:val="21"/>
        </w:rPr>
        <w:fldChar w:fldCharType="separate"/>
      </w:r>
      <w:r>
        <w:rPr>
          <w:rFonts w:hint="eastAsia" w:ascii="黑体" w:hAnsi="宋体"/>
          <w:szCs w:val="24"/>
        </w:rPr>
        <w:t>附件5 工程项目磋商报价汇总表</w:t>
      </w:r>
      <w:r>
        <w:tab/>
      </w:r>
      <w:r>
        <w:fldChar w:fldCharType="begin"/>
      </w:r>
      <w:r>
        <w:instrText xml:space="preserve"> PAGEREF _Toc2662 \h </w:instrText>
      </w:r>
      <w:r>
        <w:fldChar w:fldCharType="separate"/>
      </w:r>
      <w:r>
        <w:t>56</w:t>
      </w:r>
      <w:r>
        <w:fldChar w:fldCharType="end"/>
      </w:r>
      <w:r>
        <w:rPr>
          <w:rFonts w:ascii="宋体" w:hAnsi="宋体"/>
          <w:color w:val="auto"/>
          <w:kern w:val="10"/>
          <w:szCs w:val="21"/>
        </w:rPr>
        <w:fldChar w:fldCharType="end"/>
      </w:r>
    </w:p>
    <w:p w14:paraId="1F46802C">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_Toc18871 </w:instrText>
      </w:r>
      <w:r>
        <w:rPr>
          <w:rFonts w:ascii="宋体" w:hAnsi="宋体"/>
          <w:kern w:val="10"/>
          <w:szCs w:val="21"/>
        </w:rPr>
        <w:fldChar w:fldCharType="separate"/>
      </w:r>
      <w:r>
        <w:rPr>
          <w:rFonts w:hint="eastAsia" w:ascii="黑体" w:hAnsi="宋体"/>
          <w:szCs w:val="24"/>
        </w:rPr>
        <w:t>附件6 单位（专业）工程招标控制价（磋商报价）费用表</w:t>
      </w:r>
      <w:r>
        <w:tab/>
      </w:r>
      <w:r>
        <w:fldChar w:fldCharType="begin"/>
      </w:r>
      <w:r>
        <w:instrText xml:space="preserve"> PAGEREF _Toc18871 \h </w:instrText>
      </w:r>
      <w:r>
        <w:fldChar w:fldCharType="separate"/>
      </w:r>
      <w:r>
        <w:t>57</w:t>
      </w:r>
      <w:r>
        <w:fldChar w:fldCharType="end"/>
      </w:r>
      <w:r>
        <w:rPr>
          <w:rFonts w:ascii="宋体" w:hAnsi="宋体"/>
          <w:color w:val="auto"/>
          <w:kern w:val="10"/>
          <w:szCs w:val="21"/>
        </w:rPr>
        <w:fldChar w:fldCharType="end"/>
      </w:r>
    </w:p>
    <w:p w14:paraId="672B398B">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_Toc14630 </w:instrText>
      </w:r>
      <w:r>
        <w:rPr>
          <w:rFonts w:ascii="宋体" w:hAnsi="宋体"/>
          <w:kern w:val="10"/>
          <w:szCs w:val="21"/>
        </w:rPr>
        <w:fldChar w:fldCharType="separate"/>
      </w:r>
      <w:r>
        <w:rPr>
          <w:rFonts w:hint="eastAsia" w:ascii="黑体" w:hAnsi="宋体"/>
          <w:szCs w:val="24"/>
        </w:rPr>
        <w:t>附件7 分部分项工程清单与计价表</w:t>
      </w:r>
      <w:r>
        <w:tab/>
      </w:r>
      <w:r>
        <w:fldChar w:fldCharType="begin"/>
      </w:r>
      <w:r>
        <w:instrText xml:space="preserve"> PAGEREF _Toc14630 \h </w:instrText>
      </w:r>
      <w:r>
        <w:fldChar w:fldCharType="separate"/>
      </w:r>
      <w:r>
        <w:t>58</w:t>
      </w:r>
      <w:r>
        <w:fldChar w:fldCharType="end"/>
      </w:r>
      <w:r>
        <w:rPr>
          <w:rFonts w:ascii="宋体" w:hAnsi="宋体"/>
          <w:color w:val="auto"/>
          <w:kern w:val="10"/>
          <w:szCs w:val="21"/>
        </w:rPr>
        <w:fldChar w:fldCharType="end"/>
      </w:r>
    </w:p>
    <w:p w14:paraId="42C1AD6C">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_Toc1250 </w:instrText>
      </w:r>
      <w:r>
        <w:rPr>
          <w:rFonts w:ascii="宋体" w:hAnsi="宋体"/>
          <w:kern w:val="10"/>
          <w:szCs w:val="21"/>
        </w:rPr>
        <w:fldChar w:fldCharType="separate"/>
      </w:r>
      <w:r>
        <w:rPr>
          <w:rFonts w:hint="eastAsia" w:ascii="黑体" w:hAnsi="宋体"/>
          <w:szCs w:val="24"/>
        </w:rPr>
        <w:t>附件8 施工组织（总价）措施项目清单与计价表</w:t>
      </w:r>
      <w:r>
        <w:tab/>
      </w:r>
      <w:r>
        <w:fldChar w:fldCharType="begin"/>
      </w:r>
      <w:r>
        <w:instrText xml:space="preserve"> PAGEREF _Toc1250 \h </w:instrText>
      </w:r>
      <w:r>
        <w:fldChar w:fldCharType="separate"/>
      </w:r>
      <w:r>
        <w:t>60</w:t>
      </w:r>
      <w:r>
        <w:fldChar w:fldCharType="end"/>
      </w:r>
      <w:r>
        <w:rPr>
          <w:rFonts w:ascii="宋体" w:hAnsi="宋体"/>
          <w:color w:val="auto"/>
          <w:kern w:val="10"/>
          <w:szCs w:val="21"/>
        </w:rPr>
        <w:fldChar w:fldCharType="end"/>
      </w:r>
    </w:p>
    <w:p w14:paraId="27B0BCA9">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_Toc11525 </w:instrText>
      </w:r>
      <w:r>
        <w:rPr>
          <w:rFonts w:ascii="宋体" w:hAnsi="宋体"/>
          <w:kern w:val="10"/>
          <w:szCs w:val="21"/>
        </w:rPr>
        <w:fldChar w:fldCharType="separate"/>
      </w:r>
      <w:r>
        <w:rPr>
          <w:rFonts w:hint="eastAsia" w:ascii="黑体" w:hAnsi="宋体"/>
          <w:szCs w:val="24"/>
        </w:rPr>
        <w:t>附件9 其他项目清单与计价汇总表</w:t>
      </w:r>
      <w:r>
        <w:tab/>
      </w:r>
      <w:r>
        <w:fldChar w:fldCharType="begin"/>
      </w:r>
      <w:r>
        <w:instrText xml:space="preserve"> PAGEREF _Toc11525 \h </w:instrText>
      </w:r>
      <w:r>
        <w:fldChar w:fldCharType="separate"/>
      </w:r>
      <w:r>
        <w:t>61</w:t>
      </w:r>
      <w:r>
        <w:fldChar w:fldCharType="end"/>
      </w:r>
      <w:r>
        <w:rPr>
          <w:rFonts w:ascii="宋体" w:hAnsi="宋体"/>
          <w:color w:val="auto"/>
          <w:kern w:val="10"/>
          <w:szCs w:val="21"/>
        </w:rPr>
        <w:fldChar w:fldCharType="end"/>
      </w:r>
    </w:p>
    <w:p w14:paraId="70BD77C7">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_Toc17985 </w:instrText>
      </w:r>
      <w:r>
        <w:rPr>
          <w:rFonts w:ascii="宋体" w:hAnsi="宋体"/>
          <w:kern w:val="10"/>
          <w:szCs w:val="21"/>
        </w:rPr>
        <w:fldChar w:fldCharType="separate"/>
      </w:r>
      <w:r>
        <w:rPr>
          <w:rFonts w:hint="eastAsia" w:ascii="黑体" w:hAnsi="宋体"/>
          <w:szCs w:val="24"/>
        </w:rPr>
        <w:t>附件</w:t>
      </w:r>
      <w:r>
        <w:rPr>
          <w:rFonts w:hint="eastAsia" w:ascii="黑体" w:hAnsi="宋体"/>
          <w:szCs w:val="24"/>
          <w:lang w:val="en-US" w:eastAsia="zh-CN"/>
        </w:rPr>
        <w:t>10</w:t>
      </w:r>
      <w:r>
        <w:rPr>
          <w:rFonts w:hint="eastAsia" w:ascii="黑体" w:hAnsi="宋体"/>
          <w:szCs w:val="24"/>
        </w:rPr>
        <w:t xml:space="preserve"> 资格证明文件</w:t>
      </w:r>
      <w:r>
        <w:tab/>
      </w:r>
      <w:r>
        <w:fldChar w:fldCharType="begin"/>
      </w:r>
      <w:r>
        <w:instrText xml:space="preserve"> PAGEREF _Toc17985 \h </w:instrText>
      </w:r>
      <w:r>
        <w:fldChar w:fldCharType="separate"/>
      </w:r>
      <w:r>
        <w:t>62</w:t>
      </w:r>
      <w:r>
        <w:fldChar w:fldCharType="end"/>
      </w:r>
      <w:r>
        <w:rPr>
          <w:rFonts w:ascii="宋体" w:hAnsi="宋体"/>
          <w:color w:val="auto"/>
          <w:kern w:val="10"/>
          <w:szCs w:val="21"/>
        </w:rPr>
        <w:fldChar w:fldCharType="end"/>
      </w:r>
    </w:p>
    <w:p w14:paraId="0F9E2EC0">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_Toc32462 </w:instrText>
      </w:r>
      <w:r>
        <w:rPr>
          <w:rFonts w:ascii="宋体" w:hAnsi="宋体"/>
          <w:kern w:val="10"/>
          <w:szCs w:val="21"/>
        </w:rPr>
        <w:fldChar w:fldCharType="separate"/>
      </w:r>
      <w:r>
        <w:rPr>
          <w:rFonts w:hint="eastAsia" w:ascii="黑体" w:hAnsi="宋体"/>
          <w:szCs w:val="24"/>
        </w:rPr>
        <w:t>附件</w:t>
      </w:r>
      <w:r>
        <w:rPr>
          <w:rFonts w:hint="eastAsia" w:ascii="黑体" w:hAnsi="宋体"/>
          <w:szCs w:val="24"/>
          <w:lang w:val="en-US" w:eastAsia="zh-CN"/>
        </w:rPr>
        <w:t>11</w:t>
      </w:r>
      <w:r>
        <w:rPr>
          <w:rFonts w:hint="eastAsia" w:ascii="黑体" w:hAnsi="宋体"/>
          <w:szCs w:val="24"/>
        </w:rPr>
        <w:t xml:space="preserve"> 商务条款、技术规格偏离表</w:t>
      </w:r>
      <w:r>
        <w:tab/>
      </w:r>
      <w:r>
        <w:fldChar w:fldCharType="begin"/>
      </w:r>
      <w:r>
        <w:instrText xml:space="preserve"> PAGEREF _Toc32462 \h </w:instrText>
      </w:r>
      <w:r>
        <w:fldChar w:fldCharType="separate"/>
      </w:r>
      <w:r>
        <w:t>66</w:t>
      </w:r>
      <w:r>
        <w:fldChar w:fldCharType="end"/>
      </w:r>
      <w:r>
        <w:rPr>
          <w:rFonts w:ascii="宋体" w:hAnsi="宋体"/>
          <w:color w:val="auto"/>
          <w:kern w:val="10"/>
          <w:szCs w:val="21"/>
        </w:rPr>
        <w:fldChar w:fldCharType="end"/>
      </w:r>
    </w:p>
    <w:p w14:paraId="5212130D">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_Toc2826 </w:instrText>
      </w:r>
      <w:r>
        <w:rPr>
          <w:rFonts w:ascii="宋体" w:hAnsi="宋体"/>
          <w:kern w:val="10"/>
          <w:szCs w:val="21"/>
        </w:rPr>
        <w:fldChar w:fldCharType="separate"/>
      </w:r>
      <w:r>
        <w:rPr>
          <w:rFonts w:hint="eastAsia" w:ascii="黑体" w:hAnsi="宋体"/>
          <w:szCs w:val="24"/>
        </w:rPr>
        <w:t>附件1</w:t>
      </w:r>
      <w:r>
        <w:rPr>
          <w:rFonts w:hint="eastAsia" w:ascii="黑体" w:hAnsi="宋体"/>
          <w:szCs w:val="24"/>
          <w:lang w:val="en-US" w:eastAsia="zh-CN"/>
        </w:rPr>
        <w:t>2</w:t>
      </w:r>
      <w:r>
        <w:rPr>
          <w:rFonts w:ascii="黑体" w:hAnsi="宋体"/>
          <w:szCs w:val="24"/>
        </w:rPr>
        <w:t xml:space="preserve"> </w:t>
      </w:r>
      <w:r>
        <w:rPr>
          <w:rFonts w:hint="eastAsia" w:ascii="黑体" w:hAnsi="宋体"/>
          <w:szCs w:val="24"/>
        </w:rPr>
        <w:t>选用主要材料的品牌表</w:t>
      </w:r>
      <w:r>
        <w:tab/>
      </w:r>
      <w:r>
        <w:fldChar w:fldCharType="begin"/>
      </w:r>
      <w:r>
        <w:instrText xml:space="preserve"> PAGEREF _Toc2826 \h </w:instrText>
      </w:r>
      <w:r>
        <w:fldChar w:fldCharType="separate"/>
      </w:r>
      <w:r>
        <w:t>67</w:t>
      </w:r>
      <w:r>
        <w:fldChar w:fldCharType="end"/>
      </w:r>
      <w:r>
        <w:rPr>
          <w:rFonts w:ascii="宋体" w:hAnsi="宋体"/>
          <w:color w:val="auto"/>
          <w:kern w:val="10"/>
          <w:szCs w:val="21"/>
        </w:rPr>
        <w:fldChar w:fldCharType="end"/>
      </w:r>
    </w:p>
    <w:p w14:paraId="07A11693">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_Toc26144 </w:instrText>
      </w:r>
      <w:r>
        <w:rPr>
          <w:rFonts w:ascii="宋体" w:hAnsi="宋体"/>
          <w:kern w:val="10"/>
          <w:szCs w:val="21"/>
        </w:rPr>
        <w:fldChar w:fldCharType="separate"/>
      </w:r>
      <w:r>
        <w:rPr>
          <w:rFonts w:hint="eastAsia" w:ascii="黑体" w:hAnsi="宋体"/>
          <w:szCs w:val="24"/>
        </w:rPr>
        <w:t>附件1</w:t>
      </w:r>
      <w:r>
        <w:rPr>
          <w:rFonts w:hint="eastAsia" w:ascii="黑体" w:hAnsi="宋体"/>
          <w:szCs w:val="24"/>
          <w:lang w:val="en-US" w:eastAsia="zh-CN"/>
        </w:rPr>
        <w:t>3</w:t>
      </w:r>
      <w:r>
        <w:rPr>
          <w:rFonts w:hint="eastAsia" w:ascii="黑体" w:hAnsi="宋体"/>
          <w:szCs w:val="24"/>
        </w:rPr>
        <w:t xml:space="preserve"> 同类项目业绩</w:t>
      </w:r>
      <w:r>
        <w:tab/>
      </w:r>
      <w:r>
        <w:fldChar w:fldCharType="begin"/>
      </w:r>
      <w:r>
        <w:instrText xml:space="preserve"> PAGEREF _Toc26144 \h </w:instrText>
      </w:r>
      <w:r>
        <w:fldChar w:fldCharType="separate"/>
      </w:r>
      <w:r>
        <w:t>68</w:t>
      </w:r>
      <w:r>
        <w:fldChar w:fldCharType="end"/>
      </w:r>
      <w:r>
        <w:rPr>
          <w:rFonts w:ascii="宋体" w:hAnsi="宋体"/>
          <w:color w:val="auto"/>
          <w:kern w:val="10"/>
          <w:szCs w:val="21"/>
        </w:rPr>
        <w:fldChar w:fldCharType="end"/>
      </w:r>
    </w:p>
    <w:p w14:paraId="674DF632">
      <w:pPr>
        <w:pStyle w:val="30"/>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_Toc1390 </w:instrText>
      </w:r>
      <w:r>
        <w:rPr>
          <w:rFonts w:ascii="宋体" w:hAnsi="宋体"/>
          <w:kern w:val="10"/>
          <w:szCs w:val="21"/>
        </w:rPr>
        <w:fldChar w:fldCharType="separate"/>
      </w:r>
      <w:r>
        <w:rPr>
          <w:rFonts w:ascii="黑体" w:hAnsi="宋体"/>
          <w:szCs w:val="24"/>
        </w:rPr>
        <w:t>附件</w:t>
      </w:r>
      <w:r>
        <w:rPr>
          <w:rFonts w:hint="eastAsia" w:ascii="黑体" w:hAnsi="宋体"/>
          <w:szCs w:val="24"/>
        </w:rPr>
        <w:t>1</w:t>
      </w:r>
      <w:r>
        <w:rPr>
          <w:rFonts w:hint="eastAsia" w:ascii="黑体" w:hAnsi="宋体"/>
          <w:szCs w:val="24"/>
          <w:lang w:val="en-US" w:eastAsia="zh-CN"/>
        </w:rPr>
        <w:t>4</w:t>
      </w:r>
      <w:r>
        <w:rPr>
          <w:rFonts w:hint="eastAsia" w:ascii="黑体" w:hAnsi="宋体"/>
          <w:szCs w:val="24"/>
        </w:rPr>
        <w:t xml:space="preserve"> 政府采购政策功能相关说明</w:t>
      </w:r>
      <w:r>
        <w:tab/>
      </w:r>
      <w:r>
        <w:fldChar w:fldCharType="begin"/>
      </w:r>
      <w:r>
        <w:instrText xml:space="preserve"> PAGEREF _Toc1390 \h </w:instrText>
      </w:r>
      <w:r>
        <w:fldChar w:fldCharType="separate"/>
      </w:r>
      <w:r>
        <w:t>69</w:t>
      </w:r>
      <w:r>
        <w:fldChar w:fldCharType="end"/>
      </w:r>
      <w:r>
        <w:rPr>
          <w:rFonts w:ascii="宋体" w:hAnsi="宋体"/>
          <w:color w:val="auto"/>
          <w:kern w:val="10"/>
          <w:szCs w:val="21"/>
        </w:rPr>
        <w:fldChar w:fldCharType="end"/>
      </w:r>
    </w:p>
    <w:p w14:paraId="40F9EE04">
      <w:pPr>
        <w:pStyle w:val="27"/>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_Toc17928 </w:instrText>
      </w:r>
      <w:r>
        <w:rPr>
          <w:rFonts w:ascii="宋体" w:hAnsi="宋体"/>
          <w:kern w:val="10"/>
          <w:szCs w:val="21"/>
        </w:rPr>
        <w:fldChar w:fldCharType="separate"/>
      </w:r>
      <w:r>
        <w:rPr>
          <w:rFonts w:hint="eastAsia" w:ascii="黑体" w:eastAsia="黑体"/>
          <w:szCs w:val="32"/>
        </w:rPr>
        <w:t>第五部分  采购内容</w:t>
      </w:r>
      <w:r>
        <w:tab/>
      </w:r>
      <w:r>
        <w:fldChar w:fldCharType="begin"/>
      </w:r>
      <w:r>
        <w:instrText xml:space="preserve"> PAGEREF _Toc17928 \h </w:instrText>
      </w:r>
      <w:r>
        <w:fldChar w:fldCharType="separate"/>
      </w:r>
      <w:r>
        <w:t>75</w:t>
      </w:r>
      <w:r>
        <w:fldChar w:fldCharType="end"/>
      </w:r>
      <w:r>
        <w:rPr>
          <w:rFonts w:ascii="宋体" w:hAnsi="宋体"/>
          <w:color w:val="auto"/>
          <w:kern w:val="10"/>
          <w:szCs w:val="21"/>
        </w:rPr>
        <w:fldChar w:fldCharType="end"/>
      </w:r>
    </w:p>
    <w:p w14:paraId="09426432">
      <w:pPr>
        <w:pStyle w:val="27"/>
        <w:tabs>
          <w:tab w:val="right" w:leader="dot" w:pos="9638"/>
        </w:tabs>
      </w:pPr>
      <w:r>
        <w:rPr>
          <w:rFonts w:ascii="宋体" w:hAnsi="宋体"/>
          <w:color w:val="auto"/>
          <w:kern w:val="10"/>
          <w:szCs w:val="21"/>
        </w:rPr>
        <w:fldChar w:fldCharType="begin"/>
      </w:r>
      <w:r>
        <w:rPr>
          <w:rFonts w:ascii="宋体" w:hAnsi="宋体"/>
          <w:kern w:val="10"/>
          <w:szCs w:val="21"/>
        </w:rPr>
        <w:instrText xml:space="preserve"> HYPERLINK \l _Toc22554 </w:instrText>
      </w:r>
      <w:r>
        <w:rPr>
          <w:rFonts w:ascii="宋体" w:hAnsi="宋体"/>
          <w:kern w:val="10"/>
          <w:szCs w:val="21"/>
        </w:rPr>
        <w:fldChar w:fldCharType="separate"/>
      </w:r>
      <w:r>
        <w:rPr>
          <w:rFonts w:hint="eastAsia" w:ascii="黑体" w:eastAsia="黑体"/>
          <w:szCs w:val="32"/>
        </w:rPr>
        <w:t>第六部分  磋商原则及方法</w:t>
      </w:r>
      <w:r>
        <w:tab/>
      </w:r>
      <w:r>
        <w:fldChar w:fldCharType="begin"/>
      </w:r>
      <w:r>
        <w:instrText xml:space="preserve"> PAGEREF _Toc22554 \h </w:instrText>
      </w:r>
      <w:r>
        <w:fldChar w:fldCharType="separate"/>
      </w:r>
      <w:r>
        <w:t>78</w:t>
      </w:r>
      <w:r>
        <w:fldChar w:fldCharType="end"/>
      </w:r>
      <w:r>
        <w:rPr>
          <w:rFonts w:ascii="宋体" w:hAnsi="宋体"/>
          <w:color w:val="auto"/>
          <w:kern w:val="10"/>
          <w:szCs w:val="21"/>
        </w:rPr>
        <w:fldChar w:fldCharType="end"/>
      </w:r>
    </w:p>
    <w:p w14:paraId="46C563A3">
      <w:pPr>
        <w:spacing w:line="440" w:lineRule="exact"/>
        <w:rPr>
          <w:rFonts w:hint="eastAsia" w:ascii="宋体" w:hAnsi="宋体"/>
          <w:b/>
          <w:color w:val="auto"/>
          <w:kern w:val="10"/>
          <w:szCs w:val="21"/>
          <w:u w:val="single"/>
        </w:rPr>
      </w:pPr>
      <w:r>
        <w:rPr>
          <w:rFonts w:ascii="宋体" w:hAnsi="宋体"/>
          <w:color w:val="auto"/>
          <w:kern w:val="10"/>
          <w:szCs w:val="21"/>
        </w:rPr>
        <w:fldChar w:fldCharType="end"/>
      </w:r>
      <w:r>
        <w:rPr>
          <w:rFonts w:hint="eastAsia" w:ascii="宋体" w:hAnsi="宋体"/>
          <w:b/>
          <w:color w:val="auto"/>
          <w:kern w:val="10"/>
          <w:szCs w:val="21"/>
          <w:u w:val="single"/>
        </w:rPr>
        <w:t>备注：磋商文件中带下“▲</w:t>
      </w:r>
      <w:r>
        <w:rPr>
          <w:rFonts w:ascii="宋体" w:hAnsi="宋体"/>
          <w:b/>
          <w:color w:val="auto"/>
          <w:kern w:val="10"/>
          <w:szCs w:val="21"/>
          <w:u w:val="single"/>
        </w:rPr>
        <w:t>”</w:t>
      </w:r>
      <w:r>
        <w:rPr>
          <w:rFonts w:hint="eastAsia" w:ascii="宋体" w:hAnsi="宋体"/>
          <w:b/>
          <w:color w:val="auto"/>
          <w:kern w:val="10"/>
          <w:szCs w:val="21"/>
          <w:u w:val="single"/>
        </w:rPr>
        <w:t>并加划线的内容为磋商文件实质性条款或要求，带深色底纹或加下划线的内容为磋商文件重要内容，提醒磋商供应商审慎阅读。</w:t>
      </w:r>
    </w:p>
    <w:p w14:paraId="09796C63">
      <w:pPr>
        <w:pStyle w:val="30"/>
        <w:rPr>
          <w:rFonts w:hint="eastAsia" w:ascii="宋体" w:hAnsi="宋体"/>
          <w:b/>
          <w:color w:val="auto"/>
          <w:kern w:val="10"/>
          <w:szCs w:val="21"/>
          <w:u w:val="single"/>
        </w:rPr>
      </w:pPr>
    </w:p>
    <w:p w14:paraId="5B09A503">
      <w:pPr>
        <w:rPr>
          <w:rFonts w:hint="eastAsia" w:ascii="宋体" w:hAnsi="宋体"/>
          <w:b/>
          <w:color w:val="auto"/>
          <w:kern w:val="10"/>
          <w:szCs w:val="21"/>
          <w:u w:val="single"/>
        </w:rPr>
      </w:pPr>
    </w:p>
    <w:p w14:paraId="359BDEBC">
      <w:pPr>
        <w:pStyle w:val="30"/>
        <w:rPr>
          <w:rFonts w:hint="eastAsia" w:ascii="宋体" w:hAnsi="宋体"/>
          <w:b/>
          <w:color w:val="auto"/>
          <w:kern w:val="10"/>
          <w:szCs w:val="21"/>
          <w:u w:val="single"/>
        </w:rPr>
      </w:pPr>
    </w:p>
    <w:p w14:paraId="2DEE377F">
      <w:pPr>
        <w:rPr>
          <w:rFonts w:hint="eastAsia" w:ascii="宋体" w:hAnsi="宋体"/>
          <w:b/>
          <w:color w:val="auto"/>
          <w:kern w:val="10"/>
          <w:szCs w:val="21"/>
          <w:u w:val="single"/>
        </w:rPr>
      </w:pPr>
    </w:p>
    <w:p w14:paraId="77BD493E">
      <w:pPr>
        <w:pStyle w:val="30"/>
        <w:rPr>
          <w:rFonts w:hint="eastAsia" w:ascii="宋体" w:hAnsi="宋体"/>
          <w:b/>
          <w:color w:val="auto"/>
          <w:kern w:val="10"/>
          <w:szCs w:val="21"/>
          <w:u w:val="single"/>
        </w:rPr>
      </w:pPr>
    </w:p>
    <w:p w14:paraId="4A6A75F4">
      <w:pPr>
        <w:rPr>
          <w:rFonts w:hint="eastAsia"/>
          <w:color w:val="auto"/>
        </w:rPr>
      </w:pPr>
    </w:p>
    <w:p w14:paraId="2FD9201C">
      <w:pPr>
        <w:pStyle w:val="2"/>
        <w:spacing w:line="560" w:lineRule="exact"/>
        <w:jc w:val="center"/>
        <w:rPr>
          <w:rFonts w:hint="eastAsia" w:ascii="黑体" w:hAnsi="黑体" w:eastAsia="黑体"/>
          <w:color w:val="auto"/>
          <w:sz w:val="32"/>
          <w:szCs w:val="32"/>
        </w:rPr>
      </w:pPr>
      <w:bookmarkStart w:id="2" w:name="_Toc17904"/>
      <w:bookmarkStart w:id="3" w:name="_Toc6749"/>
      <w:r>
        <w:rPr>
          <w:rFonts w:hint="eastAsia" w:ascii="黑体" w:hAnsi="黑体" w:eastAsia="黑体"/>
          <w:color w:val="auto"/>
          <w:sz w:val="32"/>
          <w:szCs w:val="32"/>
        </w:rPr>
        <w:t>第一部分  磋商公告</w:t>
      </w:r>
      <w:bookmarkEnd w:id="2"/>
      <w:bookmarkEnd w:id="3"/>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DB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158C76E">
            <w:pPr>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项目概况</w:t>
            </w:r>
          </w:p>
          <w:p w14:paraId="2E07DEE4">
            <w:pPr>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    </w:t>
            </w:r>
            <w:r>
              <w:rPr>
                <w:rFonts w:hint="eastAsia" w:ascii="宋体" w:hAnsi="宋体" w:cs="宋体"/>
                <w:color w:val="auto"/>
                <w:sz w:val="22"/>
                <w:szCs w:val="22"/>
                <w:u w:val="single"/>
                <w:lang w:eastAsia="zh-CN"/>
              </w:rPr>
              <w:t>学校配电房提升改造（2x630KVA配电工程（单电源））</w:t>
            </w:r>
            <w:r>
              <w:rPr>
                <w:rFonts w:hint="eastAsia" w:ascii="宋体" w:hAnsi="宋体" w:cs="宋体"/>
                <w:color w:val="auto"/>
                <w:sz w:val="22"/>
                <w:szCs w:val="22"/>
              </w:rPr>
              <w:t>项目的潜在供应商应在政采云平台（https://www.zcygov.cn）获取（下载）采购文件，并于202</w:t>
            </w:r>
            <w:r>
              <w:rPr>
                <w:rFonts w:hint="eastAsia" w:ascii="宋体" w:hAnsi="宋体" w:cs="宋体"/>
                <w:color w:val="auto"/>
                <w:sz w:val="22"/>
                <w:szCs w:val="22"/>
                <w:lang w:val="en-US" w:eastAsia="zh-CN"/>
              </w:rPr>
              <w:t>4</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07</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22</w:t>
            </w:r>
            <w:r>
              <w:rPr>
                <w:rFonts w:hint="eastAsia" w:ascii="宋体" w:hAnsi="宋体" w:cs="宋体"/>
                <w:color w:val="auto"/>
                <w:sz w:val="22"/>
                <w:szCs w:val="22"/>
              </w:rPr>
              <w:t xml:space="preserve">日 </w:t>
            </w:r>
            <w:r>
              <w:rPr>
                <w:rFonts w:ascii="宋体" w:hAnsi="宋体" w:cs="宋体"/>
                <w:color w:val="auto"/>
                <w:sz w:val="22"/>
                <w:szCs w:val="22"/>
              </w:rPr>
              <w:t>14</w:t>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0（北京时间）前递交（上传）响应文件。 </w:t>
            </w:r>
          </w:p>
        </w:tc>
      </w:tr>
    </w:tbl>
    <w:p w14:paraId="52524D00">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一、项目基本情况</w:t>
      </w:r>
    </w:p>
    <w:p w14:paraId="3AC23453">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项目编号：</w:t>
      </w:r>
      <w:r>
        <w:rPr>
          <w:rFonts w:hint="eastAsia" w:ascii="宋体" w:hAnsi="宋体"/>
          <w:color w:val="auto"/>
          <w:sz w:val="22"/>
          <w:szCs w:val="22"/>
        </w:rPr>
        <w:t>WZZF2024(ZC)-04-076（</w:t>
      </w:r>
      <w:r>
        <w:rPr>
          <w:rFonts w:hint="eastAsia" w:ascii="宋体" w:hAnsi="宋体"/>
          <w:color w:val="auto"/>
          <w:sz w:val="22"/>
          <w:szCs w:val="22"/>
          <w:lang w:val="en-US" w:eastAsia="zh-CN"/>
        </w:rPr>
        <w:t>CS</w:t>
      </w:r>
      <w:r>
        <w:rPr>
          <w:rFonts w:hint="eastAsia" w:ascii="宋体" w:hAnsi="宋体"/>
          <w:color w:val="auto"/>
          <w:sz w:val="22"/>
          <w:szCs w:val="22"/>
        </w:rPr>
        <w:t>）</w:t>
      </w:r>
    </w:p>
    <w:p w14:paraId="183709E2">
      <w:pPr>
        <w:adjustRightInd w:val="0"/>
        <w:snapToGrid w:val="0"/>
        <w:spacing w:line="44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项目名称：</w:t>
      </w:r>
      <w:r>
        <w:rPr>
          <w:rFonts w:hint="eastAsia" w:ascii="宋体" w:hAnsi="宋体" w:cs="宋体"/>
          <w:color w:val="auto"/>
          <w:sz w:val="22"/>
          <w:szCs w:val="22"/>
          <w:lang w:eastAsia="zh-CN"/>
        </w:rPr>
        <w:t>学校配电房提升改造（2x630KVA配电工程（单电源））</w:t>
      </w:r>
    </w:p>
    <w:p w14:paraId="61FDA2D2">
      <w:pPr>
        <w:adjustRightInd w:val="0"/>
        <w:snapToGrid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预算金额（元）：</w:t>
      </w:r>
      <w:r>
        <w:rPr>
          <w:rFonts w:hint="eastAsia" w:ascii="宋体" w:hAnsi="宋体"/>
          <w:color w:val="auto"/>
          <w:sz w:val="22"/>
          <w:szCs w:val="22"/>
          <w:lang w:val="en-US" w:eastAsia="zh-CN"/>
        </w:rPr>
        <w:t>2090000</w:t>
      </w:r>
    </w:p>
    <w:p w14:paraId="3D049B6D">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最高限价（元）：1987547.06</w:t>
      </w:r>
    </w:p>
    <w:p w14:paraId="7C365ADC">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采购需求：</w:t>
      </w:r>
    </w:p>
    <w:p w14:paraId="505F19D3">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标项一：</w:t>
      </w:r>
    </w:p>
    <w:p w14:paraId="0869EEE3">
      <w:pPr>
        <w:adjustRightInd w:val="0"/>
        <w:snapToGrid w:val="0"/>
        <w:spacing w:line="44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标项名称：</w:t>
      </w:r>
      <w:r>
        <w:rPr>
          <w:rFonts w:hint="eastAsia" w:ascii="宋体" w:hAnsi="宋体" w:cs="宋体"/>
          <w:color w:val="auto"/>
          <w:sz w:val="22"/>
          <w:szCs w:val="22"/>
          <w:lang w:eastAsia="zh-CN"/>
        </w:rPr>
        <w:t>学校配电房提升改造（2x630KVA配电工程（单电源））</w:t>
      </w:r>
    </w:p>
    <w:p w14:paraId="63E8BD0B">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数量：1</w:t>
      </w:r>
    </w:p>
    <w:p w14:paraId="62141260">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预算金额（元）：</w:t>
      </w:r>
      <w:r>
        <w:rPr>
          <w:rFonts w:hint="eastAsia" w:ascii="宋体" w:hAnsi="宋体"/>
          <w:color w:val="auto"/>
          <w:sz w:val="22"/>
          <w:szCs w:val="22"/>
          <w:lang w:val="en-US" w:eastAsia="zh-CN"/>
        </w:rPr>
        <w:t>2090000</w:t>
      </w:r>
    </w:p>
    <w:p w14:paraId="67DBE7DD">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单位：批</w:t>
      </w:r>
    </w:p>
    <w:p w14:paraId="47AFD944">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简要规格描述或项目基本概况介绍、用途：</w:t>
      </w:r>
      <w:r>
        <w:rPr>
          <w:rFonts w:hint="eastAsia" w:ascii="宋体" w:hAnsi="宋体" w:cs="宋体"/>
          <w:color w:val="auto"/>
          <w:sz w:val="22"/>
          <w:szCs w:val="22"/>
          <w:lang w:eastAsia="zh-CN"/>
        </w:rPr>
        <w:t>浙江安防职业技术学院学校配电房提升改造（2x630KVA配电工程（单电源））</w:t>
      </w:r>
      <w:r>
        <w:rPr>
          <w:rFonts w:hint="eastAsia" w:ascii="宋体" w:hAnsi="宋体" w:cs="宋体"/>
          <w:color w:val="auto"/>
          <w:sz w:val="22"/>
          <w:szCs w:val="22"/>
        </w:rPr>
        <w:t>，详见磋商文件第五部分。</w:t>
      </w:r>
    </w:p>
    <w:p w14:paraId="28F390AF">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备注：/</w:t>
      </w:r>
    </w:p>
    <w:p w14:paraId="2AA35D2D">
      <w:pPr>
        <w:adjustRightInd w:val="0"/>
        <w:snapToGrid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合同履约期限：</w:t>
      </w:r>
      <w:r>
        <w:rPr>
          <w:rFonts w:hint="eastAsia" w:ascii="宋体"/>
          <w:color w:val="auto"/>
          <w:sz w:val="22"/>
          <w:szCs w:val="22"/>
          <w:highlight w:val="none"/>
          <w:u w:val="single"/>
        </w:rPr>
        <w:t>本次施工在暑假内进行，工期计划：</w:t>
      </w:r>
      <w:r>
        <w:rPr>
          <w:rFonts w:hint="eastAsia" w:ascii="宋体"/>
          <w:color w:val="auto"/>
          <w:sz w:val="22"/>
          <w:szCs w:val="22"/>
          <w:highlight w:val="none"/>
          <w:u w:val="single"/>
          <w:lang w:val="en-US" w:eastAsia="zh-CN"/>
        </w:rPr>
        <w:t>40日历天，</w:t>
      </w:r>
      <w:r>
        <w:rPr>
          <w:rFonts w:hint="eastAsia" w:ascii="宋体"/>
          <w:color w:val="auto"/>
          <w:sz w:val="22"/>
          <w:szCs w:val="22"/>
          <w:highlight w:val="none"/>
          <w:u w:val="single"/>
        </w:rPr>
        <w:t>材料备货25天，施工工期15天</w:t>
      </w:r>
      <w:r>
        <w:rPr>
          <w:rFonts w:hint="eastAsia" w:ascii="宋体" w:hAnsi="宋体" w:cs="宋体"/>
          <w:color w:val="auto"/>
          <w:sz w:val="22"/>
          <w:szCs w:val="22"/>
        </w:rPr>
        <w:t>。</w:t>
      </w:r>
    </w:p>
    <w:p w14:paraId="55263294">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本项目（</w:t>
      </w:r>
      <w:r>
        <w:rPr>
          <w:rFonts w:hint="eastAsia" w:ascii="宋体" w:hAnsi="宋体" w:cs="宋体"/>
          <w:color w:val="auto"/>
          <w:sz w:val="22"/>
          <w:szCs w:val="22"/>
          <w:lang w:val="en-US" w:eastAsia="zh-CN"/>
        </w:rPr>
        <w:t>是</w:t>
      </w:r>
      <w:r>
        <w:rPr>
          <w:rFonts w:hint="eastAsia" w:ascii="宋体" w:hAnsi="宋体" w:cs="宋体"/>
          <w:color w:val="auto"/>
          <w:sz w:val="22"/>
          <w:szCs w:val="22"/>
        </w:rPr>
        <w:t>）接受联合体投标。</w:t>
      </w:r>
    </w:p>
    <w:p w14:paraId="047F4A7F">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二、申请人的资格要求：</w:t>
      </w:r>
    </w:p>
    <w:p w14:paraId="647F3F03">
      <w:pPr>
        <w:numPr>
          <w:ilvl w:val="0"/>
          <w:numId w:val="4"/>
        </w:num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74A831E0">
      <w:pPr>
        <w:numPr>
          <w:ilvl w:val="0"/>
          <w:numId w:val="4"/>
        </w:num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落实政府采购政策需满足的资格要求：</w:t>
      </w:r>
      <w:r>
        <w:rPr>
          <w:rFonts w:hint="eastAsia" w:ascii="宋体" w:hAnsi="宋体"/>
          <w:color w:val="auto"/>
          <w:sz w:val="22"/>
          <w:szCs w:val="22"/>
          <w:u w:val="single"/>
        </w:rPr>
        <w:t>供应商为中小企业/小微企业</w:t>
      </w:r>
      <w:r>
        <w:rPr>
          <w:rFonts w:hint="eastAsia" w:ascii="宋体" w:hAnsi="宋体" w:cs="宋体"/>
          <w:b/>
          <w:bCs/>
          <w:color w:val="auto"/>
          <w:kern w:val="0"/>
          <w:sz w:val="22"/>
          <w:szCs w:val="22"/>
          <w:lang w:bidi="ar"/>
        </w:rPr>
        <w:t>；</w:t>
      </w:r>
    </w:p>
    <w:p w14:paraId="5B5BEF00">
      <w:pPr>
        <w:numPr>
          <w:ilvl w:val="0"/>
          <w:numId w:val="4"/>
        </w:numPr>
        <w:adjustRightInd w:val="0"/>
        <w:snapToGrid w:val="0"/>
        <w:spacing w:line="440" w:lineRule="exact"/>
        <w:ind w:firstLine="440"/>
        <w:rPr>
          <w:rFonts w:hint="eastAsia" w:ascii="宋体" w:hAnsi="宋体"/>
          <w:color w:val="auto"/>
          <w:sz w:val="22"/>
          <w:szCs w:val="22"/>
        </w:rPr>
      </w:pPr>
      <w:r>
        <w:rPr>
          <w:rFonts w:hint="eastAsia" w:ascii="宋体" w:hAnsi="宋体" w:cs="宋体"/>
          <w:color w:val="auto"/>
          <w:sz w:val="22"/>
          <w:szCs w:val="22"/>
        </w:rPr>
        <w:t>本项目的特定资格要求：</w:t>
      </w:r>
    </w:p>
    <w:p w14:paraId="472984D5">
      <w:pPr>
        <w:adjustRightInd w:val="0"/>
        <w:snapToGrid w:val="0"/>
        <w:spacing w:line="440" w:lineRule="exact"/>
        <w:ind w:left="440"/>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u w:val="single"/>
          <w:lang w:eastAsia="zh-CN"/>
        </w:rPr>
        <w:t>具备电力工程施工总承包三级及以上资质（</w:t>
      </w:r>
      <w:r>
        <w:rPr>
          <w:rFonts w:hint="eastAsia" w:ascii="宋体" w:hAnsi="宋体" w:cs="宋体"/>
          <w:color w:val="auto"/>
          <w:sz w:val="22"/>
          <w:szCs w:val="22"/>
          <w:u w:val="single"/>
          <w:lang w:val="en-US" w:eastAsia="zh-CN"/>
        </w:rPr>
        <w:t>或</w:t>
      </w:r>
      <w:r>
        <w:rPr>
          <w:rFonts w:hint="eastAsia" w:ascii="宋体" w:hAnsi="宋体" w:cs="宋体"/>
          <w:color w:val="auto"/>
          <w:sz w:val="22"/>
          <w:szCs w:val="22"/>
          <w:u w:val="single"/>
          <w:lang w:eastAsia="zh-CN"/>
        </w:rPr>
        <w:t>输变电工程专业承包三级及以上资质）</w:t>
      </w:r>
      <w:r>
        <w:rPr>
          <w:rFonts w:hint="eastAsia" w:ascii="宋体" w:hAnsi="宋体" w:cs="宋体"/>
          <w:color w:val="auto"/>
          <w:sz w:val="22"/>
          <w:szCs w:val="22"/>
          <w:u w:val="single"/>
        </w:rPr>
        <w:t>；</w:t>
      </w:r>
    </w:p>
    <w:p w14:paraId="18408ADE">
      <w:pPr>
        <w:adjustRightInd w:val="0"/>
        <w:snapToGrid w:val="0"/>
        <w:spacing w:line="440" w:lineRule="exact"/>
        <w:ind w:left="440"/>
        <w:rPr>
          <w:rFonts w:ascii="宋体" w:hAnsi="宋体" w:cs="宋体"/>
          <w:color w:val="auto"/>
          <w:kern w:val="0"/>
          <w:sz w:val="22"/>
          <w:szCs w:val="22"/>
        </w:rPr>
      </w:pPr>
      <w:r>
        <w:rPr>
          <w:rFonts w:hint="eastAsia" w:ascii="宋体" w:hAnsi="宋体" w:cs="宋体"/>
          <w:color w:val="auto"/>
          <w:sz w:val="22"/>
          <w:szCs w:val="22"/>
        </w:rPr>
        <w:t>（2）</w:t>
      </w:r>
      <w:r>
        <w:rPr>
          <w:rFonts w:hint="eastAsia" w:ascii="宋体" w:hAnsi="宋体" w:cs="宋体"/>
          <w:color w:val="auto"/>
          <w:sz w:val="22"/>
          <w:szCs w:val="22"/>
          <w:u w:val="single"/>
          <w:lang w:eastAsia="zh-CN"/>
        </w:rPr>
        <w:t>具备国家电力监督委员会颁发的承装（修、试）电力设施五级及以上建筑业企业资质</w:t>
      </w:r>
      <w:r>
        <w:rPr>
          <w:rFonts w:hint="eastAsia" w:ascii="宋体" w:hAnsi="宋体" w:cs="宋体"/>
          <w:color w:val="auto"/>
          <w:kern w:val="0"/>
          <w:sz w:val="22"/>
          <w:szCs w:val="22"/>
        </w:rPr>
        <w:t>；</w:t>
      </w:r>
    </w:p>
    <w:p w14:paraId="39684BA5">
      <w:pPr>
        <w:tabs>
          <w:tab w:val="left" w:pos="312"/>
        </w:tabs>
        <w:adjustRightInd w:val="0"/>
        <w:snapToGrid w:val="0"/>
        <w:spacing w:line="440" w:lineRule="exact"/>
        <w:ind w:left="440"/>
        <w:rPr>
          <w:rFonts w:ascii="宋体" w:hAnsi="宋体" w:cs="宋体"/>
          <w:color w:val="auto"/>
          <w:kern w:val="0"/>
          <w:sz w:val="22"/>
          <w:szCs w:val="22"/>
        </w:rPr>
      </w:pPr>
      <w:r>
        <w:rPr>
          <w:rFonts w:hint="eastAsia" w:ascii="宋体" w:hAnsi="宋体"/>
          <w:color w:val="auto"/>
          <w:sz w:val="22"/>
          <w:szCs w:val="22"/>
        </w:rPr>
        <w:t>（3）</w:t>
      </w:r>
      <w:r>
        <w:rPr>
          <w:rFonts w:hint="eastAsia" w:ascii="宋体" w:hAnsi="宋体"/>
          <w:color w:val="auto"/>
          <w:sz w:val="22"/>
          <w:szCs w:val="22"/>
          <w:u w:val="single"/>
        </w:rPr>
        <w:t>具有有效安全生产许可证（或有效的安全生产许可证电子证书打印件）</w:t>
      </w:r>
      <w:r>
        <w:rPr>
          <w:rFonts w:hint="eastAsia" w:ascii="宋体" w:hAnsi="宋体" w:cs="宋体"/>
          <w:color w:val="auto"/>
          <w:kern w:val="0"/>
          <w:sz w:val="22"/>
          <w:szCs w:val="22"/>
        </w:rPr>
        <w:t>；</w:t>
      </w:r>
    </w:p>
    <w:p w14:paraId="3DA16B44">
      <w:pPr>
        <w:tabs>
          <w:tab w:val="left" w:pos="312"/>
        </w:tabs>
        <w:adjustRightInd w:val="0"/>
        <w:snapToGrid w:val="0"/>
        <w:spacing w:line="440" w:lineRule="exact"/>
        <w:ind w:left="440"/>
        <w:rPr>
          <w:rFonts w:hint="eastAsia" w:ascii="宋体" w:hAnsi="宋体" w:eastAsia="宋体"/>
          <w:color w:val="auto"/>
          <w:sz w:val="22"/>
          <w:szCs w:val="22"/>
          <w:lang w:eastAsia="zh-CN"/>
        </w:rPr>
      </w:pPr>
      <w:r>
        <w:rPr>
          <w:rFonts w:hint="eastAsia" w:ascii="宋体" w:hAnsi="宋体" w:cs="宋体"/>
          <w:color w:val="auto"/>
          <w:kern w:val="0"/>
          <w:sz w:val="22"/>
          <w:szCs w:val="22"/>
        </w:rPr>
        <w:t>（4）</w:t>
      </w:r>
      <w:r>
        <w:rPr>
          <w:rFonts w:hint="eastAsia" w:ascii="宋体" w:hAnsi="宋体" w:cs="宋体"/>
          <w:color w:val="auto"/>
          <w:kern w:val="0"/>
          <w:sz w:val="22"/>
          <w:szCs w:val="22"/>
          <w:u w:val="single"/>
        </w:rPr>
        <w:t>企业主要负责人具有“三类人员”A类证书</w:t>
      </w:r>
      <w:r>
        <w:rPr>
          <w:rFonts w:hint="eastAsia" w:ascii="宋体" w:hAnsi="宋体" w:cs="宋体"/>
          <w:color w:val="auto"/>
          <w:kern w:val="0"/>
          <w:sz w:val="22"/>
          <w:szCs w:val="22"/>
          <w:lang w:eastAsia="zh-CN"/>
        </w:rPr>
        <w:t>；</w:t>
      </w:r>
    </w:p>
    <w:p w14:paraId="07683AB4">
      <w:pPr>
        <w:tabs>
          <w:tab w:val="left" w:pos="312"/>
        </w:tabs>
        <w:adjustRightInd w:val="0"/>
        <w:snapToGrid w:val="0"/>
        <w:spacing w:line="440" w:lineRule="exact"/>
        <w:ind w:left="440"/>
        <w:rPr>
          <w:rFonts w:hint="eastAsia" w:ascii="宋体" w:hAnsi="宋体"/>
          <w:color w:val="auto"/>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w:t>
      </w:r>
      <w:r>
        <w:rPr>
          <w:rFonts w:hint="eastAsia" w:ascii="宋体" w:hAnsi="宋体" w:cs="宋体"/>
          <w:color w:val="auto"/>
          <w:kern w:val="0"/>
          <w:sz w:val="22"/>
          <w:szCs w:val="22"/>
          <w:u w:val="single"/>
        </w:rPr>
        <w:t>拟派项目经理具有</w:t>
      </w:r>
      <w:r>
        <w:rPr>
          <w:rFonts w:hint="eastAsia" w:ascii="宋体" w:hAnsi="宋体" w:cs="宋体"/>
          <w:color w:val="auto"/>
          <w:kern w:val="0"/>
          <w:sz w:val="22"/>
          <w:szCs w:val="22"/>
          <w:u w:val="single"/>
          <w:lang w:eastAsia="zh-CN"/>
        </w:rPr>
        <w:t>机电工程专业</w:t>
      </w:r>
      <w:r>
        <w:rPr>
          <w:rFonts w:hint="eastAsia" w:ascii="宋体" w:hAnsi="宋体" w:cs="宋体"/>
          <w:color w:val="auto"/>
          <w:kern w:val="0"/>
          <w:sz w:val="22"/>
          <w:szCs w:val="22"/>
          <w:u w:val="single"/>
        </w:rPr>
        <w:t>注册建造师二级及以上资格</w:t>
      </w:r>
      <w:r>
        <w:rPr>
          <w:rFonts w:hint="eastAsia" w:ascii="宋体" w:hAnsi="宋体" w:cs="宋体"/>
          <w:color w:val="auto"/>
          <w:kern w:val="0"/>
          <w:sz w:val="22"/>
          <w:szCs w:val="22"/>
        </w:rPr>
        <w:t>。</w:t>
      </w:r>
    </w:p>
    <w:p w14:paraId="78ABDFA9">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三、获取（下载）采购文件</w:t>
      </w:r>
    </w:p>
    <w:p w14:paraId="3A65B7BB">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时间：</w:t>
      </w:r>
      <w:r>
        <w:rPr>
          <w:rFonts w:hint="eastAsia" w:ascii="宋体" w:hAnsi="宋体" w:cs="宋体"/>
          <w:color w:val="auto"/>
          <w:sz w:val="22"/>
          <w:szCs w:val="22"/>
          <w:lang w:val="en-US" w:eastAsia="zh-CN"/>
        </w:rPr>
        <w:t>/</w:t>
      </w:r>
      <w:r>
        <w:rPr>
          <w:rFonts w:hint="eastAsia" w:ascii="宋体" w:hAnsi="宋体" w:cs="宋体"/>
          <w:color w:val="auto"/>
          <w:sz w:val="22"/>
          <w:szCs w:val="22"/>
        </w:rPr>
        <w:t>至202</w:t>
      </w:r>
      <w:r>
        <w:rPr>
          <w:rFonts w:hint="eastAsia" w:ascii="宋体" w:hAnsi="宋体" w:cs="宋体"/>
          <w:color w:val="auto"/>
          <w:sz w:val="22"/>
          <w:szCs w:val="22"/>
          <w:lang w:val="en-US" w:eastAsia="zh-CN"/>
        </w:rPr>
        <w:t>4</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07</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22</w:t>
      </w:r>
      <w:r>
        <w:rPr>
          <w:rFonts w:hint="eastAsia" w:ascii="宋体" w:hAnsi="宋体" w:cs="宋体"/>
          <w:color w:val="auto"/>
          <w:sz w:val="22"/>
          <w:szCs w:val="22"/>
        </w:rPr>
        <w:t>日，每天上午00:00至12:00，下午12:00至23:59（北京时间，线上获取法定节假日均可，线下获取文件法定节假日除外）</w:t>
      </w:r>
    </w:p>
    <w:p w14:paraId="69C3041B">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地点（网址）：政采云平台（https://www.zcygov.cn） </w:t>
      </w:r>
    </w:p>
    <w:p w14:paraId="18DF87EF">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方式：供应商登录政采云平台https://www.zcygov.cn/在线申请获取采购文件（进入“项目采购”应用，在获取采购文件菜单中选择项目，申请获取采购文件）</w:t>
      </w:r>
    </w:p>
    <w:p w14:paraId="41D80E2E">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售价（元）：0</w:t>
      </w:r>
    </w:p>
    <w:p w14:paraId="34A9016B">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四、响应文件提交（上传）</w:t>
      </w:r>
    </w:p>
    <w:p w14:paraId="528B5CA7">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截止时间：202</w:t>
      </w:r>
      <w:r>
        <w:rPr>
          <w:rFonts w:hint="eastAsia" w:ascii="宋体" w:hAnsi="宋体" w:cs="宋体"/>
          <w:color w:val="auto"/>
          <w:sz w:val="22"/>
          <w:szCs w:val="22"/>
          <w:lang w:val="en-US" w:eastAsia="zh-CN"/>
        </w:rPr>
        <w:t>4</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07</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22</w:t>
      </w:r>
      <w:r>
        <w:rPr>
          <w:rFonts w:hint="eastAsia" w:ascii="宋体" w:hAnsi="宋体" w:cs="宋体"/>
          <w:color w:val="auto"/>
          <w:sz w:val="22"/>
          <w:szCs w:val="22"/>
        </w:rPr>
        <w:t xml:space="preserve">日 </w:t>
      </w:r>
      <w:r>
        <w:rPr>
          <w:rFonts w:ascii="宋体" w:hAnsi="宋体" w:cs="宋体"/>
          <w:color w:val="auto"/>
          <w:sz w:val="22"/>
          <w:szCs w:val="22"/>
        </w:rPr>
        <w:t>14</w:t>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0（北京时间）</w:t>
      </w:r>
    </w:p>
    <w:p w14:paraId="2B6444B3">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地点（网址）：https://www.zcygov.cn政采云平台在线递交</w:t>
      </w:r>
    </w:p>
    <w:p w14:paraId="20C27334">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五、响应文件开启</w:t>
      </w:r>
    </w:p>
    <w:p w14:paraId="65A6BD5C">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开启时间：202</w:t>
      </w:r>
      <w:r>
        <w:rPr>
          <w:rFonts w:hint="eastAsia" w:ascii="宋体" w:hAnsi="宋体" w:cs="宋体"/>
          <w:color w:val="auto"/>
          <w:sz w:val="22"/>
          <w:szCs w:val="22"/>
          <w:lang w:val="en-US" w:eastAsia="zh-CN"/>
        </w:rPr>
        <w:t>4</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07</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22</w:t>
      </w:r>
      <w:r>
        <w:rPr>
          <w:rFonts w:hint="eastAsia" w:ascii="宋体" w:hAnsi="宋体" w:cs="宋体"/>
          <w:color w:val="auto"/>
          <w:sz w:val="22"/>
          <w:szCs w:val="22"/>
        </w:rPr>
        <w:t>日</w:t>
      </w:r>
      <w:r>
        <w:rPr>
          <w:rFonts w:ascii="宋体" w:hAnsi="宋体" w:cs="宋体"/>
          <w:color w:val="auto"/>
          <w:sz w:val="22"/>
          <w:szCs w:val="22"/>
        </w:rPr>
        <w:t>14</w:t>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0（北京时间）</w:t>
      </w:r>
    </w:p>
    <w:p w14:paraId="4111631E">
      <w:pPr>
        <w:adjustRightInd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cs="宋体"/>
          <w:color w:val="auto"/>
          <w:sz w:val="22"/>
          <w:szCs w:val="22"/>
        </w:rPr>
        <w:t>地点（网址）：</w:t>
      </w:r>
      <w:r>
        <w:rPr>
          <w:rFonts w:hint="eastAsia" w:ascii="宋体" w:hAnsi="宋体" w:eastAsia="宋体" w:cs="宋体"/>
          <w:color w:val="auto"/>
          <w:sz w:val="22"/>
          <w:szCs w:val="22"/>
        </w:rPr>
        <w:t>温州市瓯海区南塘一组团1幢1504室，政采云平台（https://www.zcygov.cn）在线评标</w:t>
      </w:r>
    </w:p>
    <w:p w14:paraId="307CF22A">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六、公告期限 </w:t>
      </w:r>
    </w:p>
    <w:p w14:paraId="3CD78142">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自本公告发布之日起3个工作日。</w:t>
      </w:r>
    </w:p>
    <w:p w14:paraId="679F4AF5">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七、其他补充事宜</w:t>
      </w:r>
    </w:p>
    <w:p w14:paraId="1710DCC7">
      <w:pPr>
        <w:widowControl/>
        <w:spacing w:line="440" w:lineRule="exact"/>
        <w:ind w:firstLine="440" w:firstLineChars="200"/>
        <w:jc w:val="left"/>
        <w:rPr>
          <w:rFonts w:hint="eastAsia" w:ascii="宋体" w:hAnsi="宋体" w:cs="宋体"/>
          <w:color w:val="auto"/>
          <w:kern w:val="0"/>
          <w:sz w:val="22"/>
          <w:szCs w:val="22"/>
          <w:lang w:bidi="ar"/>
        </w:rPr>
      </w:pPr>
      <w:r>
        <w:rPr>
          <w:rFonts w:hint="eastAsia" w:ascii="宋体" w:hAnsi="宋体" w:cs="宋体"/>
          <w:color w:val="auto"/>
          <w:kern w:val="0"/>
          <w:sz w:val="22"/>
          <w:szCs w:val="22"/>
          <w:lang w:bidi="ar"/>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E60078D">
      <w:pPr>
        <w:widowControl/>
        <w:spacing w:line="440" w:lineRule="exact"/>
        <w:ind w:firstLine="440" w:firstLineChars="200"/>
        <w:jc w:val="left"/>
        <w:rPr>
          <w:rFonts w:hint="eastAsia" w:ascii="宋体" w:hAnsi="宋体" w:cs="宋体"/>
          <w:color w:val="auto"/>
          <w:kern w:val="0"/>
          <w:sz w:val="22"/>
          <w:szCs w:val="22"/>
          <w:lang w:bidi="ar"/>
        </w:rPr>
      </w:pPr>
      <w:r>
        <w:rPr>
          <w:rFonts w:hint="eastAsia" w:ascii="宋体" w:hAnsi="宋体" w:cs="宋体"/>
          <w:color w:val="auto"/>
          <w:kern w:val="0"/>
          <w:sz w:val="22"/>
          <w:szCs w:val="22"/>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DC2CEC2">
      <w:pPr>
        <w:adjustRightInd w:val="0"/>
        <w:snapToGrid w:val="0"/>
        <w:spacing w:line="440" w:lineRule="exact"/>
        <w:ind w:firstLine="440" w:firstLineChars="200"/>
        <w:rPr>
          <w:rFonts w:hint="eastAsia"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.其他事项：</w:t>
      </w:r>
    </w:p>
    <w:p w14:paraId="50330908">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5EB28C">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rFonts w:hint="eastAsia"/>
          <w:color w:val="auto"/>
        </w:rPr>
        <w:fldChar w:fldCharType="begin"/>
      </w:r>
      <w:r>
        <w:rPr>
          <w:color w:val="auto"/>
        </w:rPr>
        <w:instrText xml:space="preserve"> HYPERLINK "https://help.zcygov.cn/web/site_2/2018/12/25/2547.html）。" </w:instrText>
      </w:r>
      <w:r>
        <w:rPr>
          <w:rFonts w:hint="eastAsia"/>
          <w:color w:val="auto"/>
        </w:rPr>
        <w:fldChar w:fldCharType="separate"/>
      </w:r>
      <w:r>
        <w:rPr>
          <w:rStyle w:val="42"/>
          <w:rFonts w:hint="eastAsia" w:ascii="宋体" w:hAnsi="宋体" w:cs="宋体"/>
          <w:color w:val="auto"/>
          <w:sz w:val="22"/>
          <w:szCs w:val="22"/>
        </w:rPr>
        <w:t>https://help.zcygov.cn/web/site_2/2018/12/25/2547.html）。</w:t>
      </w:r>
      <w:r>
        <w:rPr>
          <w:rStyle w:val="42"/>
          <w:rFonts w:hint="eastAsia" w:ascii="宋体" w:hAnsi="宋体" w:cs="宋体"/>
          <w:color w:val="auto"/>
          <w:sz w:val="22"/>
          <w:szCs w:val="22"/>
        </w:rPr>
        <w:fldChar w:fldCharType="end"/>
      </w:r>
    </w:p>
    <w:p w14:paraId="258DC620">
      <w:pPr>
        <w:adjustRightInd w:val="0"/>
        <w:snapToGrid w:val="0"/>
        <w:spacing w:line="440" w:lineRule="exact"/>
        <w:rPr>
          <w:rFonts w:hint="eastAsia" w:ascii="宋体" w:hAnsi="宋体" w:cs="宋体"/>
          <w:b/>
          <w:bCs/>
          <w:color w:val="auto"/>
          <w:sz w:val="22"/>
          <w:szCs w:val="22"/>
        </w:rPr>
      </w:pPr>
      <w:r>
        <w:rPr>
          <w:rFonts w:hint="eastAsia" w:ascii="宋体" w:hAnsi="宋体" w:cs="宋体"/>
          <w:b/>
          <w:bCs/>
          <w:color w:val="auto"/>
          <w:sz w:val="22"/>
          <w:szCs w:val="22"/>
        </w:rPr>
        <w:t>八、对本次采购提出询问、质疑、投诉，请按以下方式联系</w:t>
      </w:r>
    </w:p>
    <w:p w14:paraId="797F154C">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14:paraId="4A021F40">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14:paraId="647F87E3">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14:paraId="61C31654">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14:paraId="30ED21B0">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4"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w:t>
      </w:r>
      <w:r>
        <w:rPr>
          <w:rFonts w:hint="eastAsia" w:ascii="宋体" w:hAnsi="宋体" w:cs="宋体"/>
          <w:color w:val="auto"/>
          <w:szCs w:val="22"/>
          <w:lang w:val="en-US" w:eastAsia="zh-CN"/>
        </w:rPr>
        <w:t>洪</w:t>
      </w:r>
      <w:r>
        <w:rPr>
          <w:rFonts w:hint="eastAsia" w:ascii="宋体" w:hAnsi="宋体" w:cs="宋体"/>
          <w:color w:val="auto"/>
          <w:szCs w:val="22"/>
        </w:rPr>
        <w:t>老师</w:t>
      </w:r>
    </w:p>
    <w:p w14:paraId="12872DAF">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14:paraId="4186A272">
      <w:pPr>
        <w:widowControl/>
        <w:spacing w:line="440" w:lineRule="exact"/>
        <w:jc w:val="left"/>
        <w:rPr>
          <w:rFonts w:ascii="宋体" w:hAnsi="宋体" w:cs="宋体"/>
          <w:color w:val="auto"/>
          <w:szCs w:val="22"/>
        </w:rPr>
      </w:pPr>
      <w:r>
        <w:rPr>
          <w:rFonts w:hint="eastAsia" w:ascii="宋体" w:hAnsi="宋体" w:cs="宋体"/>
          <w:color w:val="auto"/>
          <w:szCs w:val="22"/>
        </w:rPr>
        <w:t>    质疑联系人：</w:t>
      </w:r>
      <w:r>
        <w:rPr>
          <w:rFonts w:hint="eastAsia" w:ascii="宋体" w:hAnsi="宋体" w:cs="宋体"/>
          <w:color w:val="auto"/>
          <w:szCs w:val="22"/>
          <w:lang w:val="en-US" w:eastAsia="zh-CN"/>
        </w:rPr>
        <w:t>包</w:t>
      </w:r>
      <w:r>
        <w:rPr>
          <w:rFonts w:hint="eastAsia" w:ascii="宋体" w:hAnsi="宋体" w:cs="宋体"/>
          <w:color w:val="auto"/>
          <w:szCs w:val="22"/>
        </w:rPr>
        <w:t>老师</w:t>
      </w:r>
    </w:p>
    <w:p w14:paraId="3517C018">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4"/>
    <w:p w14:paraId="2CB26D27">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14:paraId="58DEC587">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14:paraId="27AC52E2">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14:paraId="56DD2704">
      <w:pPr>
        <w:widowControl/>
        <w:spacing w:line="440" w:lineRule="exact"/>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    项目联系人（询问）：刘</w:t>
      </w:r>
      <w:r>
        <w:rPr>
          <w:rFonts w:hint="eastAsia" w:ascii="宋体" w:hAnsi="宋体" w:cs="宋体"/>
          <w:color w:val="auto"/>
          <w:sz w:val="22"/>
          <w:szCs w:val="22"/>
          <w:lang w:val="en-US" w:eastAsia="zh-CN"/>
        </w:rPr>
        <w:t>先生、诸葛先生</w:t>
      </w:r>
    </w:p>
    <w:p w14:paraId="1118A208">
      <w:pPr>
        <w:widowControl/>
        <w:spacing w:line="440" w:lineRule="exact"/>
        <w:ind w:firstLine="660" w:firstLineChars="300"/>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项目联系方式（询问）：15858517848</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13506646781</w:t>
      </w:r>
    </w:p>
    <w:p w14:paraId="5BFC62EF">
      <w:pPr>
        <w:widowControl/>
        <w:spacing w:line="440" w:lineRule="exact"/>
        <w:ind w:firstLine="660"/>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质疑联系人：</w:t>
      </w:r>
      <w:r>
        <w:rPr>
          <w:rFonts w:hint="eastAsia" w:ascii="宋体" w:hAnsi="宋体" w:cs="宋体"/>
          <w:color w:val="auto"/>
          <w:sz w:val="22"/>
          <w:szCs w:val="22"/>
          <w:lang w:val="en-US" w:eastAsia="zh-CN"/>
        </w:rPr>
        <w:t>胡女士</w:t>
      </w:r>
    </w:p>
    <w:p w14:paraId="1EEEF7B7">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14:paraId="3EA991A8">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14:paraId="19797DE3">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14:paraId="4ACBF556">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14:paraId="5CA59124">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14:paraId="33AEA1FC">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14:paraId="7769178A">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14:paraId="379E450C">
      <w:pPr>
        <w:adjustRightInd w:val="0"/>
        <w:snapToGrid w:val="0"/>
        <w:spacing w:line="440" w:lineRule="exact"/>
        <w:ind w:firstLine="660"/>
        <w:rPr>
          <w:rFonts w:ascii="宋体" w:hAnsi="宋体" w:cs="宋体"/>
          <w:color w:val="auto"/>
          <w:sz w:val="22"/>
          <w:szCs w:val="22"/>
        </w:rPr>
      </w:pPr>
    </w:p>
    <w:p w14:paraId="0674C0DD">
      <w:pPr>
        <w:adjustRightInd w:val="0"/>
        <w:snapToGrid w:val="0"/>
        <w:spacing w:line="440" w:lineRule="exact"/>
        <w:ind w:firstLine="660"/>
        <w:rPr>
          <w:rFonts w:ascii="宋体" w:hAnsi="宋体" w:cs="宋体"/>
          <w:color w:val="auto"/>
          <w:sz w:val="22"/>
          <w:szCs w:val="22"/>
        </w:rPr>
      </w:pPr>
    </w:p>
    <w:p w14:paraId="477BFE62">
      <w:pPr>
        <w:adjustRightInd w:val="0"/>
        <w:snapToGrid w:val="0"/>
        <w:spacing w:line="440" w:lineRule="exact"/>
        <w:ind w:firstLine="660"/>
        <w:rPr>
          <w:rFonts w:hint="eastAsia" w:ascii="宋体" w:hAnsi="宋体" w:cs="宋体"/>
          <w:color w:val="auto"/>
          <w:sz w:val="22"/>
          <w:szCs w:val="22"/>
        </w:rPr>
      </w:pPr>
    </w:p>
    <w:p w14:paraId="3F551B2B">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w:t>
      </w:r>
    </w:p>
    <w:p w14:paraId="1AD631B4">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CA问题联系电话（人工）：汇信CA 400-888-4636；天谷CA 400-087-8198。</w:t>
      </w:r>
    </w:p>
    <w:p w14:paraId="6F7BAA71">
      <w:pPr>
        <w:adjustRightInd w:val="0"/>
        <w:snapToGrid w:val="0"/>
        <w:spacing w:line="440" w:lineRule="exact"/>
        <w:ind w:firstLine="660"/>
        <w:rPr>
          <w:rFonts w:ascii="宋体" w:hAnsi="宋体" w:cs="宋体"/>
          <w:color w:val="auto"/>
          <w:sz w:val="22"/>
          <w:szCs w:val="22"/>
        </w:rPr>
      </w:pPr>
    </w:p>
    <w:p w14:paraId="32CA2D2F">
      <w:pPr>
        <w:spacing w:line="440" w:lineRule="exact"/>
        <w:ind w:right="440"/>
        <w:rPr>
          <w:rFonts w:hint="eastAsia" w:ascii="宋体" w:hAnsi="宋体"/>
          <w:color w:val="auto"/>
          <w:sz w:val="22"/>
          <w:szCs w:val="22"/>
        </w:rPr>
      </w:pPr>
    </w:p>
    <w:p w14:paraId="7F183C8B">
      <w:pPr>
        <w:pStyle w:val="2"/>
        <w:spacing w:line="560" w:lineRule="exact"/>
        <w:jc w:val="center"/>
        <w:rPr>
          <w:rFonts w:hint="eastAsia" w:ascii="黑体" w:hAnsi="黑体" w:eastAsia="黑体"/>
          <w:color w:val="auto"/>
          <w:sz w:val="32"/>
          <w:szCs w:val="32"/>
        </w:rPr>
      </w:pPr>
      <w:r>
        <w:rPr>
          <w:rFonts w:ascii="黑体" w:hAnsi="黑体" w:eastAsia="黑体"/>
          <w:color w:val="auto"/>
          <w:sz w:val="32"/>
          <w:szCs w:val="32"/>
        </w:rPr>
        <w:br w:type="page"/>
      </w:r>
      <w:bookmarkStart w:id="5" w:name="_Toc24101"/>
      <w:bookmarkStart w:id="6" w:name="_Toc19377"/>
      <w:r>
        <w:rPr>
          <w:rFonts w:hint="eastAsia" w:ascii="黑体" w:hAnsi="黑体" w:eastAsia="黑体"/>
          <w:color w:val="auto"/>
          <w:sz w:val="32"/>
          <w:szCs w:val="32"/>
        </w:rPr>
        <w:t>第二部分  磋商供应商须知</w:t>
      </w:r>
      <w:bookmarkEnd w:id="5"/>
      <w:bookmarkEnd w:id="6"/>
    </w:p>
    <w:p w14:paraId="12FB542A">
      <w:pPr>
        <w:pStyle w:val="3"/>
        <w:spacing w:line="480" w:lineRule="exact"/>
        <w:jc w:val="center"/>
        <w:rPr>
          <w:rFonts w:hint="eastAsia" w:ascii="宋体" w:hAnsi="宋体" w:eastAsia="宋体"/>
          <w:color w:val="auto"/>
          <w:sz w:val="28"/>
          <w:szCs w:val="28"/>
        </w:rPr>
      </w:pPr>
      <w:bookmarkStart w:id="7" w:name="_Toc13581"/>
      <w:bookmarkStart w:id="8" w:name="_Toc6797"/>
      <w:r>
        <w:rPr>
          <w:rFonts w:hint="eastAsia" w:ascii="宋体" w:hAnsi="宋体" w:eastAsia="宋体"/>
          <w:color w:val="auto"/>
          <w:sz w:val="28"/>
          <w:szCs w:val="28"/>
        </w:rPr>
        <w:t>磋商供应商须知前附表</w:t>
      </w:r>
      <w:bookmarkEnd w:id="7"/>
      <w:bookmarkEnd w:id="8"/>
    </w:p>
    <w:tbl>
      <w:tblPr>
        <w:tblStyle w:val="37"/>
        <w:tblW w:w="9956" w:type="dxa"/>
        <w:tblInd w:w="108" w:type="dxa"/>
        <w:tblLayout w:type="fixed"/>
        <w:tblCellMar>
          <w:top w:w="0" w:type="dxa"/>
          <w:left w:w="108" w:type="dxa"/>
          <w:bottom w:w="0" w:type="dxa"/>
          <w:right w:w="108" w:type="dxa"/>
        </w:tblCellMar>
      </w:tblPr>
      <w:tblGrid>
        <w:gridCol w:w="1769"/>
        <w:gridCol w:w="3147"/>
        <w:gridCol w:w="900"/>
        <w:gridCol w:w="360"/>
        <w:gridCol w:w="540"/>
        <w:gridCol w:w="3240"/>
      </w:tblGrid>
      <w:tr w14:paraId="7DC707E7">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right w:val="single" w:color="auto" w:sz="6" w:space="0"/>
            </w:tcBorders>
            <w:vAlign w:val="center"/>
          </w:tcPr>
          <w:p w14:paraId="2265B2E5">
            <w:pPr>
              <w:spacing w:line="360" w:lineRule="exact"/>
              <w:jc w:val="center"/>
              <w:rPr>
                <w:rFonts w:hint="eastAsia" w:ascii="宋体" w:hAnsi="宋体"/>
                <w:color w:val="auto"/>
                <w:sz w:val="22"/>
                <w:szCs w:val="22"/>
              </w:rPr>
            </w:pPr>
            <w:r>
              <w:rPr>
                <w:rFonts w:hint="eastAsia" w:ascii="宋体" w:hAnsi="宋体"/>
                <w:color w:val="auto"/>
                <w:sz w:val="22"/>
                <w:szCs w:val="22"/>
              </w:rPr>
              <w:t>工程名称</w:t>
            </w:r>
          </w:p>
        </w:tc>
        <w:tc>
          <w:tcPr>
            <w:tcW w:w="3147" w:type="dxa"/>
            <w:tcBorders>
              <w:top w:val="single" w:color="auto" w:sz="6" w:space="0"/>
              <w:left w:val="single" w:color="auto" w:sz="6" w:space="0"/>
              <w:right w:val="single" w:color="auto" w:sz="6" w:space="0"/>
            </w:tcBorders>
            <w:vAlign w:val="center"/>
          </w:tcPr>
          <w:p w14:paraId="6E45FF67">
            <w:pPr>
              <w:spacing w:line="360" w:lineRule="exact"/>
              <w:rPr>
                <w:rFonts w:hint="eastAsia" w:ascii="宋体" w:hAnsi="宋体"/>
                <w:color w:val="auto"/>
                <w:spacing w:val="24"/>
                <w:sz w:val="22"/>
                <w:szCs w:val="22"/>
              </w:rPr>
            </w:pPr>
            <w:r>
              <w:rPr>
                <w:rFonts w:hint="eastAsia" w:ascii="宋体" w:hAnsi="宋体"/>
                <w:color w:val="auto"/>
                <w:sz w:val="22"/>
                <w:szCs w:val="22"/>
              </w:rPr>
              <w:t>见第一部分“磋商公告”</w:t>
            </w:r>
          </w:p>
        </w:tc>
        <w:tc>
          <w:tcPr>
            <w:tcW w:w="1260" w:type="dxa"/>
            <w:gridSpan w:val="2"/>
            <w:tcBorders>
              <w:top w:val="single" w:color="auto" w:sz="6" w:space="0"/>
              <w:left w:val="single" w:color="auto" w:sz="6" w:space="0"/>
              <w:right w:val="single" w:color="auto" w:sz="6" w:space="0"/>
            </w:tcBorders>
            <w:vAlign w:val="center"/>
          </w:tcPr>
          <w:p w14:paraId="403E9E9F">
            <w:pPr>
              <w:spacing w:line="360" w:lineRule="exact"/>
              <w:jc w:val="center"/>
              <w:rPr>
                <w:rFonts w:hint="eastAsia" w:ascii="宋体" w:hAnsi="宋体"/>
                <w:color w:val="auto"/>
                <w:sz w:val="22"/>
                <w:szCs w:val="22"/>
              </w:rPr>
            </w:pPr>
            <w:r>
              <w:rPr>
                <w:rFonts w:hint="eastAsia" w:ascii="宋体" w:hAnsi="宋体"/>
                <w:color w:val="auto"/>
                <w:sz w:val="22"/>
                <w:szCs w:val="22"/>
              </w:rPr>
              <w:t>联系人</w:t>
            </w:r>
          </w:p>
        </w:tc>
        <w:tc>
          <w:tcPr>
            <w:tcW w:w="3780" w:type="dxa"/>
            <w:gridSpan w:val="2"/>
            <w:tcBorders>
              <w:top w:val="single" w:color="auto" w:sz="6" w:space="0"/>
              <w:left w:val="single" w:color="auto" w:sz="6" w:space="0"/>
              <w:right w:val="single" w:color="auto" w:sz="6" w:space="0"/>
            </w:tcBorders>
            <w:vAlign w:val="center"/>
          </w:tcPr>
          <w:p w14:paraId="722EFFAB">
            <w:pPr>
              <w:spacing w:line="360" w:lineRule="exact"/>
              <w:rPr>
                <w:rFonts w:hint="eastAsia" w:ascii="宋体" w:hAnsi="宋体"/>
                <w:color w:val="auto"/>
                <w:sz w:val="22"/>
                <w:szCs w:val="22"/>
              </w:rPr>
            </w:pPr>
            <w:r>
              <w:rPr>
                <w:rFonts w:hint="eastAsia" w:ascii="宋体" w:hAnsi="宋体"/>
                <w:color w:val="auto"/>
                <w:sz w:val="22"/>
                <w:szCs w:val="22"/>
              </w:rPr>
              <w:t>见第一部分“磋商公告”</w:t>
            </w:r>
          </w:p>
        </w:tc>
      </w:tr>
      <w:tr w14:paraId="48E2B27F">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right w:val="single" w:color="auto" w:sz="6" w:space="0"/>
            </w:tcBorders>
            <w:vAlign w:val="center"/>
          </w:tcPr>
          <w:p w14:paraId="27ADB1E2">
            <w:pPr>
              <w:spacing w:line="360" w:lineRule="exact"/>
              <w:jc w:val="center"/>
              <w:rPr>
                <w:rFonts w:hint="eastAsia" w:ascii="宋体" w:hAnsi="宋体"/>
                <w:color w:val="auto"/>
                <w:sz w:val="22"/>
                <w:szCs w:val="22"/>
              </w:rPr>
            </w:pPr>
            <w:r>
              <w:rPr>
                <w:rFonts w:hint="eastAsia" w:ascii="宋体" w:hAnsi="宋体"/>
                <w:color w:val="auto"/>
                <w:sz w:val="22"/>
                <w:szCs w:val="22"/>
              </w:rPr>
              <w:t>建设地点</w:t>
            </w:r>
          </w:p>
        </w:tc>
        <w:tc>
          <w:tcPr>
            <w:tcW w:w="3147" w:type="dxa"/>
            <w:tcBorders>
              <w:top w:val="single" w:color="auto" w:sz="6" w:space="0"/>
              <w:left w:val="single" w:color="auto" w:sz="6" w:space="0"/>
              <w:right w:val="single" w:color="auto" w:sz="6" w:space="0"/>
            </w:tcBorders>
            <w:vAlign w:val="center"/>
          </w:tcPr>
          <w:p w14:paraId="05D6EBAA">
            <w:pPr>
              <w:spacing w:line="360" w:lineRule="exact"/>
              <w:rPr>
                <w:rFonts w:hint="default" w:ascii="宋体" w:hAnsi="宋体"/>
                <w:color w:val="auto"/>
                <w:sz w:val="22"/>
                <w:szCs w:val="22"/>
                <w:lang w:val="en-US"/>
              </w:rPr>
            </w:pPr>
            <w:r>
              <w:rPr>
                <w:rFonts w:hint="eastAsia" w:ascii="宋体" w:hAnsi="宋体"/>
                <w:color w:val="auto"/>
                <w:sz w:val="22"/>
                <w:szCs w:val="22"/>
                <w:lang w:eastAsia="zh-CN"/>
              </w:rPr>
              <w:t>浙江安防职业技术学院（温州市瓯海大道2555号）</w:t>
            </w:r>
          </w:p>
        </w:tc>
        <w:tc>
          <w:tcPr>
            <w:tcW w:w="1260" w:type="dxa"/>
            <w:gridSpan w:val="2"/>
            <w:tcBorders>
              <w:top w:val="single" w:color="auto" w:sz="6" w:space="0"/>
              <w:left w:val="single" w:color="auto" w:sz="6" w:space="0"/>
              <w:right w:val="single" w:color="auto" w:sz="6" w:space="0"/>
            </w:tcBorders>
            <w:vAlign w:val="center"/>
          </w:tcPr>
          <w:p w14:paraId="7A73966A">
            <w:pPr>
              <w:spacing w:line="360" w:lineRule="exact"/>
              <w:jc w:val="center"/>
              <w:rPr>
                <w:rFonts w:hint="eastAsia" w:ascii="宋体" w:hAnsi="宋体"/>
                <w:color w:val="auto"/>
                <w:sz w:val="22"/>
                <w:szCs w:val="22"/>
              </w:rPr>
            </w:pPr>
            <w:r>
              <w:rPr>
                <w:rFonts w:hint="eastAsia" w:ascii="宋体" w:hAnsi="宋体"/>
                <w:color w:val="auto"/>
                <w:sz w:val="22"/>
                <w:szCs w:val="22"/>
              </w:rPr>
              <w:t>联系电话</w:t>
            </w:r>
          </w:p>
        </w:tc>
        <w:tc>
          <w:tcPr>
            <w:tcW w:w="3780" w:type="dxa"/>
            <w:gridSpan w:val="2"/>
            <w:tcBorders>
              <w:top w:val="single" w:color="auto" w:sz="6" w:space="0"/>
              <w:left w:val="single" w:color="auto" w:sz="6" w:space="0"/>
              <w:right w:val="single" w:color="auto" w:sz="6" w:space="0"/>
            </w:tcBorders>
            <w:vAlign w:val="center"/>
          </w:tcPr>
          <w:p w14:paraId="4875A7B7">
            <w:pPr>
              <w:spacing w:line="360" w:lineRule="exact"/>
              <w:rPr>
                <w:rFonts w:hint="eastAsia" w:ascii="宋体" w:hAnsi="宋体"/>
                <w:color w:val="auto"/>
                <w:sz w:val="22"/>
                <w:szCs w:val="22"/>
              </w:rPr>
            </w:pPr>
            <w:r>
              <w:rPr>
                <w:rFonts w:hint="eastAsia" w:ascii="宋体" w:hAnsi="宋体"/>
                <w:color w:val="auto"/>
                <w:sz w:val="22"/>
                <w:szCs w:val="22"/>
              </w:rPr>
              <w:t>见第一部分“磋商公告”</w:t>
            </w:r>
          </w:p>
        </w:tc>
      </w:tr>
      <w:tr w14:paraId="592A2535">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47A2E27">
            <w:pPr>
              <w:spacing w:line="360" w:lineRule="exact"/>
              <w:jc w:val="center"/>
              <w:rPr>
                <w:rFonts w:hint="eastAsia" w:ascii="宋体" w:hAnsi="宋体"/>
                <w:color w:val="auto"/>
                <w:sz w:val="22"/>
                <w:szCs w:val="22"/>
              </w:rPr>
            </w:pPr>
            <w:r>
              <w:rPr>
                <w:rFonts w:hint="eastAsia" w:ascii="宋体" w:hAnsi="宋体"/>
                <w:color w:val="auto"/>
                <w:sz w:val="22"/>
                <w:szCs w:val="22"/>
              </w:rPr>
              <w:t>资金来源</w:t>
            </w:r>
          </w:p>
        </w:tc>
        <w:tc>
          <w:tcPr>
            <w:tcW w:w="3147" w:type="dxa"/>
            <w:tcBorders>
              <w:top w:val="single" w:color="auto" w:sz="6" w:space="0"/>
              <w:left w:val="single" w:color="auto" w:sz="6" w:space="0"/>
              <w:bottom w:val="single" w:color="auto" w:sz="6" w:space="0"/>
              <w:right w:val="single" w:color="auto" w:sz="6" w:space="0"/>
            </w:tcBorders>
            <w:vAlign w:val="center"/>
          </w:tcPr>
          <w:p w14:paraId="4083F2C6">
            <w:pPr>
              <w:spacing w:line="360" w:lineRule="exact"/>
              <w:rPr>
                <w:rFonts w:hint="eastAsia" w:ascii="宋体" w:hAnsi="宋体"/>
                <w:color w:val="auto"/>
                <w:sz w:val="22"/>
                <w:szCs w:val="22"/>
              </w:rPr>
            </w:pPr>
            <w:r>
              <w:rPr>
                <w:rFonts w:hint="eastAsia" w:ascii="宋体" w:hAnsi="宋体"/>
                <w:color w:val="auto"/>
                <w:sz w:val="22"/>
                <w:szCs w:val="22"/>
              </w:rPr>
              <w:t>财政经费</w:t>
            </w:r>
          </w:p>
        </w:tc>
        <w:tc>
          <w:tcPr>
            <w:tcW w:w="1260" w:type="dxa"/>
            <w:gridSpan w:val="2"/>
            <w:tcBorders>
              <w:top w:val="single" w:color="auto" w:sz="6" w:space="0"/>
              <w:left w:val="single" w:color="auto" w:sz="6" w:space="0"/>
              <w:bottom w:val="single" w:color="auto" w:sz="6" w:space="0"/>
              <w:right w:val="single" w:color="auto" w:sz="6" w:space="0"/>
            </w:tcBorders>
            <w:vAlign w:val="center"/>
          </w:tcPr>
          <w:p w14:paraId="211F1BCF">
            <w:pPr>
              <w:spacing w:line="360" w:lineRule="exact"/>
              <w:jc w:val="center"/>
              <w:rPr>
                <w:rFonts w:hint="eastAsia" w:ascii="宋体" w:hAnsi="宋体"/>
                <w:color w:val="auto"/>
                <w:sz w:val="22"/>
                <w:szCs w:val="22"/>
              </w:rPr>
            </w:pPr>
            <w:r>
              <w:rPr>
                <w:rFonts w:hint="eastAsia" w:ascii="宋体" w:hAnsi="宋体"/>
                <w:color w:val="auto"/>
                <w:sz w:val="22"/>
                <w:szCs w:val="22"/>
              </w:rPr>
              <w:t>磋商有效期</w:t>
            </w:r>
          </w:p>
        </w:tc>
        <w:tc>
          <w:tcPr>
            <w:tcW w:w="3780" w:type="dxa"/>
            <w:gridSpan w:val="2"/>
            <w:tcBorders>
              <w:top w:val="single" w:color="auto" w:sz="6" w:space="0"/>
              <w:left w:val="single" w:color="auto" w:sz="6" w:space="0"/>
              <w:bottom w:val="single" w:color="auto" w:sz="6" w:space="0"/>
              <w:right w:val="single" w:color="auto" w:sz="6" w:space="0"/>
            </w:tcBorders>
            <w:vAlign w:val="center"/>
          </w:tcPr>
          <w:p w14:paraId="1BFF5955">
            <w:pPr>
              <w:spacing w:line="360" w:lineRule="exact"/>
              <w:rPr>
                <w:rFonts w:hint="eastAsia" w:ascii="宋体" w:hAnsi="宋体"/>
                <w:color w:val="auto"/>
                <w:sz w:val="22"/>
                <w:szCs w:val="22"/>
                <w:u w:val="single"/>
              </w:rPr>
            </w:pPr>
            <w:r>
              <w:rPr>
                <w:rFonts w:hint="eastAsia" w:ascii="宋体" w:hAnsi="宋体"/>
                <w:color w:val="auto"/>
                <w:sz w:val="22"/>
                <w:szCs w:val="22"/>
                <w:u w:val="single"/>
              </w:rPr>
              <w:t>60日历天（从磋商响应截止之日算起）</w:t>
            </w:r>
          </w:p>
        </w:tc>
      </w:tr>
      <w:tr w14:paraId="20F9F55D">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727249E">
            <w:pPr>
              <w:spacing w:line="360" w:lineRule="exact"/>
              <w:jc w:val="center"/>
              <w:rPr>
                <w:rFonts w:hint="eastAsia" w:ascii="宋体" w:hAnsi="宋体"/>
                <w:color w:val="auto"/>
                <w:sz w:val="22"/>
                <w:szCs w:val="22"/>
              </w:rPr>
            </w:pPr>
            <w:r>
              <w:rPr>
                <w:rFonts w:hint="eastAsia" w:ascii="宋体" w:hAnsi="宋体"/>
                <w:color w:val="auto"/>
                <w:sz w:val="22"/>
                <w:szCs w:val="22"/>
              </w:rPr>
              <w:t>承包方式</w:t>
            </w:r>
          </w:p>
        </w:tc>
        <w:tc>
          <w:tcPr>
            <w:tcW w:w="3147" w:type="dxa"/>
            <w:tcBorders>
              <w:top w:val="single" w:color="auto" w:sz="6" w:space="0"/>
              <w:left w:val="single" w:color="auto" w:sz="6" w:space="0"/>
              <w:bottom w:val="single" w:color="auto" w:sz="6" w:space="0"/>
              <w:right w:val="single" w:color="auto" w:sz="6" w:space="0"/>
            </w:tcBorders>
            <w:vAlign w:val="center"/>
          </w:tcPr>
          <w:p w14:paraId="0F3D6166">
            <w:pPr>
              <w:spacing w:line="360" w:lineRule="exact"/>
              <w:rPr>
                <w:rFonts w:hint="eastAsia" w:ascii="宋体" w:hAnsi="宋体"/>
                <w:color w:val="auto"/>
                <w:sz w:val="22"/>
                <w:szCs w:val="22"/>
              </w:rPr>
            </w:pPr>
            <w:r>
              <w:rPr>
                <w:rFonts w:hint="eastAsia" w:ascii="宋体" w:hAnsi="宋体"/>
                <w:color w:val="auto"/>
                <w:sz w:val="22"/>
                <w:szCs w:val="22"/>
              </w:rPr>
              <w:t>包工包料</w:t>
            </w:r>
          </w:p>
        </w:tc>
        <w:tc>
          <w:tcPr>
            <w:tcW w:w="1260" w:type="dxa"/>
            <w:gridSpan w:val="2"/>
            <w:tcBorders>
              <w:top w:val="single" w:color="auto" w:sz="6" w:space="0"/>
              <w:left w:val="single" w:color="auto" w:sz="6" w:space="0"/>
              <w:bottom w:val="single" w:color="auto" w:sz="6" w:space="0"/>
              <w:right w:val="single" w:color="auto" w:sz="6" w:space="0"/>
            </w:tcBorders>
            <w:vAlign w:val="center"/>
          </w:tcPr>
          <w:p w14:paraId="0021DE12">
            <w:pPr>
              <w:spacing w:line="360" w:lineRule="exact"/>
              <w:jc w:val="center"/>
              <w:rPr>
                <w:rFonts w:hint="eastAsia" w:ascii="宋体" w:hAnsi="宋体"/>
                <w:color w:val="auto"/>
                <w:sz w:val="22"/>
                <w:szCs w:val="22"/>
              </w:rPr>
            </w:pPr>
            <w:r>
              <w:rPr>
                <w:rFonts w:hint="eastAsia" w:ascii="宋体" w:hAnsi="宋体"/>
                <w:color w:val="auto"/>
                <w:sz w:val="22"/>
                <w:szCs w:val="22"/>
              </w:rPr>
              <w:t>质量要求</w:t>
            </w:r>
          </w:p>
        </w:tc>
        <w:tc>
          <w:tcPr>
            <w:tcW w:w="3780" w:type="dxa"/>
            <w:gridSpan w:val="2"/>
            <w:tcBorders>
              <w:top w:val="single" w:color="auto" w:sz="6" w:space="0"/>
              <w:left w:val="single" w:color="auto" w:sz="6" w:space="0"/>
              <w:bottom w:val="single" w:color="auto" w:sz="6" w:space="0"/>
              <w:right w:val="single" w:color="auto" w:sz="6" w:space="0"/>
            </w:tcBorders>
            <w:vAlign w:val="center"/>
          </w:tcPr>
          <w:p w14:paraId="5CC15F20">
            <w:pPr>
              <w:spacing w:line="360" w:lineRule="exact"/>
              <w:rPr>
                <w:rFonts w:hint="eastAsia" w:ascii="宋体" w:hAnsi="宋体" w:eastAsia="宋体"/>
                <w:color w:val="auto"/>
                <w:sz w:val="22"/>
                <w:szCs w:val="22"/>
                <w:u w:val="single"/>
                <w:lang w:eastAsia="zh-CN"/>
              </w:rPr>
            </w:pPr>
            <w:r>
              <w:rPr>
                <w:rFonts w:hint="eastAsia" w:ascii="宋体" w:hAnsi="宋体"/>
                <w:color w:val="auto"/>
                <w:sz w:val="22"/>
                <w:szCs w:val="22"/>
                <w:u w:val="single"/>
              </w:rPr>
              <w:t>现行标准合格</w:t>
            </w:r>
            <w:r>
              <w:rPr>
                <w:rFonts w:hint="eastAsia" w:ascii="宋体" w:hAnsi="宋体"/>
                <w:color w:val="auto"/>
                <w:sz w:val="22"/>
                <w:szCs w:val="22"/>
                <w:u w:val="single"/>
                <w:lang w:eastAsia="zh-CN"/>
              </w:rPr>
              <w:t>，</w:t>
            </w:r>
            <w:r>
              <w:rPr>
                <w:rFonts w:hint="eastAsia" w:ascii="宋体" w:hAnsi="宋体"/>
                <w:color w:val="auto"/>
                <w:sz w:val="22"/>
                <w:szCs w:val="22"/>
                <w:u w:val="single"/>
                <w:lang w:val="en-US" w:eastAsia="zh-CN"/>
              </w:rPr>
              <w:t>供电部门验收</w:t>
            </w:r>
            <w:r>
              <w:rPr>
                <w:rFonts w:hint="eastAsia" w:ascii="宋体" w:hAnsi="宋体"/>
                <w:color w:val="auto"/>
                <w:sz w:val="22"/>
                <w:szCs w:val="22"/>
                <w:u w:val="single"/>
                <w:lang w:eastAsia="zh-CN"/>
              </w:rPr>
              <w:t>合格</w:t>
            </w:r>
            <w:r>
              <w:rPr>
                <w:rFonts w:hint="eastAsia" w:ascii="宋体" w:hAnsi="宋体"/>
                <w:color w:val="auto"/>
                <w:sz w:val="22"/>
                <w:szCs w:val="22"/>
                <w:u w:val="single"/>
                <w:lang w:val="en-US" w:eastAsia="zh-CN"/>
              </w:rPr>
              <w:t>并通电</w:t>
            </w:r>
          </w:p>
        </w:tc>
      </w:tr>
      <w:tr w14:paraId="75C986A3">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314B677">
            <w:pPr>
              <w:spacing w:line="360" w:lineRule="exact"/>
              <w:jc w:val="center"/>
              <w:rPr>
                <w:rFonts w:hint="eastAsia" w:ascii="宋体" w:hAnsi="宋体"/>
                <w:color w:val="auto"/>
                <w:sz w:val="22"/>
                <w:szCs w:val="22"/>
              </w:rPr>
            </w:pPr>
            <w:r>
              <w:rPr>
                <w:rFonts w:hint="eastAsia" w:ascii="宋体" w:hAnsi="宋体"/>
                <w:color w:val="auto"/>
                <w:sz w:val="22"/>
                <w:szCs w:val="22"/>
              </w:rPr>
              <w:t>工程范围</w:t>
            </w:r>
          </w:p>
        </w:tc>
        <w:tc>
          <w:tcPr>
            <w:tcW w:w="3147" w:type="dxa"/>
            <w:tcBorders>
              <w:top w:val="single" w:color="auto" w:sz="6" w:space="0"/>
              <w:left w:val="single" w:color="auto" w:sz="6" w:space="0"/>
              <w:bottom w:val="single" w:color="auto" w:sz="6" w:space="0"/>
              <w:right w:val="single" w:color="auto" w:sz="6" w:space="0"/>
            </w:tcBorders>
            <w:vAlign w:val="center"/>
          </w:tcPr>
          <w:p w14:paraId="37F70B3E">
            <w:pPr>
              <w:spacing w:line="360" w:lineRule="exact"/>
              <w:rPr>
                <w:rFonts w:hint="eastAsia" w:ascii="宋体" w:hAnsi="宋体"/>
                <w:color w:val="auto"/>
                <w:sz w:val="22"/>
                <w:szCs w:val="22"/>
              </w:rPr>
            </w:pPr>
            <w:r>
              <w:rPr>
                <w:rFonts w:hint="eastAsia" w:ascii="宋体" w:hAnsi="宋体" w:cs="宋体"/>
                <w:color w:val="auto"/>
                <w:kern w:val="0"/>
                <w:sz w:val="22"/>
                <w:szCs w:val="22"/>
              </w:rPr>
              <w:t>见施工图和工程量清单及编制说明</w:t>
            </w:r>
          </w:p>
        </w:tc>
        <w:tc>
          <w:tcPr>
            <w:tcW w:w="1260" w:type="dxa"/>
            <w:gridSpan w:val="2"/>
            <w:tcBorders>
              <w:top w:val="single" w:color="auto" w:sz="6" w:space="0"/>
              <w:left w:val="single" w:color="auto" w:sz="6" w:space="0"/>
              <w:bottom w:val="single" w:color="auto" w:sz="6" w:space="0"/>
              <w:right w:val="single" w:color="auto" w:sz="6" w:space="0"/>
            </w:tcBorders>
            <w:vAlign w:val="center"/>
          </w:tcPr>
          <w:p w14:paraId="52E8F51A">
            <w:pPr>
              <w:spacing w:line="360" w:lineRule="exact"/>
              <w:jc w:val="center"/>
              <w:rPr>
                <w:rFonts w:hint="eastAsia" w:ascii="宋体" w:hAnsi="宋体"/>
                <w:color w:val="auto"/>
                <w:sz w:val="22"/>
                <w:szCs w:val="22"/>
              </w:rPr>
            </w:pPr>
            <w:r>
              <w:rPr>
                <w:rFonts w:hint="eastAsia" w:ascii="宋体" w:hAnsi="宋体"/>
                <w:color w:val="auto"/>
                <w:sz w:val="22"/>
                <w:szCs w:val="22"/>
              </w:rPr>
              <w:t>工期要求</w:t>
            </w:r>
          </w:p>
        </w:tc>
        <w:tc>
          <w:tcPr>
            <w:tcW w:w="3780" w:type="dxa"/>
            <w:gridSpan w:val="2"/>
            <w:tcBorders>
              <w:top w:val="single" w:color="auto" w:sz="6" w:space="0"/>
              <w:left w:val="single" w:color="auto" w:sz="6" w:space="0"/>
              <w:bottom w:val="single" w:color="auto" w:sz="6" w:space="0"/>
              <w:right w:val="single" w:color="auto" w:sz="6" w:space="0"/>
            </w:tcBorders>
            <w:vAlign w:val="center"/>
          </w:tcPr>
          <w:p w14:paraId="4C26A321">
            <w:pPr>
              <w:spacing w:line="360" w:lineRule="exact"/>
              <w:rPr>
                <w:rFonts w:hint="eastAsia" w:ascii="宋体" w:hAnsi="宋体"/>
                <w:b/>
                <w:color w:val="auto"/>
                <w:sz w:val="22"/>
                <w:szCs w:val="22"/>
                <w:u w:val="single"/>
              </w:rPr>
            </w:pPr>
            <w:r>
              <w:rPr>
                <w:rFonts w:hint="eastAsia" w:ascii="宋体" w:hAnsi="宋体"/>
                <w:color w:val="auto"/>
                <w:sz w:val="22"/>
                <w:szCs w:val="22"/>
              </w:rPr>
              <w:t>见第一部分“磋商公告”</w:t>
            </w:r>
          </w:p>
        </w:tc>
      </w:tr>
      <w:tr w14:paraId="3E5A839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E5C4655">
            <w:pPr>
              <w:spacing w:line="360" w:lineRule="exact"/>
              <w:jc w:val="center"/>
              <w:rPr>
                <w:rFonts w:hint="eastAsia" w:ascii="宋体" w:hAnsi="宋体"/>
                <w:color w:val="auto"/>
                <w:sz w:val="22"/>
                <w:szCs w:val="22"/>
              </w:rPr>
            </w:pPr>
            <w:r>
              <w:rPr>
                <w:rFonts w:hint="eastAsia" w:ascii="宋体" w:hAnsi="宋体"/>
                <w:color w:val="auto"/>
                <w:sz w:val="22"/>
                <w:szCs w:val="22"/>
              </w:rPr>
              <w:t>磋商供应商</w:t>
            </w:r>
          </w:p>
          <w:p w14:paraId="566643F9">
            <w:pPr>
              <w:spacing w:line="360" w:lineRule="exact"/>
              <w:jc w:val="center"/>
              <w:rPr>
                <w:rFonts w:hint="eastAsia" w:ascii="宋体" w:hAnsi="宋体"/>
                <w:color w:val="auto"/>
                <w:sz w:val="22"/>
                <w:szCs w:val="22"/>
              </w:rPr>
            </w:pPr>
            <w:r>
              <w:rPr>
                <w:rFonts w:hint="eastAsia" w:ascii="宋体" w:hAnsi="宋体"/>
                <w:color w:val="auto"/>
                <w:sz w:val="22"/>
                <w:szCs w:val="22"/>
              </w:rPr>
              <w:t>资格条件要求</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0F4E8AD">
            <w:pPr>
              <w:spacing w:line="360" w:lineRule="exact"/>
              <w:rPr>
                <w:rFonts w:ascii="宋体" w:hAnsi="宋体"/>
                <w:b/>
                <w:color w:val="auto"/>
                <w:sz w:val="22"/>
                <w:szCs w:val="22"/>
                <w:u w:val="single"/>
              </w:rPr>
            </w:pPr>
            <w:r>
              <w:rPr>
                <w:rFonts w:hint="eastAsia" w:ascii="宋体" w:hAnsi="宋体"/>
                <w:color w:val="auto"/>
                <w:sz w:val="22"/>
                <w:szCs w:val="22"/>
              </w:rPr>
              <w:t>见第一部分“磋商公告”</w:t>
            </w:r>
          </w:p>
        </w:tc>
      </w:tr>
      <w:tr w14:paraId="7D6A8DB4">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59A35773">
            <w:pPr>
              <w:spacing w:line="360" w:lineRule="exact"/>
              <w:jc w:val="center"/>
              <w:rPr>
                <w:rFonts w:hint="eastAsia" w:ascii="宋体" w:hAnsi="宋体"/>
                <w:color w:val="auto"/>
                <w:sz w:val="22"/>
                <w:szCs w:val="22"/>
              </w:rPr>
            </w:pPr>
            <w:r>
              <w:rPr>
                <w:rFonts w:hint="eastAsia" w:ascii="宋体" w:hAnsi="宋体" w:cs="宋体"/>
                <w:color w:val="auto"/>
                <w:kern w:val="0"/>
                <w:sz w:val="22"/>
                <w:szCs w:val="22"/>
              </w:rPr>
              <w:t>是否接受联合体投标</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18C535AF">
            <w:pPr>
              <w:spacing w:line="360" w:lineRule="exact"/>
              <w:rPr>
                <w:rFonts w:hint="eastAsia" w:ascii="宋体" w:hAnsi="宋体" w:cs="宋体"/>
                <w:color w:val="auto"/>
                <w:kern w:val="0"/>
                <w:sz w:val="22"/>
                <w:szCs w:val="22"/>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rPr>
              <w:t>不接受</w:t>
            </w:r>
          </w:p>
          <w:p w14:paraId="102E1454">
            <w:pPr>
              <w:spacing w:line="360" w:lineRule="exact"/>
              <w:rPr>
                <w:rFonts w:hint="eastAsia" w:ascii="宋体" w:hAnsi="宋体"/>
                <w:color w:val="auto"/>
                <w:sz w:val="22"/>
                <w:szCs w:val="22"/>
              </w:rPr>
            </w:pPr>
            <w:r>
              <w:rPr>
                <w:rFonts w:hint="eastAsia" w:ascii="宋体" w:hAnsi="宋体" w:cs="宋体"/>
                <w:color w:val="auto"/>
                <w:kern w:val="0"/>
                <w:sz w:val="22"/>
                <w:szCs w:val="22"/>
              </w:rPr>
              <w:sym w:font="Wingdings 2" w:char="0052"/>
            </w:r>
            <w:r>
              <w:rPr>
                <w:rFonts w:hint="eastAsia" w:ascii="宋体" w:hAnsi="宋体" w:cs="宋体"/>
                <w:color w:val="auto"/>
                <w:kern w:val="0"/>
                <w:sz w:val="22"/>
                <w:szCs w:val="22"/>
              </w:rPr>
              <w:t>接受，应满足下列要求：联合体各方应具备相应的资质。</w:t>
            </w:r>
          </w:p>
        </w:tc>
      </w:tr>
      <w:tr w14:paraId="07D5FDD9">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2D7C886">
            <w:pPr>
              <w:spacing w:line="360" w:lineRule="exact"/>
              <w:jc w:val="center"/>
              <w:rPr>
                <w:rFonts w:hint="eastAsia" w:ascii="宋体" w:hAnsi="宋体"/>
                <w:color w:val="auto"/>
                <w:sz w:val="22"/>
                <w:szCs w:val="22"/>
              </w:rPr>
            </w:pPr>
            <w:r>
              <w:rPr>
                <w:rFonts w:hint="eastAsia" w:ascii="宋体" w:hAnsi="宋体"/>
                <w:color w:val="auto"/>
                <w:sz w:val="22"/>
                <w:szCs w:val="22"/>
              </w:rPr>
              <w:t>现场踏勘</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F22411F">
            <w:pPr>
              <w:spacing w:line="360" w:lineRule="exact"/>
              <w:rPr>
                <w:rFonts w:hint="eastAsia" w:ascii="宋体" w:hAnsi="宋体" w:cs="宋体"/>
                <w:color w:val="auto"/>
                <w:sz w:val="22"/>
                <w:szCs w:val="22"/>
              </w:rPr>
            </w:pPr>
            <w:r>
              <w:rPr>
                <w:rFonts w:hint="eastAsia" w:ascii="宋体" w:hAnsi="宋体" w:cs="宋体"/>
                <w:color w:val="auto"/>
                <w:sz w:val="22"/>
                <w:szCs w:val="22"/>
              </w:rPr>
              <w:t>□组织，</w:t>
            </w:r>
            <w:r>
              <w:rPr>
                <w:rFonts w:hint="eastAsia" w:ascii="宋体" w:hAnsi="宋体" w:cs="宋体"/>
                <w:color w:val="auto"/>
                <w:kern w:val="0"/>
                <w:sz w:val="22"/>
                <w:szCs w:val="22"/>
              </w:rPr>
              <w:t>时间：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,地点：</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，联系人：</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，联系方式</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26D07889">
            <w:pPr>
              <w:spacing w:line="360" w:lineRule="exact"/>
              <w:rPr>
                <w:rFonts w:hint="eastAsia" w:ascii="宋体" w:hAnsi="宋体"/>
                <w:color w:val="auto"/>
                <w:sz w:val="22"/>
                <w:szCs w:val="22"/>
              </w:rPr>
            </w:pPr>
            <w:r>
              <w:rPr>
                <w:rFonts w:hint="eastAsia" w:ascii="宋体" w:hAnsi="宋体" w:cs="宋体"/>
                <w:bCs/>
                <w:snapToGrid w:val="0"/>
                <w:color w:val="auto"/>
                <w:sz w:val="22"/>
                <w:szCs w:val="22"/>
              </w:rPr>
              <w:sym w:font="Wingdings" w:char="00FE"/>
            </w:r>
            <w:r>
              <w:rPr>
                <w:rFonts w:hint="eastAsia" w:ascii="宋体" w:hAnsi="宋体" w:cs="宋体"/>
                <w:color w:val="auto"/>
                <w:sz w:val="22"/>
                <w:szCs w:val="22"/>
              </w:rPr>
              <w:t>不组织</w:t>
            </w:r>
          </w:p>
        </w:tc>
      </w:tr>
      <w:tr w14:paraId="4D8F92DF">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74DD1C9">
            <w:pPr>
              <w:spacing w:line="360" w:lineRule="exact"/>
              <w:jc w:val="center"/>
              <w:rPr>
                <w:rFonts w:hint="eastAsia" w:ascii="宋体" w:hAnsi="宋体"/>
                <w:color w:val="auto"/>
                <w:sz w:val="22"/>
                <w:szCs w:val="22"/>
              </w:rPr>
            </w:pPr>
            <w:r>
              <w:rPr>
                <w:rFonts w:hint="eastAsia" w:ascii="宋体" w:hAnsi="宋体" w:cs="宋体"/>
                <w:color w:val="auto"/>
                <w:kern w:val="0"/>
                <w:sz w:val="22"/>
                <w:szCs w:val="22"/>
              </w:rPr>
              <w:t>投标预备会</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58FFD749">
            <w:pPr>
              <w:spacing w:line="360" w:lineRule="exact"/>
              <w:rPr>
                <w:rFonts w:hint="eastAsia" w:ascii="宋体" w:hAnsi="宋体" w:cs="宋体"/>
                <w:color w:val="auto"/>
                <w:kern w:val="0"/>
                <w:sz w:val="22"/>
                <w:szCs w:val="22"/>
              </w:rPr>
            </w:pPr>
            <w:r>
              <w:rPr>
                <w:rFonts w:hint="eastAsia" w:ascii="宋体" w:hAnsi="宋体" w:cs="宋体"/>
                <w:color w:val="auto"/>
                <w:kern w:val="0"/>
                <w:sz w:val="22"/>
                <w:szCs w:val="22"/>
              </w:rPr>
              <w:t>□召开</w:t>
            </w:r>
          </w:p>
          <w:p w14:paraId="0272791E">
            <w:pPr>
              <w:spacing w:line="360" w:lineRule="exact"/>
              <w:rPr>
                <w:rFonts w:hint="eastAsia" w:ascii="宋体" w:hAnsi="宋体" w:cs="宋体"/>
                <w:color w:val="auto"/>
                <w:sz w:val="22"/>
                <w:szCs w:val="22"/>
              </w:rPr>
            </w:pPr>
            <w:r>
              <w:rPr>
                <w:rFonts w:hint="eastAsia" w:ascii="宋体" w:hAnsi="宋体" w:cs="宋体"/>
                <w:color w:val="auto"/>
                <w:kern w:val="0"/>
                <w:sz w:val="22"/>
                <w:szCs w:val="22"/>
              </w:rPr>
              <w:sym w:font="Wingdings 2" w:char="0052"/>
            </w:r>
            <w:r>
              <w:rPr>
                <w:rFonts w:hint="eastAsia" w:ascii="宋体" w:hAnsi="宋体" w:cs="宋体"/>
                <w:color w:val="auto"/>
                <w:kern w:val="0"/>
                <w:sz w:val="22"/>
                <w:szCs w:val="22"/>
              </w:rPr>
              <w:t>不召开</w:t>
            </w:r>
          </w:p>
        </w:tc>
      </w:tr>
      <w:tr w14:paraId="2FEE19A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F0A8B08">
            <w:pPr>
              <w:spacing w:line="360" w:lineRule="exact"/>
              <w:jc w:val="center"/>
              <w:rPr>
                <w:rFonts w:hint="eastAsia" w:ascii="宋体" w:hAnsi="宋体"/>
                <w:color w:val="auto"/>
                <w:sz w:val="22"/>
                <w:szCs w:val="22"/>
              </w:rPr>
            </w:pPr>
            <w:r>
              <w:rPr>
                <w:rFonts w:hint="eastAsia" w:ascii="宋体" w:hAnsi="宋体" w:cs="宋体"/>
                <w:bCs/>
                <w:color w:val="auto"/>
                <w:sz w:val="22"/>
                <w:szCs w:val="22"/>
              </w:rPr>
              <w:t>分包与转包</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9A600FC">
            <w:pPr>
              <w:spacing w:line="360" w:lineRule="exact"/>
              <w:rPr>
                <w:rFonts w:hint="eastAsia" w:ascii="宋体" w:hAnsi="宋体" w:cs="宋体"/>
                <w:color w:val="auto"/>
                <w:sz w:val="22"/>
                <w:szCs w:val="22"/>
              </w:rPr>
            </w:pPr>
            <w:r>
              <w:rPr>
                <w:rFonts w:hint="eastAsia" w:ascii="宋体" w:hAnsi="宋体" w:cs="宋体"/>
                <w:color w:val="auto"/>
                <w:sz w:val="22"/>
                <w:szCs w:val="22"/>
              </w:rPr>
              <w:t>（1）分包：</w:t>
            </w:r>
          </w:p>
          <w:p w14:paraId="51D92D2D">
            <w:pPr>
              <w:spacing w:line="360" w:lineRule="exact"/>
              <w:rPr>
                <w:rFonts w:hint="eastAsia" w:ascii="宋体" w:hAnsi="宋体" w:cs="宋体"/>
                <w:color w:val="auto"/>
                <w:sz w:val="22"/>
                <w:szCs w:val="22"/>
              </w:rPr>
            </w:pPr>
            <w:r>
              <w:rPr>
                <w:rFonts w:hint="eastAsia" w:ascii="宋体" w:hAnsi="宋体" w:cs="宋体"/>
                <w:color w:val="auto"/>
                <w:sz w:val="22"/>
                <w:szCs w:val="22"/>
              </w:rPr>
              <w:sym w:font="Wingdings" w:char="F0FE"/>
            </w:r>
            <w:r>
              <w:rPr>
                <w:rFonts w:hint="eastAsia" w:ascii="宋体" w:hAnsi="宋体" w:cs="宋体"/>
                <w:color w:val="auto"/>
                <w:sz w:val="22"/>
                <w:szCs w:val="22"/>
              </w:rPr>
              <w:t xml:space="preserve"> 同意将非主体、非关键性的工作分包。</w:t>
            </w:r>
          </w:p>
          <w:p w14:paraId="31DD012F">
            <w:pPr>
              <w:spacing w:line="360" w:lineRule="exact"/>
              <w:rPr>
                <w:rFonts w:hint="eastAsia" w:ascii="宋体" w:hAnsi="宋体" w:cs="宋体"/>
                <w:color w:val="auto"/>
                <w:sz w:val="22"/>
                <w:szCs w:val="22"/>
              </w:rPr>
            </w:pPr>
            <w:r>
              <w:rPr>
                <w:rFonts w:hint="eastAsia" w:ascii="宋体" w:hAnsi="宋体" w:cs="宋体"/>
                <w:color w:val="auto"/>
                <w:sz w:val="22"/>
                <w:szCs w:val="22"/>
              </w:rPr>
              <w:sym w:font="Wingdings" w:char="00A8"/>
            </w:r>
            <w:r>
              <w:rPr>
                <w:rFonts w:hint="eastAsia" w:ascii="宋体" w:hAnsi="宋体" w:cs="宋体"/>
                <w:color w:val="auto"/>
                <w:sz w:val="22"/>
                <w:szCs w:val="22"/>
              </w:rPr>
              <w:t>不同意分包。</w:t>
            </w:r>
          </w:p>
          <w:p w14:paraId="069EDF00">
            <w:pPr>
              <w:spacing w:line="360" w:lineRule="exact"/>
              <w:rPr>
                <w:rFonts w:hint="eastAsia" w:ascii="宋体" w:hAnsi="宋体" w:cs="宋体"/>
                <w:color w:val="auto"/>
                <w:sz w:val="22"/>
                <w:szCs w:val="22"/>
              </w:rPr>
            </w:pPr>
            <w:r>
              <w:rPr>
                <w:rFonts w:hint="eastAsia" w:ascii="宋体" w:hAnsi="宋体" w:cs="宋体"/>
                <w:color w:val="auto"/>
                <w:sz w:val="22"/>
                <w:szCs w:val="22"/>
              </w:rPr>
              <w:t>（2）转包：本项目不允许转包。</w:t>
            </w:r>
          </w:p>
        </w:tc>
      </w:tr>
      <w:tr w14:paraId="3CDABF98">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6242F72">
            <w:pPr>
              <w:spacing w:line="360" w:lineRule="exact"/>
              <w:jc w:val="center"/>
              <w:rPr>
                <w:rFonts w:hint="eastAsia" w:ascii="宋体" w:hAnsi="宋体" w:cs="宋体"/>
                <w:bCs/>
                <w:color w:val="auto"/>
                <w:sz w:val="22"/>
                <w:szCs w:val="22"/>
              </w:rPr>
            </w:pPr>
            <w:r>
              <w:rPr>
                <w:rFonts w:hint="eastAsia" w:ascii="宋体" w:hAnsi="宋体" w:cs="宋体"/>
                <w:snapToGrid w:val="0"/>
                <w:color w:val="auto"/>
                <w:sz w:val="22"/>
                <w:szCs w:val="22"/>
              </w:rPr>
              <w:t>报价要求</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3B44398E">
            <w:pPr>
              <w:adjustRightInd w:val="0"/>
              <w:snapToGrid w:val="0"/>
              <w:spacing w:line="360" w:lineRule="exact"/>
              <w:rPr>
                <w:rFonts w:hint="eastAsia" w:ascii="宋体" w:hAnsi="宋体" w:cs="宋体"/>
                <w:b/>
                <w:bCs/>
                <w:color w:val="auto"/>
                <w:sz w:val="22"/>
                <w:szCs w:val="22"/>
              </w:rPr>
            </w:pPr>
            <w:r>
              <w:rPr>
                <w:rFonts w:hint="eastAsia" w:ascii="宋体" w:hAnsi="宋体" w:cs="宋体"/>
                <w:b/>
                <w:bCs/>
                <w:color w:val="auto"/>
                <w:sz w:val="22"/>
                <w:szCs w:val="22"/>
              </w:rPr>
              <w:t>本项目采用人民币报价</w:t>
            </w:r>
          </w:p>
          <w:p w14:paraId="7AEFEAD5">
            <w:pPr>
              <w:adjustRightInd w:val="0"/>
              <w:snapToGrid w:val="0"/>
              <w:spacing w:line="360" w:lineRule="exact"/>
              <w:rPr>
                <w:rFonts w:hint="eastAsia" w:ascii="宋体" w:hAnsi="宋体" w:cs="宋体"/>
                <w:color w:val="auto"/>
                <w:sz w:val="22"/>
                <w:szCs w:val="22"/>
              </w:rPr>
            </w:pPr>
            <w:r>
              <w:rPr>
                <w:rFonts w:hint="eastAsia" w:ascii="宋体" w:hAnsi="宋体" w:cs="宋体"/>
                <w:snapToGrid w:val="0"/>
                <w:color w:val="auto"/>
                <w:sz w:val="22"/>
                <w:szCs w:val="22"/>
              </w:rPr>
              <w:t>客户端填写的报价与以pdf格式上传文件中的报价不一致的，应以Pdf格式上传文件中的报价为准。</w:t>
            </w:r>
          </w:p>
          <w:p w14:paraId="07EFDA09">
            <w:pPr>
              <w:spacing w:line="360" w:lineRule="exact"/>
              <w:rPr>
                <w:rFonts w:hint="eastAsia" w:ascii="宋体" w:hAnsi="宋体" w:cs="宋体"/>
                <w:color w:val="auto"/>
                <w:sz w:val="22"/>
                <w:szCs w:val="22"/>
              </w:rPr>
            </w:pPr>
            <w:r>
              <w:rPr>
                <w:rFonts w:hint="eastAsia" w:ascii="宋体" w:hAnsi="宋体" w:cs="宋体"/>
                <w:snapToGrid w:val="0"/>
                <w:color w:val="auto"/>
                <w:sz w:val="22"/>
                <w:szCs w:val="22"/>
              </w:rPr>
              <w:t>竞争性磋商以最后报价为合同价。</w:t>
            </w:r>
          </w:p>
        </w:tc>
      </w:tr>
      <w:tr w14:paraId="7FD7F979">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6F09A477">
            <w:pPr>
              <w:spacing w:line="360" w:lineRule="exact"/>
              <w:jc w:val="center"/>
              <w:rPr>
                <w:rFonts w:hint="eastAsia" w:ascii="宋体" w:hAnsi="宋体" w:eastAsia="宋体" w:cs="宋体"/>
                <w:b/>
                <w:color w:val="auto"/>
                <w:sz w:val="22"/>
                <w:szCs w:val="22"/>
              </w:rPr>
            </w:pPr>
            <w:r>
              <w:rPr>
                <w:rFonts w:hint="eastAsia" w:ascii="宋体" w:hAnsi="宋体" w:eastAsia="宋体" w:cs="宋体"/>
                <w:color w:val="auto"/>
                <w:kern w:val="0"/>
                <w:sz w:val="22"/>
                <w:szCs w:val="22"/>
              </w:rPr>
              <w:t>最高限价</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013C606E">
            <w:pPr>
              <w:numPr>
                <w:ilvl w:val="0"/>
                <w:numId w:val="0"/>
              </w:numPr>
              <w:spacing w:line="360" w:lineRule="exact"/>
              <w:ind w:leftChars="0"/>
              <w:rPr>
                <w:rFonts w:hint="default" w:ascii="宋体" w:hAnsi="宋体" w:eastAsia="宋体" w:cs="宋体"/>
                <w:color w:val="auto"/>
                <w:kern w:val="0"/>
                <w:sz w:val="22"/>
                <w:szCs w:val="22"/>
                <w:lang w:val="en-US" w:eastAsia="zh-CN"/>
              </w:rPr>
            </w:pPr>
            <w:r>
              <w:rPr>
                <w:rFonts w:hint="eastAsia" w:ascii="宋体" w:hAnsi="宋体" w:cs="宋体"/>
                <w:b/>
                <w:color w:val="auto"/>
                <w:sz w:val="22"/>
                <w:szCs w:val="22"/>
                <w:u w:val="single"/>
                <w:lang w:val="en-US" w:eastAsia="zh-CN"/>
              </w:rPr>
              <w:t>1、</w:t>
            </w:r>
            <w:r>
              <w:rPr>
                <w:rFonts w:hint="eastAsia" w:ascii="宋体" w:hAnsi="宋体" w:eastAsia="宋体" w:cs="宋体"/>
                <w:b/>
                <w:color w:val="auto"/>
                <w:sz w:val="22"/>
                <w:szCs w:val="22"/>
                <w:u w:val="single"/>
              </w:rPr>
              <w:t>本项目最高限价为</w:t>
            </w:r>
            <w:r>
              <w:rPr>
                <w:rFonts w:hint="eastAsia" w:ascii="宋体" w:hAnsi="宋体" w:eastAsia="宋体" w:cs="宋体"/>
                <w:b/>
                <w:color w:val="auto"/>
                <w:kern w:val="0"/>
                <w:sz w:val="22"/>
                <w:szCs w:val="22"/>
                <w:u w:val="single"/>
              </w:rPr>
              <w:t>人民币</w:t>
            </w:r>
            <w:r>
              <w:rPr>
                <w:rFonts w:hint="eastAsia" w:ascii="宋体" w:hAnsi="宋体" w:cs="宋体"/>
                <w:b/>
                <w:color w:val="auto"/>
                <w:kern w:val="0"/>
                <w:sz w:val="22"/>
                <w:szCs w:val="22"/>
                <w:u w:val="single"/>
                <w:lang w:val="en-US" w:eastAsia="zh-CN"/>
              </w:rPr>
              <w:t>壹佰玖拾捌万柒仟伍佰肆拾柒元零陆分</w:t>
            </w:r>
            <w:r>
              <w:rPr>
                <w:rFonts w:hint="eastAsia" w:ascii="宋体" w:hAnsi="宋体" w:eastAsia="宋体" w:cs="宋体"/>
                <w:b/>
                <w:color w:val="auto"/>
                <w:kern w:val="0"/>
                <w:sz w:val="22"/>
                <w:szCs w:val="22"/>
                <w:u w:val="single"/>
              </w:rPr>
              <w:t>（￥1987547.06元），</w:t>
            </w:r>
            <w:r>
              <w:rPr>
                <w:rFonts w:hint="eastAsia" w:ascii="宋体" w:hAnsi="宋体" w:eastAsia="宋体" w:cs="宋体"/>
                <w:bCs/>
                <w:color w:val="auto"/>
                <w:kern w:val="0"/>
                <w:sz w:val="22"/>
                <w:szCs w:val="22"/>
                <w:u w:val="single"/>
              </w:rPr>
              <w:t>磋</w:t>
            </w:r>
            <w:r>
              <w:rPr>
                <w:rFonts w:hint="eastAsia" w:ascii="宋体" w:hAnsi="宋体" w:eastAsia="宋体" w:cs="宋体"/>
                <w:color w:val="auto"/>
                <w:kern w:val="0"/>
                <w:sz w:val="22"/>
                <w:szCs w:val="22"/>
                <w:u w:val="single"/>
              </w:rPr>
              <w:t>商供应商的报价超过最高限价的，按无效标处理</w:t>
            </w:r>
            <w:r>
              <w:rPr>
                <w:rFonts w:hint="eastAsia" w:ascii="宋体" w:hAnsi="宋体" w:eastAsia="宋体" w:cs="宋体"/>
                <w:color w:val="auto"/>
                <w:kern w:val="0"/>
                <w:sz w:val="22"/>
                <w:szCs w:val="22"/>
              </w:rPr>
              <w:t>。</w:t>
            </w:r>
          </w:p>
        </w:tc>
      </w:tr>
      <w:tr w14:paraId="0AAEDAD0">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173BCFDC">
            <w:pPr>
              <w:spacing w:line="360" w:lineRule="exact"/>
              <w:jc w:val="center"/>
              <w:rPr>
                <w:rFonts w:hint="eastAsia" w:ascii="宋体" w:hAnsi="宋体"/>
                <w:color w:val="auto"/>
                <w:sz w:val="22"/>
                <w:szCs w:val="22"/>
              </w:rPr>
            </w:pPr>
            <w:r>
              <w:rPr>
                <w:rFonts w:hint="eastAsia" w:ascii="宋体" w:hAnsi="宋体"/>
                <w:color w:val="auto"/>
                <w:sz w:val="22"/>
                <w:szCs w:val="22"/>
              </w:rPr>
              <w:t>磋商响应文件递交地点</w:t>
            </w:r>
          </w:p>
        </w:tc>
        <w:tc>
          <w:tcPr>
            <w:tcW w:w="4047" w:type="dxa"/>
            <w:gridSpan w:val="2"/>
            <w:tcBorders>
              <w:top w:val="single" w:color="auto" w:sz="6" w:space="0"/>
              <w:left w:val="single" w:color="auto" w:sz="6" w:space="0"/>
              <w:bottom w:val="single" w:color="auto" w:sz="6" w:space="0"/>
              <w:right w:val="single" w:color="auto" w:sz="6" w:space="0"/>
            </w:tcBorders>
            <w:vAlign w:val="center"/>
          </w:tcPr>
          <w:p w14:paraId="4CE290FF">
            <w:pPr>
              <w:spacing w:line="360" w:lineRule="exact"/>
              <w:rPr>
                <w:rFonts w:hint="eastAsia" w:ascii="宋体" w:hAnsi="宋体"/>
                <w:color w:val="auto"/>
                <w:sz w:val="22"/>
                <w:szCs w:val="22"/>
              </w:rPr>
            </w:pPr>
            <w:r>
              <w:rPr>
                <w:rFonts w:hint="eastAsia" w:ascii="宋体" w:hAnsi="宋体" w:cs="宋体"/>
                <w:color w:val="auto"/>
                <w:kern w:val="0"/>
                <w:sz w:val="22"/>
                <w:szCs w:val="22"/>
              </w:rPr>
              <w:t>见第一部分“磋商公告”</w:t>
            </w:r>
          </w:p>
        </w:tc>
        <w:tc>
          <w:tcPr>
            <w:tcW w:w="900" w:type="dxa"/>
            <w:gridSpan w:val="2"/>
            <w:tcBorders>
              <w:top w:val="single" w:color="auto" w:sz="6" w:space="0"/>
              <w:left w:val="single" w:color="auto" w:sz="6" w:space="0"/>
              <w:bottom w:val="single" w:color="auto" w:sz="6" w:space="0"/>
              <w:right w:val="single" w:color="auto" w:sz="6" w:space="0"/>
            </w:tcBorders>
            <w:vAlign w:val="center"/>
          </w:tcPr>
          <w:p w14:paraId="7374C62A">
            <w:pPr>
              <w:spacing w:line="360" w:lineRule="exact"/>
              <w:jc w:val="center"/>
              <w:rPr>
                <w:rFonts w:hint="eastAsia" w:ascii="宋体" w:hAnsi="宋体"/>
                <w:color w:val="auto"/>
                <w:sz w:val="22"/>
                <w:szCs w:val="22"/>
              </w:rPr>
            </w:pPr>
            <w:r>
              <w:rPr>
                <w:rFonts w:hint="eastAsia" w:ascii="宋体" w:hAnsi="宋体"/>
                <w:color w:val="auto"/>
                <w:sz w:val="22"/>
                <w:szCs w:val="22"/>
              </w:rPr>
              <w:t>递 交</w:t>
            </w:r>
          </w:p>
          <w:p w14:paraId="3447E6F5">
            <w:pPr>
              <w:spacing w:line="360" w:lineRule="exact"/>
              <w:jc w:val="center"/>
              <w:rPr>
                <w:rFonts w:hint="eastAsia" w:ascii="宋体" w:hAnsi="宋体"/>
                <w:color w:val="auto"/>
                <w:sz w:val="22"/>
                <w:szCs w:val="22"/>
              </w:rPr>
            </w:pPr>
            <w:r>
              <w:rPr>
                <w:rFonts w:hint="eastAsia" w:ascii="宋体" w:hAnsi="宋体"/>
                <w:color w:val="auto"/>
                <w:sz w:val="22"/>
                <w:szCs w:val="22"/>
              </w:rPr>
              <w:t>地 点</w:t>
            </w:r>
          </w:p>
        </w:tc>
        <w:tc>
          <w:tcPr>
            <w:tcW w:w="3240" w:type="dxa"/>
            <w:tcBorders>
              <w:top w:val="single" w:color="auto" w:sz="6" w:space="0"/>
              <w:left w:val="single" w:color="auto" w:sz="6" w:space="0"/>
              <w:bottom w:val="single" w:color="auto" w:sz="6" w:space="0"/>
              <w:right w:val="single" w:color="auto" w:sz="6" w:space="0"/>
            </w:tcBorders>
            <w:vAlign w:val="center"/>
          </w:tcPr>
          <w:p w14:paraId="7E06F297">
            <w:pPr>
              <w:spacing w:line="360" w:lineRule="exact"/>
              <w:rPr>
                <w:rFonts w:hint="eastAsia" w:ascii="宋体" w:hAnsi="宋体"/>
                <w:color w:val="auto"/>
                <w:sz w:val="22"/>
                <w:szCs w:val="22"/>
              </w:rPr>
            </w:pPr>
            <w:r>
              <w:rPr>
                <w:rFonts w:hint="eastAsia" w:ascii="宋体" w:hAnsi="宋体" w:cs="宋体"/>
                <w:color w:val="auto"/>
                <w:kern w:val="0"/>
                <w:sz w:val="22"/>
                <w:szCs w:val="22"/>
              </w:rPr>
              <w:t>见第一部分“磋商公告”</w:t>
            </w:r>
          </w:p>
        </w:tc>
      </w:tr>
      <w:tr w14:paraId="1A009679">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420403D2">
            <w:pPr>
              <w:spacing w:line="360" w:lineRule="exact"/>
              <w:jc w:val="center"/>
              <w:rPr>
                <w:rFonts w:hint="eastAsia" w:ascii="宋体" w:hAnsi="宋体"/>
                <w:color w:val="auto"/>
                <w:sz w:val="22"/>
                <w:szCs w:val="22"/>
              </w:rPr>
            </w:pPr>
            <w:r>
              <w:rPr>
                <w:rFonts w:hint="eastAsia" w:ascii="宋体" w:hAnsi="宋体"/>
                <w:color w:val="auto"/>
                <w:sz w:val="22"/>
                <w:szCs w:val="22"/>
              </w:rPr>
              <w:t>磋商响应截止时间</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5D1ECB57">
            <w:pPr>
              <w:spacing w:line="360" w:lineRule="exact"/>
              <w:rPr>
                <w:rFonts w:hint="eastAsia" w:ascii="宋体" w:hAnsi="宋体"/>
                <w:color w:val="auto"/>
                <w:sz w:val="22"/>
                <w:szCs w:val="22"/>
              </w:rPr>
            </w:pPr>
            <w:r>
              <w:rPr>
                <w:rFonts w:hint="eastAsia" w:ascii="宋体" w:hAnsi="宋体" w:cs="宋体"/>
                <w:color w:val="auto"/>
                <w:kern w:val="0"/>
                <w:sz w:val="22"/>
                <w:szCs w:val="22"/>
              </w:rPr>
              <w:t>见第一部分“磋商公告”</w:t>
            </w:r>
          </w:p>
        </w:tc>
      </w:tr>
      <w:tr w14:paraId="2FC00B18">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696C74D">
            <w:pPr>
              <w:spacing w:line="360" w:lineRule="exact"/>
              <w:jc w:val="center"/>
              <w:rPr>
                <w:rFonts w:hint="eastAsia" w:ascii="宋体" w:hAnsi="宋体"/>
                <w:color w:val="auto"/>
                <w:sz w:val="22"/>
                <w:szCs w:val="22"/>
              </w:rPr>
            </w:pPr>
            <w:r>
              <w:rPr>
                <w:rFonts w:hint="eastAsia" w:ascii="宋体" w:hAnsi="宋体"/>
                <w:color w:val="auto"/>
                <w:sz w:val="22"/>
                <w:szCs w:val="22"/>
              </w:rPr>
              <w:t>开标时间</w:t>
            </w:r>
          </w:p>
        </w:tc>
        <w:tc>
          <w:tcPr>
            <w:tcW w:w="4047" w:type="dxa"/>
            <w:gridSpan w:val="2"/>
            <w:tcBorders>
              <w:top w:val="single" w:color="auto" w:sz="6" w:space="0"/>
              <w:left w:val="single" w:color="auto" w:sz="6" w:space="0"/>
              <w:bottom w:val="single" w:color="auto" w:sz="6" w:space="0"/>
              <w:right w:val="single" w:color="auto" w:sz="6" w:space="0"/>
            </w:tcBorders>
            <w:vAlign w:val="center"/>
          </w:tcPr>
          <w:p w14:paraId="6801ADAC">
            <w:pPr>
              <w:spacing w:line="360" w:lineRule="exact"/>
              <w:rPr>
                <w:rFonts w:hint="eastAsia" w:ascii="宋体" w:hAnsi="宋体"/>
                <w:color w:val="auto"/>
                <w:sz w:val="22"/>
                <w:szCs w:val="22"/>
              </w:rPr>
            </w:pPr>
            <w:r>
              <w:rPr>
                <w:rFonts w:hint="eastAsia" w:ascii="宋体" w:hAnsi="宋体" w:cs="宋体"/>
                <w:color w:val="auto"/>
                <w:kern w:val="0"/>
                <w:sz w:val="22"/>
                <w:szCs w:val="22"/>
              </w:rPr>
              <w:t>见第一部分“磋商公告”</w:t>
            </w:r>
          </w:p>
        </w:tc>
        <w:tc>
          <w:tcPr>
            <w:tcW w:w="900" w:type="dxa"/>
            <w:gridSpan w:val="2"/>
            <w:tcBorders>
              <w:top w:val="single" w:color="auto" w:sz="6" w:space="0"/>
              <w:left w:val="single" w:color="auto" w:sz="6" w:space="0"/>
              <w:bottom w:val="single" w:color="auto" w:sz="6" w:space="0"/>
              <w:right w:val="single" w:color="auto" w:sz="6" w:space="0"/>
            </w:tcBorders>
            <w:vAlign w:val="center"/>
          </w:tcPr>
          <w:p w14:paraId="0E742860">
            <w:pPr>
              <w:spacing w:line="360" w:lineRule="exact"/>
              <w:jc w:val="center"/>
              <w:rPr>
                <w:rFonts w:hint="eastAsia" w:ascii="宋体" w:hAnsi="宋体"/>
                <w:color w:val="auto"/>
                <w:sz w:val="22"/>
                <w:szCs w:val="22"/>
              </w:rPr>
            </w:pPr>
            <w:r>
              <w:rPr>
                <w:rFonts w:hint="eastAsia" w:ascii="宋体" w:hAnsi="宋体"/>
                <w:color w:val="auto"/>
                <w:sz w:val="22"/>
                <w:szCs w:val="22"/>
              </w:rPr>
              <w:t>地点</w:t>
            </w:r>
          </w:p>
        </w:tc>
        <w:tc>
          <w:tcPr>
            <w:tcW w:w="3240" w:type="dxa"/>
            <w:tcBorders>
              <w:top w:val="single" w:color="auto" w:sz="6" w:space="0"/>
              <w:left w:val="single" w:color="auto" w:sz="6" w:space="0"/>
              <w:bottom w:val="single" w:color="auto" w:sz="6" w:space="0"/>
              <w:right w:val="single" w:color="auto" w:sz="6" w:space="0"/>
            </w:tcBorders>
            <w:vAlign w:val="center"/>
          </w:tcPr>
          <w:p w14:paraId="3736E4A3">
            <w:pPr>
              <w:spacing w:line="360" w:lineRule="exact"/>
              <w:rPr>
                <w:rFonts w:hint="eastAsia" w:ascii="宋体" w:hAnsi="宋体"/>
                <w:color w:val="auto"/>
                <w:sz w:val="22"/>
                <w:szCs w:val="22"/>
              </w:rPr>
            </w:pPr>
            <w:r>
              <w:rPr>
                <w:rFonts w:hint="eastAsia" w:ascii="宋体" w:hAnsi="宋体" w:cs="宋体"/>
                <w:color w:val="auto"/>
                <w:kern w:val="0"/>
                <w:sz w:val="22"/>
                <w:szCs w:val="22"/>
              </w:rPr>
              <w:t>见第一部分“磋商公告”</w:t>
            </w:r>
          </w:p>
        </w:tc>
      </w:tr>
      <w:tr w14:paraId="620BC14D">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C5562F0">
            <w:pPr>
              <w:spacing w:line="360" w:lineRule="exact"/>
              <w:jc w:val="center"/>
              <w:rPr>
                <w:rFonts w:hint="eastAsia" w:ascii="宋体" w:hAnsi="宋体"/>
                <w:color w:val="auto"/>
                <w:sz w:val="22"/>
                <w:szCs w:val="22"/>
              </w:rPr>
            </w:pPr>
            <w:r>
              <w:rPr>
                <w:rFonts w:hint="eastAsia" w:ascii="宋体" w:hAnsi="宋体" w:cs="宋体"/>
                <w:color w:val="auto"/>
                <w:kern w:val="0"/>
                <w:sz w:val="22"/>
                <w:szCs w:val="22"/>
              </w:rPr>
              <w:t>响应文件形式、制作及组成</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190B99C">
            <w:pPr>
              <w:pStyle w:val="20"/>
              <w:snapToGrid w:val="0"/>
              <w:spacing w:line="360" w:lineRule="exact"/>
              <w:rPr>
                <w:rFonts w:hint="eastAsia" w:hAnsi="宋体" w:cs="宋体"/>
                <w:b/>
                <w:bCs/>
                <w:color w:val="auto"/>
                <w:sz w:val="22"/>
                <w:szCs w:val="22"/>
              </w:rPr>
            </w:pPr>
            <w:r>
              <w:rPr>
                <w:rFonts w:hint="eastAsia" w:hAnsi="宋体" w:cs="宋体"/>
                <w:b/>
                <w:bCs/>
                <w:color w:val="auto"/>
                <w:sz w:val="22"/>
                <w:szCs w:val="22"/>
              </w:rPr>
              <w:t>本项目实行网上电子投标。</w:t>
            </w:r>
          </w:p>
          <w:p w14:paraId="5A8AC142">
            <w:pPr>
              <w:pStyle w:val="20"/>
              <w:snapToGrid w:val="0"/>
              <w:spacing w:line="360" w:lineRule="exact"/>
              <w:rPr>
                <w:rFonts w:hint="eastAsia" w:hAnsi="宋体" w:cs="宋体"/>
                <w:b/>
                <w:bCs/>
                <w:color w:val="auto"/>
                <w:sz w:val="22"/>
                <w:szCs w:val="22"/>
              </w:rPr>
            </w:pPr>
            <w:r>
              <w:rPr>
                <w:rFonts w:hint="eastAsia" w:hAnsi="宋体" w:cs="宋体"/>
                <w:b/>
                <w:bCs/>
                <w:color w:val="auto"/>
                <w:sz w:val="22"/>
                <w:szCs w:val="22"/>
              </w:rPr>
              <w:t>供应商应准备电子响应文件、以介质存储的数据电文形式的备份响应文件二类：</w:t>
            </w:r>
          </w:p>
          <w:p w14:paraId="1BACEBC2">
            <w:pPr>
              <w:pStyle w:val="20"/>
              <w:snapToGrid w:val="0"/>
              <w:spacing w:line="360" w:lineRule="exact"/>
              <w:ind w:firstLine="221" w:firstLineChars="100"/>
              <w:rPr>
                <w:rFonts w:hint="eastAsia" w:hAnsi="宋体" w:cs="宋体"/>
                <w:b/>
                <w:bCs/>
                <w:color w:val="auto"/>
                <w:sz w:val="22"/>
                <w:szCs w:val="22"/>
              </w:rPr>
            </w:pPr>
            <w:r>
              <w:rPr>
                <w:rFonts w:hint="eastAsia" w:hAnsi="宋体" w:cs="宋体"/>
                <w:b/>
                <w:bCs/>
                <w:color w:val="auto"/>
                <w:sz w:val="22"/>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 w:val="22"/>
                <w:szCs w:val="22"/>
                <w:lang w:val="zh-CN"/>
              </w:rPr>
              <w:t>。</w:t>
            </w:r>
          </w:p>
          <w:p w14:paraId="5CC9B215">
            <w:pPr>
              <w:spacing w:line="360" w:lineRule="exact"/>
              <w:ind w:firstLine="221" w:firstLineChars="100"/>
              <w:rPr>
                <w:rStyle w:val="40"/>
                <w:rFonts w:hint="eastAsia" w:ascii="宋体" w:hAnsi="宋体" w:cs="宋体"/>
                <w:bCs w:val="0"/>
                <w:color w:val="auto"/>
                <w:sz w:val="22"/>
                <w:szCs w:val="22"/>
              </w:rPr>
            </w:pPr>
            <w:r>
              <w:rPr>
                <w:rFonts w:hint="eastAsia" w:ascii="宋体" w:hAnsi="宋体" w:cs="宋体"/>
                <w:b/>
                <w:bCs/>
                <w:color w:val="auto"/>
                <w:sz w:val="22"/>
                <w:szCs w:val="22"/>
              </w:rPr>
              <w:t>(2)以介质存储的数据电文形式的备份响应文件：</w:t>
            </w:r>
            <w:r>
              <w:rPr>
                <w:rStyle w:val="40"/>
                <w:rFonts w:hint="eastAsia" w:ascii="宋体" w:hAnsi="宋体" w:cs="宋体"/>
                <w:bCs w:val="0"/>
                <w:color w:val="auto"/>
                <w:sz w:val="22"/>
                <w:szCs w:val="22"/>
              </w:rPr>
              <w:t>与“电子响应文件”同时生成的数据电文形式的备份响应文件(文件扩展名为.bfbs)</w:t>
            </w:r>
            <w:r>
              <w:rPr>
                <w:rFonts w:hint="eastAsia" w:ascii="宋体" w:hAnsi="宋体" w:cs="宋体"/>
                <w:b/>
                <w:bCs/>
                <w:color w:val="auto"/>
                <w:sz w:val="22"/>
                <w:szCs w:val="22"/>
              </w:rPr>
              <w:t>，响应文件提交截止时间前以</w:t>
            </w:r>
            <w:r>
              <w:rPr>
                <w:rFonts w:hint="eastAsia" w:ascii="宋体" w:hAnsi="宋体" w:cs="宋体"/>
                <w:b/>
                <w:bCs/>
                <w:color w:val="auto"/>
                <w:sz w:val="22"/>
                <w:szCs w:val="22"/>
                <w:lang w:val="zh-CN"/>
              </w:rPr>
              <w:t>电子邮件方式传送至</w:t>
            </w:r>
            <w:r>
              <w:rPr>
                <w:rFonts w:hint="eastAsia" w:ascii="宋体" w:hAnsi="宋体" w:cs="宋体"/>
                <w:b/>
                <w:bCs/>
                <w:color w:val="auto"/>
                <w:sz w:val="22"/>
                <w:szCs w:val="22"/>
              </w:rPr>
              <w:t>温州正风招标代理</w:t>
            </w:r>
            <w:r>
              <w:rPr>
                <w:rFonts w:hint="eastAsia" w:ascii="宋体" w:hAnsi="宋体" w:cs="宋体"/>
                <w:b/>
                <w:bCs/>
                <w:color w:val="auto"/>
                <w:sz w:val="22"/>
                <w:szCs w:val="22"/>
                <w:lang w:val="zh-CN"/>
              </w:rPr>
              <w:t>有限公司电子邮箱</w:t>
            </w:r>
            <w:r>
              <w:rPr>
                <w:rFonts w:hint="eastAsia" w:ascii="宋体" w:hAnsi="宋体"/>
                <w:b/>
                <w:bCs/>
                <w:color w:val="auto"/>
                <w:sz w:val="22"/>
                <w:szCs w:val="22"/>
                <w:u w:val="single"/>
                <w:lang w:eastAsia="zh-CN"/>
              </w:rPr>
              <w:t>41396739</w:t>
            </w:r>
            <w:r>
              <w:rPr>
                <w:rFonts w:hint="eastAsia" w:ascii="宋体" w:hAnsi="宋体"/>
                <w:b/>
                <w:bCs/>
                <w:color w:val="auto"/>
                <w:sz w:val="22"/>
                <w:szCs w:val="22"/>
                <w:u w:val="single"/>
              </w:rPr>
              <w:t>@qq.com</w:t>
            </w:r>
            <w:r>
              <w:rPr>
                <w:rFonts w:hint="eastAsia" w:ascii="宋体" w:hAnsi="宋体" w:cs="宋体"/>
                <w:b/>
                <w:bCs/>
                <w:color w:val="auto"/>
                <w:sz w:val="22"/>
                <w:szCs w:val="22"/>
              </w:rPr>
              <w:t>，</w:t>
            </w:r>
            <w:r>
              <w:rPr>
                <w:rFonts w:hint="eastAsia" w:ascii="宋体" w:hAnsi="宋体" w:cs="宋体"/>
                <w:b/>
                <w:bCs/>
                <w:color w:val="auto"/>
                <w:sz w:val="22"/>
                <w:szCs w:val="22"/>
                <w:lang w:val="zh-CN"/>
              </w:rPr>
              <w:t>递交</w:t>
            </w:r>
            <w:r>
              <w:rPr>
                <w:rFonts w:hint="eastAsia" w:ascii="宋体" w:hAnsi="宋体" w:cs="宋体"/>
                <w:b/>
                <w:bCs/>
                <w:color w:val="auto"/>
                <w:sz w:val="22"/>
                <w:szCs w:val="22"/>
              </w:rPr>
              <w:t>1</w:t>
            </w:r>
            <w:r>
              <w:rPr>
                <w:rFonts w:hint="eastAsia" w:ascii="宋体" w:hAnsi="宋体" w:cs="宋体"/>
                <w:b/>
                <w:bCs/>
                <w:color w:val="auto"/>
                <w:sz w:val="22"/>
                <w:szCs w:val="22"/>
                <w:lang w:val="zh-CN"/>
              </w:rPr>
              <w:t>份</w:t>
            </w:r>
            <w:r>
              <w:rPr>
                <w:rFonts w:hint="eastAsia" w:ascii="宋体" w:hAnsi="宋体" w:cs="宋体"/>
                <w:b/>
                <w:bCs/>
                <w:color w:val="auto"/>
                <w:sz w:val="22"/>
                <w:szCs w:val="22"/>
              </w:rPr>
              <w:t>，</w:t>
            </w:r>
            <w:r>
              <w:rPr>
                <w:rFonts w:hint="eastAsia" w:ascii="宋体" w:hAnsi="宋体" w:cs="宋体"/>
                <w:b/>
                <w:bCs/>
                <w:color w:val="auto"/>
                <w:sz w:val="22"/>
                <w:szCs w:val="22"/>
                <w:lang w:val="zh-CN"/>
              </w:rPr>
              <w:t>传送的备份响应文件需打包压缩并加密</w:t>
            </w:r>
            <w:r>
              <w:rPr>
                <w:rFonts w:hint="eastAsia" w:ascii="宋体" w:hAnsi="宋体" w:cs="宋体"/>
                <w:b/>
                <w:bCs/>
                <w:color w:val="auto"/>
                <w:sz w:val="22"/>
                <w:szCs w:val="22"/>
              </w:rPr>
              <w:t>，</w:t>
            </w:r>
            <w:r>
              <w:rPr>
                <w:rFonts w:hint="eastAsia" w:ascii="宋体" w:hAnsi="宋体" w:cs="宋体"/>
                <w:b/>
                <w:bCs/>
                <w:color w:val="auto"/>
                <w:sz w:val="22"/>
                <w:szCs w:val="22"/>
                <w:lang w:val="zh-CN"/>
              </w:rPr>
              <w:t>加密密码由供应商自行保管</w:t>
            </w:r>
            <w:r>
              <w:rPr>
                <w:rFonts w:hint="eastAsia" w:ascii="宋体" w:hAnsi="宋体" w:cs="宋体"/>
                <w:b/>
                <w:bCs/>
                <w:color w:val="auto"/>
                <w:sz w:val="22"/>
                <w:szCs w:val="22"/>
              </w:rPr>
              <w:t>，未加密导致投标信息泄露的风险由供应商自行承担。</w:t>
            </w:r>
          </w:p>
          <w:p w14:paraId="55BA804D">
            <w:pPr>
              <w:pStyle w:val="20"/>
              <w:snapToGrid w:val="0"/>
              <w:spacing w:line="360" w:lineRule="exact"/>
              <w:rPr>
                <w:rFonts w:hint="eastAsia" w:hAnsi="宋体" w:cs="宋体"/>
                <w:b/>
                <w:bCs/>
                <w:color w:val="auto"/>
                <w:sz w:val="22"/>
                <w:szCs w:val="22"/>
              </w:rPr>
            </w:pPr>
            <w:r>
              <w:rPr>
                <w:rFonts w:hint="eastAsia" w:hAnsi="宋体" w:cs="宋体"/>
                <w:b/>
                <w:bCs/>
                <w:color w:val="auto"/>
                <w:sz w:val="22"/>
                <w:szCs w:val="22"/>
              </w:rPr>
              <w:t>响应文件由报价文件、</w:t>
            </w:r>
            <w:r>
              <w:rPr>
                <w:rFonts w:hint="eastAsia" w:hAnsi="宋体" w:cs="宋体"/>
                <w:b/>
                <w:color w:val="auto"/>
                <w:sz w:val="22"/>
                <w:szCs w:val="22"/>
              </w:rPr>
              <w:t>资格文件、商务和</w:t>
            </w:r>
            <w:r>
              <w:rPr>
                <w:rFonts w:hint="eastAsia" w:hAnsi="宋体" w:cs="宋体"/>
                <w:b/>
                <w:bCs/>
                <w:color w:val="auto"/>
                <w:sz w:val="22"/>
                <w:szCs w:val="22"/>
              </w:rPr>
              <w:t>技术文件三部分组成。</w:t>
            </w:r>
          </w:p>
          <w:p w14:paraId="5453045A">
            <w:pPr>
              <w:spacing w:line="360" w:lineRule="exact"/>
              <w:rPr>
                <w:rFonts w:hint="eastAsia" w:ascii="宋体" w:hAnsi="宋体"/>
                <w:color w:val="auto"/>
                <w:sz w:val="22"/>
                <w:szCs w:val="22"/>
              </w:rPr>
            </w:pPr>
            <w:r>
              <w:rPr>
                <w:rFonts w:hint="eastAsia" w:ascii="宋体" w:hAnsi="宋体" w:cs="宋体"/>
                <w:b/>
                <w:bCs/>
                <w:color w:val="auto"/>
                <w:sz w:val="22"/>
                <w:szCs w:val="22"/>
              </w:rPr>
              <w:t>注：成交供应商在收到成交通知书时按采购人要求提供全套纸质响应文件贰份。</w:t>
            </w:r>
          </w:p>
        </w:tc>
      </w:tr>
      <w:tr w14:paraId="33FA9DF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1F148293">
            <w:pPr>
              <w:spacing w:line="36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电子招投标特殊情况处理方式</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37D0CD3D">
            <w:pPr>
              <w:spacing w:line="360" w:lineRule="exact"/>
              <w:rPr>
                <w:rFonts w:hint="eastAsia" w:ascii="宋体" w:hAnsi="宋体" w:cs="宋体"/>
                <w:b/>
                <w:bCs/>
                <w:color w:val="auto"/>
                <w:sz w:val="22"/>
                <w:szCs w:val="22"/>
              </w:rPr>
            </w:pPr>
            <w:r>
              <w:rPr>
                <w:rFonts w:hint="eastAsia" w:ascii="宋体" w:hAnsi="宋体" w:cs="宋体"/>
                <w:b/>
                <w:bCs/>
                <w:color w:val="auto"/>
                <w:sz w:val="22"/>
                <w:szCs w:val="22"/>
              </w:rPr>
              <w:t>本项目原则上采用政采云电子招投标开标及评审程序，但有下情形之一的，按以下情况处理：</w:t>
            </w:r>
          </w:p>
          <w:p w14:paraId="2BB2A9F8">
            <w:pPr>
              <w:pStyle w:val="20"/>
              <w:snapToGrid w:val="0"/>
              <w:spacing w:line="360" w:lineRule="exact"/>
              <w:rPr>
                <w:rFonts w:hint="eastAsia" w:hAnsi="宋体" w:cs="宋体"/>
                <w:b/>
                <w:bCs/>
                <w:color w:val="auto"/>
                <w:sz w:val="22"/>
                <w:szCs w:val="22"/>
              </w:rPr>
            </w:pPr>
            <w:r>
              <w:rPr>
                <w:rFonts w:hint="eastAsia" w:hAnsi="宋体" w:cs="宋体"/>
                <w:b/>
                <w:bCs/>
                <w:color w:val="auto"/>
                <w:sz w:val="22"/>
                <w:szCs w:val="22"/>
              </w:rPr>
              <w:t>若供应商在规定时间内无法解密或解密失败，采购代理机构将开启所有供应商递交的以介质存储的数据电文形式的备份响应文件，上传至政采云平台项目采购模块，以完成开标，电子响应文件自动失效。</w:t>
            </w:r>
          </w:p>
        </w:tc>
      </w:tr>
      <w:tr w14:paraId="544A522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451FA0E">
            <w:pPr>
              <w:spacing w:line="360" w:lineRule="exact"/>
              <w:jc w:val="center"/>
              <w:rPr>
                <w:rFonts w:hint="eastAsia" w:ascii="宋体" w:hAnsi="宋体"/>
                <w:color w:val="auto"/>
                <w:kern w:val="0"/>
                <w:sz w:val="22"/>
                <w:szCs w:val="22"/>
              </w:rPr>
            </w:pPr>
            <w:r>
              <w:rPr>
                <w:rFonts w:hint="eastAsia" w:ascii="宋体" w:hAnsi="宋体" w:cs="宋体"/>
                <w:color w:val="auto"/>
                <w:kern w:val="0"/>
                <w:sz w:val="22"/>
                <w:szCs w:val="22"/>
              </w:rPr>
              <w:t>开评标程序</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5E38497">
            <w:pPr>
              <w:spacing w:line="360" w:lineRule="exact"/>
              <w:rPr>
                <w:rFonts w:ascii="宋体" w:hAnsi="宋体" w:cs="宋体"/>
                <w:color w:val="auto"/>
                <w:sz w:val="22"/>
                <w:szCs w:val="22"/>
              </w:rPr>
            </w:pPr>
            <w:r>
              <w:rPr>
                <w:rFonts w:hint="eastAsia" w:ascii="宋体" w:hAnsi="宋体" w:cs="宋体"/>
                <w:color w:val="auto"/>
                <w:kern w:val="0"/>
                <w:sz w:val="22"/>
                <w:szCs w:val="22"/>
              </w:rPr>
              <w:t>待开标→磋商响应文件在线解密→代理机构或采购人在线</w:t>
            </w:r>
            <w:r>
              <w:rPr>
                <w:rFonts w:hint="eastAsia" w:ascii="宋体" w:hAnsi="宋体" w:cs="宋体"/>
                <w:color w:val="auto"/>
                <w:sz w:val="22"/>
                <w:szCs w:val="22"/>
              </w:rPr>
              <w:t>资格性审查</w:t>
            </w:r>
            <w:r>
              <w:rPr>
                <w:rFonts w:hint="eastAsia" w:ascii="宋体" w:hAnsi="宋体" w:cs="宋体"/>
                <w:color w:val="auto"/>
                <w:kern w:val="0"/>
                <w:sz w:val="22"/>
                <w:szCs w:val="22"/>
              </w:rPr>
              <w:t>→磋商小组在线符合性审查→</w:t>
            </w:r>
            <w:r>
              <w:rPr>
                <w:rFonts w:hint="eastAsia" w:ascii="宋体" w:hAnsi="宋体" w:cs="宋体"/>
                <w:color w:val="auto"/>
                <w:kern w:val="0"/>
                <w:sz w:val="22"/>
                <w:szCs w:val="22"/>
                <w:lang w:val="en-US" w:eastAsia="zh-CN"/>
              </w:rPr>
              <w:t>磋商小组在线磋商（如有）</w:t>
            </w:r>
            <w:r>
              <w:rPr>
                <w:rFonts w:hint="eastAsia" w:ascii="宋体" w:hAnsi="宋体" w:cs="宋体"/>
                <w:color w:val="auto"/>
                <w:kern w:val="0"/>
                <w:sz w:val="22"/>
                <w:szCs w:val="22"/>
              </w:rPr>
              <w:t>→系统开启二次报价→磋商小组在线</w:t>
            </w:r>
            <w:r>
              <w:rPr>
                <w:rFonts w:hint="eastAsia" w:ascii="宋体" w:hAnsi="宋体" w:cs="宋体"/>
                <w:color w:val="auto"/>
                <w:kern w:val="0"/>
                <w:sz w:val="22"/>
                <w:szCs w:val="22"/>
                <w:lang w:val="en-US" w:eastAsia="zh-CN"/>
              </w:rPr>
              <w:t>商务价格</w:t>
            </w:r>
            <w:r>
              <w:rPr>
                <w:rFonts w:hint="eastAsia" w:ascii="宋体" w:hAnsi="宋体" w:cs="宋体"/>
                <w:color w:val="auto"/>
                <w:kern w:val="0"/>
                <w:sz w:val="22"/>
                <w:szCs w:val="22"/>
              </w:rPr>
              <w:t>评</w:t>
            </w:r>
            <w:r>
              <w:rPr>
                <w:rFonts w:hint="eastAsia" w:ascii="宋体" w:hAnsi="宋体" w:cs="宋体"/>
                <w:color w:val="auto"/>
                <w:kern w:val="0"/>
                <w:sz w:val="22"/>
                <w:szCs w:val="22"/>
                <w:lang w:val="en-US" w:eastAsia="zh-CN"/>
              </w:rPr>
              <w:t>审</w:t>
            </w:r>
            <w:r>
              <w:rPr>
                <w:rFonts w:hint="eastAsia" w:ascii="宋体" w:hAnsi="宋体" w:cs="宋体"/>
                <w:color w:val="auto"/>
                <w:kern w:val="0"/>
                <w:sz w:val="22"/>
                <w:szCs w:val="22"/>
              </w:rPr>
              <w:t>→磋商小组对最终报价情况进行评审→</w:t>
            </w:r>
            <w:r>
              <w:rPr>
                <w:rFonts w:hint="eastAsia" w:ascii="宋体" w:hAnsi="宋体" w:cs="宋体"/>
                <w:color w:val="auto"/>
                <w:sz w:val="22"/>
                <w:szCs w:val="22"/>
              </w:rPr>
              <w:t>系统公布评审结果</w:t>
            </w:r>
          </w:p>
          <w:p w14:paraId="25F0F3DF">
            <w:pPr>
              <w:spacing w:line="360" w:lineRule="exact"/>
              <w:rPr>
                <w:rFonts w:hint="eastAsia"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14:paraId="7757C9D8">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2628D25">
            <w:pPr>
              <w:spacing w:line="360" w:lineRule="exact"/>
              <w:jc w:val="center"/>
              <w:rPr>
                <w:rFonts w:hint="eastAsia" w:ascii="宋体" w:hAnsi="宋体" w:cs="宋体"/>
                <w:color w:val="auto"/>
                <w:kern w:val="0"/>
                <w:sz w:val="22"/>
                <w:szCs w:val="22"/>
              </w:rPr>
            </w:pPr>
            <w:r>
              <w:rPr>
                <w:rFonts w:hint="eastAsia" w:ascii="宋体" w:hAnsi="宋体"/>
                <w:color w:val="auto"/>
                <w:kern w:val="0"/>
                <w:sz w:val="22"/>
                <w:szCs w:val="22"/>
              </w:rPr>
              <w:t>磋商小组的组建</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3E6C2914">
            <w:pPr>
              <w:spacing w:line="360" w:lineRule="exact"/>
              <w:rPr>
                <w:rFonts w:hint="eastAsia" w:ascii="宋体" w:hAnsi="宋体" w:cs="宋体"/>
                <w:color w:val="auto"/>
                <w:kern w:val="0"/>
                <w:sz w:val="22"/>
                <w:szCs w:val="22"/>
              </w:rPr>
            </w:pPr>
            <w:r>
              <w:rPr>
                <w:rFonts w:hint="eastAsia" w:ascii="宋体" w:hAnsi="宋体"/>
                <w:color w:val="auto"/>
                <w:kern w:val="0"/>
                <w:sz w:val="22"/>
                <w:szCs w:val="22"/>
              </w:rPr>
              <w:t>磋商小组由采购人代表和有关技术、经济等方面的专家组成，成员人数为</w:t>
            </w:r>
            <w:r>
              <w:rPr>
                <w:rFonts w:ascii="宋体" w:hAnsi="宋体"/>
                <w:color w:val="auto"/>
                <w:kern w:val="0"/>
                <w:sz w:val="22"/>
                <w:szCs w:val="22"/>
              </w:rPr>
              <w:t>3</w:t>
            </w:r>
            <w:r>
              <w:rPr>
                <w:rFonts w:hint="eastAsia" w:ascii="宋体" w:hAnsi="宋体"/>
                <w:color w:val="auto"/>
                <w:kern w:val="0"/>
                <w:sz w:val="22"/>
                <w:szCs w:val="22"/>
              </w:rPr>
              <w:t>人或以上单数，除采购人代表外的专家将在温州市财政局的评标专家库中随机抽取产生。</w:t>
            </w:r>
          </w:p>
        </w:tc>
      </w:tr>
      <w:tr w14:paraId="429BAA6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068E7F81">
            <w:pPr>
              <w:spacing w:line="360" w:lineRule="exact"/>
              <w:jc w:val="center"/>
              <w:rPr>
                <w:rFonts w:hint="eastAsia" w:ascii="宋体" w:hAnsi="宋体"/>
                <w:color w:val="auto"/>
                <w:kern w:val="0"/>
                <w:sz w:val="22"/>
                <w:szCs w:val="22"/>
              </w:rPr>
            </w:pPr>
            <w:r>
              <w:rPr>
                <w:rFonts w:hint="eastAsia" w:ascii="宋体" w:hAnsi="宋体"/>
                <w:color w:val="auto"/>
                <w:kern w:val="0"/>
                <w:sz w:val="22"/>
                <w:szCs w:val="22"/>
              </w:rPr>
              <w:t>磋商响应文件无效标条款</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A19BA4C">
            <w:pPr>
              <w:spacing w:line="360" w:lineRule="exact"/>
              <w:rPr>
                <w:rFonts w:hint="eastAsia" w:ascii="宋体" w:hAnsi="宋体"/>
                <w:color w:val="auto"/>
                <w:kern w:val="0"/>
                <w:sz w:val="22"/>
                <w:szCs w:val="22"/>
              </w:rPr>
            </w:pPr>
            <w:r>
              <w:rPr>
                <w:rFonts w:hint="eastAsia" w:ascii="宋体" w:hAnsi="宋体"/>
                <w:b/>
                <w:color w:val="auto"/>
                <w:kern w:val="0"/>
                <w:sz w:val="22"/>
                <w:szCs w:val="22"/>
              </w:rPr>
              <w:t>详见竞争性磋商文件第25页，第6</w:t>
            </w:r>
            <w:r>
              <w:rPr>
                <w:rFonts w:hint="eastAsia" w:ascii="宋体" w:hAnsi="宋体"/>
                <w:b/>
                <w:color w:val="auto"/>
                <w:sz w:val="22"/>
                <w:szCs w:val="22"/>
              </w:rPr>
              <w:t>点</w:t>
            </w:r>
            <w:r>
              <w:rPr>
                <w:rFonts w:hint="eastAsia" w:ascii="宋体" w:hAnsi="宋体"/>
                <w:b/>
                <w:color w:val="auto"/>
                <w:kern w:val="0"/>
                <w:sz w:val="22"/>
                <w:szCs w:val="22"/>
              </w:rPr>
              <w:t>。</w:t>
            </w:r>
          </w:p>
        </w:tc>
      </w:tr>
      <w:tr w14:paraId="3A1ADC07">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A6E674D">
            <w:pPr>
              <w:spacing w:line="360" w:lineRule="exact"/>
              <w:jc w:val="center"/>
              <w:rPr>
                <w:rFonts w:hint="eastAsia" w:ascii="宋体" w:hAnsi="宋体"/>
                <w:color w:val="auto"/>
                <w:kern w:val="0"/>
                <w:sz w:val="22"/>
                <w:szCs w:val="22"/>
              </w:rPr>
            </w:pPr>
            <w:r>
              <w:rPr>
                <w:rFonts w:hint="eastAsia" w:ascii="宋体" w:hAnsi="宋体" w:cs="宋体"/>
                <w:color w:val="auto"/>
                <w:sz w:val="22"/>
                <w:szCs w:val="22"/>
              </w:rPr>
              <w:t>供应商信用信息查询</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A21E02B">
            <w:pPr>
              <w:adjustRightInd w:val="0"/>
              <w:snapToGrid w:val="0"/>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14:paraId="4780B0F9">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1.信用信息查询的截止时点：响应文件递交截止时间；</w:t>
            </w:r>
          </w:p>
          <w:p w14:paraId="410C6A17">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2"/>
                <w:rFonts w:hint="eastAsia" w:ascii="宋体" w:hAnsi="宋体" w:cs="宋体"/>
                <w:color w:val="auto"/>
                <w:sz w:val="22"/>
                <w:szCs w:val="22"/>
              </w:rPr>
              <w:t>www.creditchina.gov.cn</w:t>
            </w:r>
            <w:r>
              <w:rPr>
                <w:rStyle w:val="42"/>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2"/>
                <w:rFonts w:hint="eastAsia" w:ascii="宋体" w:hAnsi="宋体" w:cs="宋体"/>
                <w:color w:val="auto"/>
                <w:sz w:val="22"/>
                <w:szCs w:val="22"/>
              </w:rPr>
              <w:t>www.ccgp.gov.cn</w:t>
            </w:r>
            <w:r>
              <w:rPr>
                <w:rStyle w:val="42"/>
                <w:rFonts w:hint="eastAsia" w:ascii="宋体" w:hAnsi="宋体" w:cs="宋体"/>
                <w:color w:val="auto"/>
                <w:sz w:val="22"/>
                <w:szCs w:val="22"/>
              </w:rPr>
              <w:fldChar w:fldCharType="end"/>
            </w:r>
            <w:r>
              <w:rPr>
                <w:rFonts w:hint="eastAsia" w:ascii="宋体" w:hAnsi="宋体" w:cs="宋体"/>
                <w:color w:val="auto"/>
                <w:sz w:val="22"/>
                <w:szCs w:val="22"/>
              </w:rPr>
              <w:t>）；</w:t>
            </w:r>
          </w:p>
          <w:p w14:paraId="005014FF">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14:paraId="38D72833">
            <w:pPr>
              <w:spacing w:line="360" w:lineRule="exact"/>
              <w:rPr>
                <w:rFonts w:hint="eastAsia" w:ascii="宋体" w:hAnsi="宋体"/>
                <w:b/>
                <w:color w:val="auto"/>
                <w:kern w:val="0"/>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60EA50DC">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CACA28D">
            <w:pPr>
              <w:spacing w:line="360" w:lineRule="exact"/>
              <w:jc w:val="center"/>
              <w:rPr>
                <w:rFonts w:hint="eastAsia" w:ascii="宋体" w:hAnsi="宋体" w:cs="宋体"/>
                <w:color w:val="auto"/>
                <w:sz w:val="22"/>
                <w:szCs w:val="22"/>
              </w:rPr>
            </w:pPr>
            <w:r>
              <w:rPr>
                <w:rFonts w:hint="eastAsia" w:ascii="宋体" w:hAnsi="宋体" w:cs="宋体"/>
                <w:color w:val="auto"/>
                <w:kern w:val="0"/>
                <w:sz w:val="22"/>
                <w:szCs w:val="22"/>
              </w:rPr>
              <w:t>政府采购节能环保产品</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DD985CD">
            <w:pPr>
              <w:spacing w:line="360" w:lineRule="exact"/>
              <w:rPr>
                <w:rFonts w:hint="eastAsia" w:ascii="宋体" w:hAnsi="宋体" w:cs="宋体"/>
                <w:color w:val="auto"/>
                <w:kern w:val="0"/>
                <w:sz w:val="22"/>
                <w:szCs w:val="22"/>
              </w:rPr>
            </w:pPr>
            <w:r>
              <w:rPr>
                <w:rFonts w:hint="eastAsia" w:ascii="宋体" w:hAnsi="宋体" w:cs="宋体"/>
                <w:color w:val="auto"/>
                <w:kern w:val="0"/>
                <w:sz w:val="22"/>
                <w:szCs w:val="22"/>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B90440A">
            <w:pPr>
              <w:adjustRightInd w:val="0"/>
              <w:snapToGrid w:val="0"/>
              <w:spacing w:line="360" w:lineRule="exact"/>
              <w:rPr>
                <w:rFonts w:hint="eastAsia" w:ascii="宋体" w:hAnsi="宋体" w:cs="宋体"/>
                <w:color w:val="auto"/>
                <w:sz w:val="22"/>
                <w:szCs w:val="22"/>
              </w:rPr>
            </w:pPr>
            <w:r>
              <w:rPr>
                <w:rFonts w:hint="eastAsia" w:ascii="宋体" w:hAnsi="宋体" w:cs="宋体"/>
                <w:color w:val="auto"/>
                <w:kern w:val="0"/>
                <w:sz w:val="22"/>
                <w:szCs w:val="22"/>
              </w:rPr>
              <w:t>2.产品属于政府强制采购节能品目的（详见《关于印发节能产品政府采购品目清单的通知》财库〔2019〕19号），供应商须按上款要求提供节能产品认证证书或规定网站证书查询截图。产品属于政府强制采购节能产品品目的，投供应商未提供节能产品的，其投标将作无效标处理；本文件另有规定的除外。</w:t>
            </w:r>
          </w:p>
        </w:tc>
      </w:tr>
      <w:tr w14:paraId="61F227AD">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61F98BBD">
            <w:pPr>
              <w:spacing w:line="360" w:lineRule="exact"/>
              <w:jc w:val="center"/>
              <w:rPr>
                <w:rFonts w:hint="eastAsia" w:ascii="宋体" w:hAnsi="宋体" w:cs="宋体"/>
                <w:color w:val="auto"/>
                <w:kern w:val="0"/>
                <w:sz w:val="22"/>
                <w:szCs w:val="22"/>
              </w:rPr>
            </w:pPr>
            <w:r>
              <w:rPr>
                <w:rFonts w:hint="eastAsia" w:ascii="宋体" w:hAnsi="宋体" w:cs="宋体"/>
                <w:bCs/>
                <w:color w:val="auto"/>
                <w:kern w:val="0"/>
                <w:sz w:val="22"/>
                <w:szCs w:val="22"/>
              </w:rPr>
              <w:t>本项目扶持中小企业（监狱企业、残疾人福利性单位）有关政策</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B3F7BBC">
            <w:pPr>
              <w:spacing w:line="360" w:lineRule="exact"/>
              <w:rPr>
                <w:rFonts w:hint="eastAsia" w:ascii="宋体" w:hAnsi="宋体" w:cs="宋体"/>
                <w:b/>
                <w:bCs/>
                <w:color w:val="auto"/>
                <w:sz w:val="22"/>
                <w:szCs w:val="22"/>
              </w:rPr>
            </w:pPr>
            <w:r>
              <w:rPr>
                <w:rFonts w:hint="eastAsia" w:ascii="宋体" w:hAnsi="宋体" w:cs="宋体"/>
                <w:b/>
                <w:bCs/>
                <w:color w:val="auto"/>
                <w:sz w:val="22"/>
                <w:szCs w:val="22"/>
              </w:rPr>
              <w:t xml:space="preserve">1、扶持中小企业（监狱企业、残疾人福利性单位）： </w:t>
            </w:r>
          </w:p>
          <w:p w14:paraId="226CE3ED">
            <w:pPr>
              <w:spacing w:line="360" w:lineRule="exact"/>
              <w:rPr>
                <w:rFonts w:hint="eastAsia" w:ascii="宋体" w:hAnsi="宋体" w:cs="宋体"/>
                <w:color w:val="auto"/>
                <w:sz w:val="22"/>
                <w:szCs w:val="22"/>
              </w:rPr>
            </w:pPr>
            <w:r>
              <w:rPr>
                <w:rFonts w:hint="eastAsia" w:ascii="宋体" w:hAnsi="宋体" w:cs="宋体"/>
                <w:color w:val="auto"/>
                <w:sz w:val="22"/>
                <w:szCs w:val="22"/>
              </w:rPr>
              <w:t>（1）根据工信部等部委发布的《关于印发中小企业划型标准规定的通知》（工信部联企业〔2011〕300号），本项目属于</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农、林、牧、渔业，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工业（包括采矿业，制造业，电力、热力、燃气及水生产和供应业），</w:t>
            </w:r>
            <w:r>
              <w:rPr>
                <w:rFonts w:hint="eastAsia" w:ascii="宋体" w:hAnsi="宋体" w:cs="宋体"/>
                <w:color w:val="auto"/>
                <w:sz w:val="22"/>
                <w:szCs w:val="22"/>
                <w:u w:val="single"/>
              </w:rPr>
              <w:sym w:font="Wingdings" w:char="00FE"/>
            </w:r>
            <w:r>
              <w:rPr>
                <w:rFonts w:hint="eastAsia" w:ascii="宋体" w:hAnsi="宋体" w:cs="宋体"/>
                <w:color w:val="auto"/>
                <w:sz w:val="22"/>
                <w:szCs w:val="22"/>
                <w:u w:val="single"/>
              </w:rPr>
              <w:t>建筑业，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批发业，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零售业，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交通运输业（不含铁路运输业），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仓储业，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邮政业，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住宿业，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餐饮业，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信息传输业（包括电信、互联网和相关服务），</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软件和信息技术服务业，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房地产开发经营，</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物业管理，</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租赁和商务服务业，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 xml:space="preserve">其他未列明行业（包括科学研究和技术服务业，水利、环境和公共设施管理业，居民服务、修理和其他服务业，社会工作，文化、体育和娱乐业等） </w:t>
            </w:r>
            <w:r>
              <w:rPr>
                <w:rFonts w:hint="eastAsia" w:ascii="宋体" w:hAnsi="宋体" w:cs="宋体"/>
                <w:color w:val="auto"/>
                <w:sz w:val="22"/>
                <w:szCs w:val="22"/>
              </w:rPr>
              <w:t xml:space="preserve"> 行业。</w:t>
            </w:r>
          </w:p>
          <w:p w14:paraId="60A14877">
            <w:pPr>
              <w:spacing w:line="360" w:lineRule="exact"/>
              <w:rPr>
                <w:rFonts w:hint="eastAsia" w:ascii="宋体" w:hAnsi="宋体" w:cs="宋体"/>
                <w:color w:val="auto"/>
                <w:sz w:val="22"/>
                <w:szCs w:val="22"/>
              </w:rPr>
            </w:pPr>
            <w:r>
              <w:rPr>
                <w:rFonts w:hint="eastAsia" w:ascii="宋体" w:hAnsi="宋体" w:cs="宋体"/>
                <w:color w:val="auto"/>
                <w:sz w:val="22"/>
                <w:szCs w:val="22"/>
              </w:rPr>
              <w:t>（2）中小企业划型标准：根据（关于印发《中小企业划型标准规定》的通知）（工信部联企业【2</w:t>
            </w:r>
            <w:r>
              <w:rPr>
                <w:rFonts w:ascii="宋体" w:hAnsi="宋体" w:cs="宋体"/>
                <w:color w:val="auto"/>
                <w:sz w:val="22"/>
                <w:szCs w:val="22"/>
              </w:rPr>
              <w:t>011</w:t>
            </w:r>
            <w:r>
              <w:rPr>
                <w:rFonts w:hint="eastAsia" w:ascii="宋体" w:hAnsi="宋体" w:cs="宋体"/>
                <w:color w:val="auto"/>
                <w:sz w:val="22"/>
                <w:szCs w:val="22"/>
              </w:rPr>
              <w:t>】3</w:t>
            </w:r>
            <w:r>
              <w:rPr>
                <w:rFonts w:ascii="宋体" w:hAnsi="宋体" w:cs="宋体"/>
                <w:color w:val="auto"/>
                <w:sz w:val="22"/>
                <w:szCs w:val="22"/>
              </w:rPr>
              <w:t>00</w:t>
            </w:r>
            <w:r>
              <w:rPr>
                <w:rFonts w:hint="eastAsia" w:ascii="宋体" w:hAnsi="宋体" w:cs="宋体"/>
                <w:color w:val="auto"/>
                <w:sz w:val="22"/>
                <w:szCs w:val="22"/>
              </w:rPr>
              <w:t>号）的文件规定确定。</w:t>
            </w:r>
          </w:p>
          <w:p w14:paraId="6E85993F">
            <w:pPr>
              <w:spacing w:line="360" w:lineRule="exact"/>
              <w:rPr>
                <w:rFonts w:hint="eastAsia" w:ascii="宋体" w:hAnsi="宋体" w:cs="宋体"/>
                <w:color w:val="auto"/>
                <w:sz w:val="22"/>
                <w:szCs w:val="22"/>
              </w:rPr>
            </w:pPr>
            <w:r>
              <w:rPr>
                <w:rFonts w:hint="eastAsia" w:ascii="宋体" w:hAnsi="宋体" w:cs="宋体"/>
                <w:color w:val="auto"/>
                <w:sz w:val="22"/>
                <w:szCs w:val="22"/>
              </w:rPr>
              <w:t>2、根据财政部发布的《政府采购促进中小企业发展管理办法》财库（2020）46号、《浙江省财政厅关于进一步发挥政府采购政策功能全力推动经济稳进提质的通知》（浙财采监〔2022〕3号）、（浙财采监〔2022〕</w:t>
            </w:r>
            <w:r>
              <w:rPr>
                <w:rFonts w:ascii="宋体" w:hAnsi="宋体" w:cs="宋体"/>
                <w:color w:val="auto"/>
                <w:sz w:val="22"/>
                <w:szCs w:val="22"/>
              </w:rPr>
              <w:t>8</w:t>
            </w:r>
            <w:r>
              <w:rPr>
                <w:rFonts w:hint="eastAsia" w:ascii="宋体" w:hAnsi="宋体" w:cs="宋体"/>
                <w:color w:val="auto"/>
                <w:sz w:val="22"/>
                <w:szCs w:val="22"/>
              </w:rPr>
              <w:t>号）、（财库〔2022〕19号）的相关规定：</w:t>
            </w:r>
          </w:p>
          <w:p w14:paraId="461893A7">
            <w:pPr>
              <w:spacing w:line="360" w:lineRule="exact"/>
              <w:ind w:firstLine="110" w:firstLineChars="50"/>
              <w:rPr>
                <w:rFonts w:hint="eastAsia" w:ascii="宋体" w:hAnsi="宋体" w:cs="宋体"/>
                <w:color w:val="auto"/>
                <w:sz w:val="22"/>
                <w:szCs w:val="22"/>
              </w:rPr>
            </w:pPr>
            <w:r>
              <w:rPr>
                <w:rFonts w:hint="eastAsia" w:ascii="宋体" w:hAnsi="宋体" w:cs="宋体"/>
                <w:color w:val="auto"/>
                <w:sz w:val="22"/>
                <w:szCs w:val="22"/>
              </w:rPr>
              <w:t>2.1.是否为预留份额项目：</w:t>
            </w:r>
          </w:p>
          <w:p w14:paraId="56AA141C">
            <w:pPr>
              <w:spacing w:line="360" w:lineRule="exact"/>
              <w:rPr>
                <w:rFonts w:hint="eastAsia" w:ascii="宋体" w:hAnsi="宋体" w:cs="宋体"/>
                <w:color w:val="auto"/>
                <w:sz w:val="22"/>
                <w:szCs w:val="22"/>
              </w:rPr>
            </w:pPr>
            <w:r>
              <w:rPr>
                <w:rFonts w:hint="eastAsia" w:ascii="宋体" w:hAnsi="宋体" w:cs="宋体"/>
                <w:b/>
                <w:snapToGrid w:val="0"/>
                <w:color w:val="auto"/>
                <w:sz w:val="22"/>
                <w:szCs w:val="22"/>
              </w:rPr>
              <w:sym w:font="Wingdings" w:char="00FE"/>
            </w:r>
            <w:r>
              <w:rPr>
                <w:rFonts w:hint="eastAsia" w:ascii="宋体" w:hAnsi="宋体" w:cs="宋体"/>
                <w:color w:val="auto"/>
                <w:sz w:val="22"/>
                <w:szCs w:val="22"/>
              </w:rPr>
              <w:t>本项目为预留份额项目，专门面向中小企业采购。</w:t>
            </w:r>
          </w:p>
          <w:p w14:paraId="05C5E8AB">
            <w:pPr>
              <w:spacing w:line="360" w:lineRule="exact"/>
              <w:ind w:left="220" w:hanging="220" w:hangingChars="100"/>
              <w:rPr>
                <w:rFonts w:hint="eastAsia" w:ascii="宋体" w:hAnsi="宋体" w:cs="宋体"/>
                <w:color w:val="auto"/>
                <w:sz w:val="22"/>
                <w:szCs w:val="22"/>
              </w:rPr>
            </w:pPr>
            <w:r>
              <w:rPr>
                <w:rFonts w:hint="eastAsia" w:ascii="宋体" w:hAnsi="宋体" w:cs="宋体"/>
                <w:color w:val="auto"/>
                <w:sz w:val="22"/>
                <w:szCs w:val="22"/>
              </w:rPr>
              <w:sym w:font="Wingdings" w:char="00A8"/>
            </w:r>
            <w:r>
              <w:rPr>
                <w:rFonts w:hint="eastAsia" w:ascii="宋体" w:hAnsi="宋体" w:cs="宋体"/>
                <w:color w:val="auto"/>
                <w:sz w:val="22"/>
                <w:szCs w:val="22"/>
              </w:rPr>
              <w:t>本项目为非预留份额项目、非专门面向中小企业的项目</w:t>
            </w:r>
          </w:p>
          <w:p w14:paraId="4EFD127E">
            <w:pPr>
              <w:spacing w:line="360" w:lineRule="exact"/>
              <w:ind w:left="220" w:hanging="220" w:hangingChars="100"/>
              <w:rPr>
                <w:rFonts w:hint="eastAsia" w:ascii="宋体" w:hAnsi="宋体" w:cs="宋体"/>
                <w:color w:val="auto"/>
                <w:sz w:val="22"/>
                <w:szCs w:val="22"/>
              </w:rPr>
            </w:pPr>
            <w:r>
              <w:rPr>
                <w:rFonts w:hint="eastAsia" w:ascii="宋体" w:hAnsi="宋体" w:cs="宋体"/>
                <w:color w:val="auto"/>
                <w:sz w:val="22"/>
                <w:szCs w:val="22"/>
              </w:rPr>
              <w:sym w:font="Wingdings" w:char="00A8"/>
            </w:r>
            <w:r>
              <w:rPr>
                <w:rFonts w:hint="eastAsia" w:ascii="宋体" w:hAnsi="宋体" w:cs="宋体"/>
                <w:color w:val="auto"/>
                <w:sz w:val="22"/>
                <w:szCs w:val="22"/>
              </w:rPr>
              <w:t>在评审时对小型和微型企业报价给予</w:t>
            </w:r>
            <w:r>
              <w:rPr>
                <w:rFonts w:hint="eastAsia" w:ascii="宋体" w:hAnsi="宋体" w:cs="宋体"/>
                <w:color w:val="auto"/>
                <w:sz w:val="22"/>
                <w:szCs w:val="22"/>
                <w:u w:val="single"/>
              </w:rPr>
              <w:t>10</w:t>
            </w:r>
            <w:r>
              <w:rPr>
                <w:rFonts w:hint="eastAsia" w:ascii="宋体" w:hAnsi="宋体" w:cs="宋体"/>
                <w:color w:val="auto"/>
                <w:sz w:val="22"/>
                <w:szCs w:val="22"/>
              </w:rPr>
              <w:t>%（工程项目为5%）的扣除，用扣除后的价格参加评审。适用招标投标法的政府采购工程建设项目，采用综合评估法但未采用低价优先法计算价格分，评标时在采用原报价进行评分的基础上增加其价格得分的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宋体"/>
                <w:color w:val="auto"/>
                <w:sz w:val="22"/>
                <w:szCs w:val="22"/>
                <w:u w:val="single"/>
              </w:rPr>
              <w:t xml:space="preserve"> </w:t>
            </w:r>
            <w:r>
              <w:rPr>
                <w:rFonts w:ascii="宋体" w:hAnsi="宋体" w:cs="宋体"/>
                <w:color w:val="auto"/>
                <w:sz w:val="22"/>
                <w:szCs w:val="22"/>
                <w:u w:val="single"/>
              </w:rPr>
              <w:t>/</w:t>
            </w:r>
            <w:r>
              <w:rPr>
                <w:rFonts w:hint="eastAsia" w:ascii="宋体" w:hAnsi="宋体" w:cs="宋体"/>
                <w:color w:val="auto"/>
                <w:sz w:val="22"/>
                <w:szCs w:val="22"/>
                <w:u w:val="single"/>
              </w:rPr>
              <w:t xml:space="preserve">  </w:t>
            </w:r>
            <w:r>
              <w:rPr>
                <w:rFonts w:hint="eastAsia" w:ascii="宋体" w:hAnsi="宋体" w:cs="宋体"/>
                <w:color w:val="auto"/>
                <w:sz w:val="22"/>
                <w:szCs w:val="22"/>
              </w:rPr>
              <w:t>%（3%-5%）作为其价格分。</w:t>
            </w:r>
          </w:p>
          <w:p w14:paraId="01E6BDA9">
            <w:pPr>
              <w:spacing w:line="360" w:lineRule="exact"/>
              <w:rPr>
                <w:rFonts w:hint="eastAsia" w:ascii="宋体" w:hAnsi="宋体" w:cs="宋体"/>
                <w:color w:val="auto"/>
                <w:sz w:val="22"/>
                <w:szCs w:val="22"/>
              </w:rPr>
            </w:pPr>
            <w:r>
              <w:rPr>
                <w:rFonts w:hint="eastAsia" w:ascii="宋体" w:hAnsi="宋体" w:cs="宋体"/>
                <w:color w:val="auto"/>
                <w:sz w:val="22"/>
                <w:szCs w:val="22"/>
              </w:rPr>
              <w:sym w:font="Wingdings" w:char="00A8"/>
            </w:r>
            <w:r>
              <w:rPr>
                <w:rFonts w:hint="eastAsia" w:ascii="宋体" w:hAnsi="宋体" w:cs="宋体"/>
                <w:color w:val="auto"/>
                <w:sz w:val="22"/>
                <w:szCs w:val="22"/>
              </w:rPr>
              <w:t>本项目为</w:t>
            </w:r>
            <w:r>
              <w:rPr>
                <w:rFonts w:hint="eastAsia" w:ascii="宋体" w:hAnsi="宋体" w:cs="宋体"/>
                <w:color w:val="auto"/>
                <w:sz w:val="22"/>
                <w:szCs w:val="22"/>
              </w:rPr>
              <w:sym w:font="Wingdings" w:char="00A8"/>
            </w:r>
            <w:r>
              <w:rPr>
                <w:rFonts w:hint="eastAsia" w:ascii="宋体" w:hAnsi="宋体" w:cs="宋体"/>
                <w:color w:val="auto"/>
                <w:sz w:val="22"/>
                <w:szCs w:val="22"/>
              </w:rPr>
              <w:t>接受大中型企业与小微企业组成联合体、</w:t>
            </w:r>
            <w:r>
              <w:rPr>
                <w:rFonts w:hint="eastAsia" w:ascii="宋体" w:hAnsi="宋体" w:cs="宋体"/>
                <w:color w:val="auto"/>
                <w:sz w:val="22"/>
                <w:szCs w:val="22"/>
              </w:rPr>
              <w:sym w:font="Wingdings" w:char="00A8"/>
            </w:r>
            <w:r>
              <w:rPr>
                <w:rFonts w:hint="eastAsia" w:ascii="宋体" w:hAnsi="宋体" w:cs="宋体"/>
                <w:color w:val="auto"/>
                <w:sz w:val="22"/>
                <w:szCs w:val="22"/>
              </w:rPr>
              <w:t>允许大中型企业向一家或者多家小微企业分包的采购项目，对于联合协议或者分包意向协议约定小微企业的合同份额占到合同总金额30%以上的，对联合体或者大中型企业的报价给予</w:t>
            </w:r>
            <w:r>
              <w:rPr>
                <w:rFonts w:ascii="宋体" w:hAnsi="宋体" w:cs="宋体"/>
                <w:color w:val="auto"/>
                <w:sz w:val="22"/>
                <w:szCs w:val="22"/>
                <w:u w:val="single"/>
              </w:rPr>
              <w:t>/</w:t>
            </w:r>
            <w:r>
              <w:rPr>
                <w:rFonts w:hint="eastAsia" w:ascii="宋体" w:hAnsi="宋体" w:cs="宋体"/>
                <w:color w:val="auto"/>
                <w:sz w:val="22"/>
                <w:szCs w:val="22"/>
                <w:u w:val="single"/>
              </w:rPr>
              <w:t xml:space="preserve"> </w:t>
            </w:r>
            <w:r>
              <w:rPr>
                <w:rFonts w:hint="eastAsia" w:ascii="宋体" w:hAnsi="宋体" w:cs="宋体"/>
                <w:color w:val="auto"/>
                <w:sz w:val="22"/>
                <w:szCs w:val="22"/>
              </w:rPr>
              <w:t>%（2%-3%），工程项目为</w:t>
            </w:r>
            <w:r>
              <w:rPr>
                <w:rFonts w:hint="eastAsia" w:ascii="宋体" w:hAnsi="宋体" w:cs="宋体"/>
                <w:color w:val="auto"/>
                <w:sz w:val="22"/>
                <w:szCs w:val="22"/>
                <w:u w:val="single"/>
              </w:rPr>
              <w:t xml:space="preserve"> </w:t>
            </w:r>
            <w:r>
              <w:rPr>
                <w:rFonts w:ascii="宋体" w:hAnsi="宋体" w:cs="宋体"/>
                <w:color w:val="auto"/>
                <w:sz w:val="22"/>
                <w:szCs w:val="22"/>
                <w:u w:val="single"/>
              </w:rPr>
              <w:t>/</w:t>
            </w:r>
            <w:r>
              <w:rPr>
                <w:rFonts w:hint="eastAsia" w:ascii="宋体" w:hAnsi="宋体" w:cs="宋体"/>
                <w:color w:val="auto"/>
                <w:sz w:val="22"/>
                <w:szCs w:val="22"/>
                <w:u w:val="single"/>
              </w:rPr>
              <w:t xml:space="preserve"> %（1%—2%）</w:t>
            </w:r>
            <w:r>
              <w:rPr>
                <w:rFonts w:hint="eastAsia" w:ascii="宋体" w:hAnsi="宋体" w:cs="宋体"/>
                <w:color w:val="auto"/>
                <w:sz w:val="22"/>
                <w:szCs w:val="22"/>
              </w:rPr>
              <w:t>的扣除，用扣除后的价格参加评审。</w:t>
            </w:r>
            <w:r>
              <w:rPr>
                <w:rFonts w:hint="eastAsia" w:ascii="宋体" w:hAnsi="宋体" w:cs="宋体"/>
                <w:color w:val="auto"/>
                <w:sz w:val="22"/>
                <w:szCs w:val="22"/>
              </w:rPr>
              <w:sym w:font="Wingdings" w:char="00A8"/>
            </w:r>
            <w:r>
              <w:rPr>
                <w:rFonts w:hint="eastAsia" w:ascii="宋体" w:hAnsi="宋体" w:cs="宋体"/>
                <w:color w:val="auto"/>
                <w:sz w:val="22"/>
                <w:szCs w:val="22"/>
              </w:rPr>
              <w:t>本项目为适用招标投标法的政府采购工程建设项目，采用综合评估法但未采用低价优先法计算价格分，评标时在采用原报价进行评分的基础上增加其价格得分的</w:t>
            </w:r>
            <w:r>
              <w:rPr>
                <w:rFonts w:hint="eastAsia" w:ascii="宋体" w:hAnsi="宋体" w:cs="宋体"/>
                <w:color w:val="auto"/>
                <w:sz w:val="22"/>
                <w:szCs w:val="22"/>
                <w:u w:val="single"/>
              </w:rPr>
              <w:t xml:space="preserve"> </w:t>
            </w:r>
            <w:r>
              <w:rPr>
                <w:rFonts w:ascii="宋体" w:hAnsi="宋体" w:cs="宋体"/>
                <w:color w:val="auto"/>
                <w:sz w:val="22"/>
                <w:szCs w:val="22"/>
                <w:u w:val="single"/>
              </w:rPr>
              <w:t>/</w:t>
            </w:r>
            <w:r>
              <w:rPr>
                <w:rFonts w:hint="eastAsia" w:ascii="宋体" w:hAnsi="宋体" w:cs="宋体"/>
                <w:color w:val="auto"/>
                <w:sz w:val="22"/>
                <w:szCs w:val="22"/>
              </w:rPr>
              <w:t xml:space="preserve"> %（1%—2%）作为其价格分。</w:t>
            </w:r>
          </w:p>
          <w:p w14:paraId="6EF868DB">
            <w:pPr>
              <w:spacing w:line="360" w:lineRule="exact"/>
              <w:rPr>
                <w:rFonts w:hint="eastAsia" w:ascii="宋体" w:hAnsi="宋体" w:cs="宋体"/>
                <w:color w:val="auto"/>
                <w:sz w:val="22"/>
                <w:szCs w:val="22"/>
              </w:rPr>
            </w:pPr>
            <w:r>
              <w:rPr>
                <w:rFonts w:hint="eastAsia" w:ascii="宋体" w:hAnsi="宋体" w:cs="宋体"/>
                <w:color w:val="auto"/>
                <w:sz w:val="22"/>
                <w:szCs w:val="22"/>
              </w:rPr>
              <w:t>2.2组成联合体或者接受分包的小微企业与联合体内其他企业、分包企业之间存在直接控 股、管理关系的，不享受价格扣除优惠政策。</w:t>
            </w:r>
          </w:p>
          <w:p w14:paraId="4FCCF6B3">
            <w:pPr>
              <w:spacing w:line="360" w:lineRule="exact"/>
              <w:rPr>
                <w:rFonts w:hint="eastAsia" w:ascii="宋体" w:hAnsi="宋体" w:cs="宋体"/>
                <w:color w:val="auto"/>
                <w:sz w:val="22"/>
                <w:szCs w:val="22"/>
              </w:rPr>
            </w:pPr>
            <w:r>
              <w:rPr>
                <w:rFonts w:hint="eastAsia" w:ascii="宋体" w:hAnsi="宋体" w:cs="宋体"/>
                <w:color w:val="auto"/>
                <w:sz w:val="22"/>
                <w:szCs w:val="22"/>
              </w:rPr>
              <w:t>2.3价格扣除比例或者价格分加分比例对小型企业和微型企业同等对待，不作区分。</w:t>
            </w:r>
          </w:p>
          <w:p w14:paraId="7825C925">
            <w:pPr>
              <w:spacing w:line="360" w:lineRule="exact"/>
              <w:rPr>
                <w:rFonts w:hint="eastAsia" w:ascii="宋体" w:hAnsi="宋体" w:cs="宋体"/>
                <w:color w:val="auto"/>
                <w:sz w:val="22"/>
                <w:szCs w:val="22"/>
              </w:rPr>
            </w:pPr>
            <w:r>
              <w:rPr>
                <w:rFonts w:hint="eastAsia" w:ascii="宋体" w:hAnsi="宋体" w:cs="宋体"/>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15D5ADA9">
            <w:pPr>
              <w:spacing w:line="360" w:lineRule="exact"/>
              <w:rPr>
                <w:rFonts w:hint="eastAsia" w:ascii="宋体" w:hAnsi="宋体" w:cs="宋体"/>
                <w:color w:val="auto"/>
                <w:sz w:val="22"/>
                <w:szCs w:val="22"/>
              </w:rPr>
            </w:pPr>
            <w:r>
              <w:rPr>
                <w:rFonts w:hint="eastAsia" w:ascii="宋体" w:hAnsi="宋体" w:cs="宋体"/>
                <w:color w:val="auto"/>
                <w:sz w:val="22"/>
                <w:szCs w:val="22"/>
              </w:rPr>
              <w:t>2.5接受分包的项目，享受扶持政策获得政府采购合同的，小微企业不得将合同分包给大中型企业，中型企业不得将合同分包给大型企业。</w:t>
            </w:r>
          </w:p>
          <w:p w14:paraId="01DEB401">
            <w:pPr>
              <w:spacing w:line="360" w:lineRule="exact"/>
              <w:rPr>
                <w:rFonts w:hint="eastAsia" w:ascii="宋体" w:hAnsi="宋体" w:cs="宋体"/>
                <w:color w:val="auto"/>
                <w:sz w:val="22"/>
                <w:szCs w:val="22"/>
              </w:rPr>
            </w:pPr>
            <w:r>
              <w:rPr>
                <w:rFonts w:hint="eastAsia" w:ascii="宋体" w:hAnsi="宋体" w:cs="宋体"/>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06D6D10A">
            <w:pPr>
              <w:spacing w:line="360" w:lineRule="exact"/>
              <w:rPr>
                <w:rFonts w:hint="eastAsia" w:ascii="宋体" w:hAnsi="宋体" w:cs="宋体"/>
                <w:color w:val="auto"/>
                <w:sz w:val="22"/>
                <w:szCs w:val="22"/>
              </w:rPr>
            </w:pPr>
            <w:r>
              <w:rPr>
                <w:rFonts w:hint="eastAsia" w:ascii="宋体" w:hAnsi="宋体" w:cs="宋体"/>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59B3AEC6">
            <w:pPr>
              <w:spacing w:line="360" w:lineRule="exact"/>
              <w:rPr>
                <w:rFonts w:hint="eastAsia" w:ascii="宋体" w:hAnsi="宋体" w:cs="宋体"/>
                <w:color w:val="auto"/>
                <w:kern w:val="0"/>
                <w:sz w:val="22"/>
                <w:szCs w:val="22"/>
              </w:rPr>
            </w:pPr>
            <w:r>
              <w:rPr>
                <w:rFonts w:hint="eastAsia" w:ascii="宋体" w:hAnsi="宋体" w:cs="宋体"/>
                <w:b/>
                <w:bCs/>
                <w:color w:val="auto"/>
                <w:sz w:val="22"/>
                <w:szCs w:val="22"/>
              </w:rPr>
              <w:t>(注：未提供以上材料的，均不给予价格扣除，以上优惠政策只享受一次）。</w:t>
            </w:r>
          </w:p>
        </w:tc>
      </w:tr>
      <w:tr w14:paraId="033E4FDB">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11DB8DDD">
            <w:pPr>
              <w:spacing w:line="360" w:lineRule="exact"/>
              <w:jc w:val="center"/>
              <w:rPr>
                <w:rFonts w:hint="eastAsia" w:ascii="宋体" w:hAnsi="宋体" w:cs="宋体"/>
                <w:bCs/>
                <w:color w:val="auto"/>
                <w:kern w:val="0"/>
                <w:sz w:val="22"/>
                <w:szCs w:val="22"/>
              </w:rPr>
            </w:pPr>
            <w:r>
              <w:rPr>
                <w:rFonts w:hint="eastAsia" w:ascii="宋体" w:hAnsi="宋体" w:cs="宋体"/>
                <w:bCs/>
                <w:color w:val="auto"/>
                <w:sz w:val="22"/>
                <w:szCs w:val="22"/>
              </w:rPr>
              <w:t>是否允许采购进口产品</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AA62F8B">
            <w:pPr>
              <w:spacing w:line="360" w:lineRule="exact"/>
              <w:rPr>
                <w:rFonts w:hint="eastAsia" w:ascii="宋体" w:hAnsi="宋体" w:cs="宋体"/>
                <w:bCs/>
                <w:color w:val="auto"/>
                <w:kern w:val="0"/>
                <w:sz w:val="22"/>
                <w:szCs w:val="22"/>
              </w:rPr>
            </w:pPr>
            <w:r>
              <w:rPr>
                <w:rFonts w:hint="eastAsia" w:ascii="宋体" w:hAnsi="宋体" w:cs="宋体"/>
                <w:color w:val="auto"/>
                <w:sz w:val="22"/>
                <w:szCs w:val="22"/>
              </w:rPr>
              <w:sym w:font="Wingdings" w:char="F0FE"/>
            </w:r>
            <w:r>
              <w:rPr>
                <w:rFonts w:hint="eastAsia" w:ascii="宋体" w:hAnsi="宋体" w:cs="宋体"/>
                <w:bCs/>
                <w:color w:val="auto"/>
                <w:kern w:val="0"/>
                <w:sz w:val="22"/>
                <w:szCs w:val="22"/>
              </w:rPr>
              <w:t>本项目不允许采购进口产品。</w:t>
            </w:r>
          </w:p>
          <w:p w14:paraId="494B4C2E">
            <w:pPr>
              <w:spacing w:line="360" w:lineRule="exact"/>
              <w:rPr>
                <w:rFonts w:hint="eastAsia" w:ascii="宋体" w:hAnsi="宋体" w:cs="宋体"/>
                <w:b/>
                <w:bCs/>
                <w:color w:val="auto"/>
                <w:sz w:val="22"/>
                <w:szCs w:val="22"/>
              </w:rPr>
            </w:pPr>
            <w:r>
              <w:rPr>
                <w:rFonts w:hint="eastAsia" w:ascii="宋体" w:hAnsi="宋体" w:cs="宋体"/>
                <w:bCs/>
                <w:color w:val="auto"/>
                <w:kern w:val="0"/>
                <w:sz w:val="22"/>
                <w:szCs w:val="22"/>
              </w:rPr>
              <w:sym w:font="Wingdings" w:char="00A8"/>
            </w:r>
            <w:r>
              <w:rPr>
                <w:rFonts w:hint="eastAsia" w:ascii="宋体" w:hAnsi="宋体" w:cs="宋体"/>
                <w:bCs/>
                <w:color w:val="auto"/>
                <w:kern w:val="0"/>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7002F1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01CBC53D">
            <w:pPr>
              <w:spacing w:line="360" w:lineRule="exact"/>
              <w:jc w:val="center"/>
              <w:rPr>
                <w:rFonts w:hint="eastAsia" w:ascii="宋体" w:hAnsi="宋体" w:cs="宋体"/>
                <w:bCs/>
                <w:color w:val="auto"/>
                <w:sz w:val="22"/>
                <w:szCs w:val="22"/>
              </w:rPr>
            </w:pPr>
            <w:r>
              <w:rPr>
                <w:rFonts w:hint="eastAsia" w:ascii="宋体" w:hAnsi="宋体" w:cs="宋体"/>
                <w:color w:val="auto"/>
                <w:sz w:val="22"/>
                <w:szCs w:val="22"/>
              </w:rPr>
              <w:t>政府采购信用融资</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648BC547">
            <w:pPr>
              <w:spacing w:line="360" w:lineRule="exact"/>
              <w:rPr>
                <w:rFonts w:hint="eastAsia"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87E4ADB">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8F3FB80">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履约保证金</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05448EED">
            <w:pPr>
              <w:spacing w:line="360" w:lineRule="exact"/>
              <w:rPr>
                <w:rFonts w:hint="eastAsia" w:ascii="宋体" w:hAnsi="宋体" w:cs="宋体"/>
                <w:color w:val="auto"/>
                <w:kern w:val="0"/>
                <w:sz w:val="22"/>
                <w:szCs w:val="22"/>
              </w:rPr>
            </w:pPr>
            <w:r>
              <w:rPr>
                <w:rFonts w:hint="eastAsia" w:ascii="宋体" w:hAnsi="宋体" w:cs="宋体"/>
                <w:color w:val="auto"/>
                <w:kern w:val="0"/>
                <w:sz w:val="22"/>
                <w:szCs w:val="22"/>
              </w:rPr>
              <w:t>履约担保</w:t>
            </w:r>
            <w:r>
              <w:rPr>
                <w:rFonts w:hint="eastAsia" w:ascii="宋体" w:hAnsi="宋体" w:cs="宋体"/>
                <w:color w:val="auto"/>
                <w:sz w:val="22"/>
                <w:szCs w:val="22"/>
              </w:rPr>
              <w:t>的形式：接受支票、汇票、本票或者金融机构、担保机构出具的保函等非现金形式。</w:t>
            </w:r>
          </w:p>
          <w:p w14:paraId="05246FB3">
            <w:pPr>
              <w:spacing w:line="360" w:lineRule="exact"/>
              <w:rPr>
                <w:rFonts w:hint="eastAsia"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14:paraId="13D8C8BB">
            <w:pPr>
              <w:spacing w:line="360" w:lineRule="exact"/>
              <w:rPr>
                <w:rFonts w:hint="eastAsia" w:ascii="宋体" w:hAnsi="宋体" w:cs="宋体"/>
                <w:color w:val="auto"/>
                <w:sz w:val="22"/>
                <w:szCs w:val="22"/>
              </w:rPr>
            </w:pPr>
            <w:r>
              <w:rPr>
                <w:rFonts w:hint="eastAsia" w:ascii="宋体" w:hAnsi="宋体" w:cs="宋体"/>
                <w:color w:val="auto"/>
                <w:sz w:val="22"/>
                <w:szCs w:val="22"/>
              </w:rPr>
              <w:t>成交供应商在接到成交通知书签订合同后</w:t>
            </w:r>
            <w:r>
              <w:rPr>
                <w:rFonts w:hint="eastAsia" w:ascii="宋体" w:hAnsi="宋体" w:cs="宋体"/>
                <w:color w:val="auto"/>
                <w:sz w:val="22"/>
                <w:szCs w:val="22"/>
                <w:lang w:val="en-US" w:eastAsia="zh-CN"/>
              </w:rPr>
              <w:t>7</w:t>
            </w:r>
            <w:r>
              <w:rPr>
                <w:rFonts w:hint="eastAsia" w:ascii="宋体" w:hAnsi="宋体" w:cs="宋体"/>
                <w:color w:val="auto"/>
                <w:sz w:val="22"/>
                <w:szCs w:val="22"/>
              </w:rPr>
              <w:t>个工作日内须向采购人提交履约担保，并且要保证履约担保在合同履行期间的有效性。</w:t>
            </w:r>
          </w:p>
        </w:tc>
      </w:tr>
      <w:tr w14:paraId="4816912C">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03A9B6BC">
            <w:pPr>
              <w:spacing w:line="360" w:lineRule="exact"/>
              <w:jc w:val="center"/>
              <w:rPr>
                <w:rFonts w:hint="eastAsia" w:ascii="宋体" w:hAnsi="宋体"/>
                <w:color w:val="auto"/>
                <w:sz w:val="22"/>
                <w:szCs w:val="22"/>
              </w:rPr>
            </w:pPr>
            <w:r>
              <w:rPr>
                <w:rFonts w:hint="eastAsia" w:ascii="宋体" w:hAnsi="宋体"/>
                <w:color w:val="auto"/>
                <w:sz w:val="22"/>
                <w:szCs w:val="22"/>
              </w:rPr>
              <w:t>付款方式</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F73C94E">
            <w:pPr>
              <w:spacing w:line="360" w:lineRule="exact"/>
              <w:rPr>
                <w:rFonts w:ascii="宋体" w:hAnsi="宋体"/>
                <w:b/>
                <w:color w:val="auto"/>
                <w:sz w:val="22"/>
                <w:szCs w:val="22"/>
                <w:u w:val="single"/>
              </w:rPr>
            </w:pPr>
            <w:r>
              <w:rPr>
                <w:rFonts w:hint="eastAsia" w:ascii="宋体" w:hAnsi="宋体"/>
                <w:b/>
                <w:color w:val="auto"/>
                <w:sz w:val="22"/>
                <w:szCs w:val="22"/>
                <w:u w:val="single"/>
              </w:rPr>
              <w:t>1）合同签订后，</w:t>
            </w:r>
            <w:r>
              <w:rPr>
                <w:rFonts w:hint="eastAsia" w:ascii="宋体" w:hAnsi="宋体"/>
                <w:b/>
                <w:color w:val="auto"/>
                <w:sz w:val="22"/>
                <w:szCs w:val="22"/>
                <w:u w:val="single"/>
                <w:lang w:val="en-US" w:eastAsia="zh-CN"/>
              </w:rPr>
              <w:t>待财政资金下达后</w:t>
            </w:r>
            <w:r>
              <w:rPr>
                <w:rFonts w:hint="eastAsia" w:ascii="宋体" w:hAnsi="宋体"/>
                <w:b/>
                <w:color w:val="auto"/>
                <w:sz w:val="22"/>
                <w:szCs w:val="22"/>
                <w:u w:val="single"/>
              </w:rPr>
              <w:t>采购人支付合同总额30%的预付款；</w:t>
            </w:r>
          </w:p>
          <w:p w14:paraId="4F28B2F4">
            <w:pPr>
              <w:spacing w:line="360" w:lineRule="exact"/>
              <w:rPr>
                <w:rFonts w:ascii="宋体" w:hAnsi="宋体"/>
                <w:b/>
                <w:color w:val="auto"/>
                <w:sz w:val="22"/>
                <w:szCs w:val="22"/>
                <w:u w:val="single"/>
              </w:rPr>
            </w:pPr>
            <w:r>
              <w:rPr>
                <w:rFonts w:hint="eastAsia" w:ascii="宋体" w:hAnsi="宋体"/>
                <w:b/>
                <w:color w:val="auto"/>
                <w:sz w:val="22"/>
                <w:szCs w:val="22"/>
                <w:u w:val="single"/>
              </w:rPr>
              <w:t>2）工程竣工验收合格后，</w:t>
            </w:r>
            <w:r>
              <w:rPr>
                <w:rFonts w:hint="eastAsia" w:ascii="宋体" w:hAnsi="宋体"/>
                <w:b/>
                <w:color w:val="auto"/>
                <w:sz w:val="22"/>
                <w:szCs w:val="22"/>
                <w:u w:val="single"/>
                <w:lang w:val="en-US" w:eastAsia="zh-CN"/>
              </w:rPr>
              <w:t>待财政资金下达后</w:t>
            </w:r>
            <w:r>
              <w:rPr>
                <w:rFonts w:hint="eastAsia" w:ascii="宋体" w:hAnsi="宋体"/>
                <w:b/>
                <w:color w:val="auto"/>
                <w:sz w:val="22"/>
                <w:szCs w:val="22"/>
                <w:u w:val="single"/>
              </w:rPr>
              <w:t>采购人付至已完成</w:t>
            </w:r>
            <w:r>
              <w:rPr>
                <w:rFonts w:hint="eastAsia" w:ascii="宋体" w:hAnsi="宋体"/>
                <w:b/>
                <w:color w:val="auto"/>
                <w:sz w:val="22"/>
                <w:szCs w:val="22"/>
                <w:u w:val="single"/>
                <w:lang w:val="en-US" w:eastAsia="zh-CN"/>
              </w:rPr>
              <w:t>合同总额</w:t>
            </w:r>
            <w:r>
              <w:rPr>
                <w:rFonts w:hint="eastAsia" w:ascii="宋体" w:hAnsi="宋体"/>
                <w:b/>
                <w:color w:val="auto"/>
                <w:sz w:val="22"/>
                <w:szCs w:val="22"/>
                <w:u w:val="single"/>
              </w:rPr>
              <w:t>80%的工程</w:t>
            </w:r>
            <w:r>
              <w:rPr>
                <w:rFonts w:hint="eastAsia" w:ascii="宋体" w:hAnsi="宋体"/>
                <w:b/>
                <w:color w:val="auto"/>
                <w:sz w:val="22"/>
                <w:szCs w:val="22"/>
                <w:u w:val="single"/>
                <w:lang w:val="en-US" w:eastAsia="zh-CN"/>
              </w:rPr>
              <w:t>进度款</w:t>
            </w:r>
            <w:r>
              <w:rPr>
                <w:rFonts w:hint="eastAsia" w:ascii="宋体" w:hAnsi="宋体"/>
                <w:b/>
                <w:color w:val="auto"/>
                <w:sz w:val="22"/>
                <w:szCs w:val="22"/>
                <w:u w:val="single"/>
              </w:rPr>
              <w:t>；</w:t>
            </w:r>
          </w:p>
          <w:p w14:paraId="2AD1A43A">
            <w:pPr>
              <w:spacing w:line="360" w:lineRule="exact"/>
              <w:rPr>
                <w:rFonts w:hint="eastAsia" w:ascii="宋体" w:hAnsi="宋体"/>
                <w:b/>
                <w:color w:val="auto"/>
                <w:sz w:val="22"/>
                <w:szCs w:val="22"/>
                <w:u w:val="single"/>
              </w:rPr>
            </w:pPr>
            <w:r>
              <w:rPr>
                <w:rFonts w:hint="eastAsia" w:ascii="宋体" w:hAnsi="宋体"/>
                <w:b/>
                <w:color w:val="auto"/>
                <w:sz w:val="22"/>
                <w:szCs w:val="22"/>
                <w:u w:val="single"/>
              </w:rPr>
              <w:t>3）竣工结算完成后，采购人付至结算价</w:t>
            </w:r>
            <w:r>
              <w:rPr>
                <w:rFonts w:hint="eastAsia" w:ascii="宋体" w:hAnsi="宋体"/>
                <w:b/>
                <w:color w:val="auto"/>
                <w:sz w:val="22"/>
                <w:szCs w:val="22"/>
                <w:u w:val="single"/>
                <w:lang w:eastAsia="zh-CN"/>
              </w:rPr>
              <w:t>（</w:t>
            </w:r>
            <w:r>
              <w:rPr>
                <w:rFonts w:hint="eastAsia" w:ascii="宋体" w:hAnsi="宋体"/>
                <w:b/>
                <w:color w:val="auto"/>
                <w:sz w:val="22"/>
                <w:szCs w:val="22"/>
                <w:u w:val="single"/>
                <w:lang w:val="en-US" w:eastAsia="zh-CN"/>
              </w:rPr>
              <w:t>以第三方审计为准</w:t>
            </w:r>
            <w:r>
              <w:rPr>
                <w:rFonts w:hint="eastAsia" w:ascii="宋体" w:hAnsi="宋体"/>
                <w:b/>
                <w:color w:val="auto"/>
                <w:sz w:val="22"/>
                <w:szCs w:val="22"/>
                <w:u w:val="single"/>
                <w:lang w:eastAsia="zh-CN"/>
              </w:rPr>
              <w:t>）</w:t>
            </w:r>
            <w:r>
              <w:rPr>
                <w:rFonts w:hint="eastAsia" w:ascii="宋体" w:hAnsi="宋体"/>
                <w:b/>
                <w:color w:val="auto"/>
                <w:sz w:val="22"/>
                <w:szCs w:val="22"/>
                <w:u w:val="single"/>
              </w:rPr>
              <w:t>的100%，同时无息退还履约保证金，承包人另行提交结算款的1.5%（允许使用银行转账或保函）作为工程质量保修担保金（不计利息）；</w:t>
            </w:r>
          </w:p>
          <w:p w14:paraId="1DA07D1D">
            <w:pPr>
              <w:spacing w:line="360" w:lineRule="exact"/>
              <w:rPr>
                <w:rFonts w:hint="eastAsia" w:ascii="宋体" w:hAnsi="宋体"/>
                <w:b/>
                <w:color w:val="auto"/>
                <w:sz w:val="22"/>
                <w:szCs w:val="22"/>
                <w:u w:val="single"/>
              </w:rPr>
            </w:pPr>
            <w:r>
              <w:rPr>
                <w:rFonts w:hint="eastAsia" w:ascii="宋体" w:hAnsi="宋体"/>
                <w:b/>
                <w:color w:val="auto"/>
                <w:sz w:val="22"/>
                <w:szCs w:val="22"/>
                <w:u w:val="single"/>
              </w:rPr>
              <w:t>4）竣工验收完成后2个月内必须提交工程结算资料，否则迟一天罚款1000元人民币；</w:t>
            </w:r>
          </w:p>
          <w:p w14:paraId="0D3C6F68">
            <w:pPr>
              <w:spacing w:line="360" w:lineRule="exact"/>
              <w:rPr>
                <w:rFonts w:hint="eastAsia" w:ascii="宋体" w:hAnsi="宋体"/>
                <w:b/>
                <w:color w:val="auto"/>
                <w:sz w:val="22"/>
                <w:szCs w:val="22"/>
                <w:u w:val="single"/>
              </w:rPr>
            </w:pPr>
            <w:r>
              <w:rPr>
                <w:rFonts w:hint="eastAsia" w:ascii="宋体" w:hAnsi="宋体"/>
                <w:b/>
                <w:color w:val="auto"/>
                <w:sz w:val="22"/>
                <w:szCs w:val="22"/>
                <w:u w:val="single"/>
              </w:rPr>
              <w:t>5）二年保修期满后，扣除由发包人垫付的应由承包人承担的维修款后，一次性退还（保修期从竣工验收存在问题全部整改完成并经核实之日起开始计算）。</w:t>
            </w:r>
          </w:p>
          <w:p w14:paraId="079B639B">
            <w:pPr>
              <w:snapToGrid w:val="0"/>
              <w:spacing w:line="440" w:lineRule="exact"/>
              <w:jc w:val="left"/>
              <w:rPr>
                <w:rFonts w:ascii="宋体" w:hAnsi="宋体"/>
                <w:b/>
                <w:color w:val="auto"/>
                <w:sz w:val="22"/>
                <w:szCs w:val="22"/>
                <w:u w:val="single"/>
              </w:rPr>
            </w:pPr>
            <w:r>
              <w:rPr>
                <w:rFonts w:hint="eastAsia" w:ascii="宋体" w:hAnsi="宋体"/>
                <w:b/>
                <w:color w:val="auto"/>
                <w:sz w:val="22"/>
                <w:szCs w:val="22"/>
                <w:u w:val="single"/>
                <w:lang w:val="en-US" w:eastAsia="zh-CN"/>
              </w:rPr>
              <w:t>6）</w:t>
            </w:r>
            <w:r>
              <w:rPr>
                <w:rFonts w:hint="eastAsia" w:ascii="宋体" w:hAnsi="宋体"/>
                <w:b/>
                <w:color w:val="auto"/>
                <w:sz w:val="22"/>
                <w:szCs w:val="22"/>
                <w:u w:val="single"/>
              </w:rPr>
              <w:t>保修期期间如出现质量问题，</w:t>
            </w:r>
            <w:r>
              <w:rPr>
                <w:rFonts w:hint="eastAsia" w:ascii="宋体" w:hAnsi="宋体"/>
                <w:b/>
                <w:color w:val="auto"/>
                <w:sz w:val="22"/>
                <w:szCs w:val="22"/>
                <w:u w:val="single"/>
                <w:lang w:val="en-US" w:eastAsia="zh-CN"/>
              </w:rPr>
              <w:t>成交供应商</w:t>
            </w:r>
            <w:r>
              <w:rPr>
                <w:rFonts w:hint="eastAsia" w:ascii="宋体" w:hAnsi="宋体"/>
                <w:b/>
                <w:color w:val="auto"/>
                <w:sz w:val="22"/>
                <w:szCs w:val="22"/>
                <w:u w:val="single"/>
              </w:rPr>
              <w:t>在接到</w:t>
            </w:r>
            <w:r>
              <w:rPr>
                <w:rFonts w:hint="eastAsia" w:ascii="宋体" w:hAnsi="宋体"/>
                <w:b/>
                <w:color w:val="auto"/>
                <w:sz w:val="22"/>
                <w:szCs w:val="22"/>
                <w:u w:val="single"/>
                <w:lang w:val="en-US" w:eastAsia="zh-CN"/>
              </w:rPr>
              <w:t>采购人</w:t>
            </w:r>
            <w:r>
              <w:rPr>
                <w:rFonts w:hint="eastAsia" w:ascii="宋体" w:hAnsi="宋体"/>
                <w:b/>
                <w:color w:val="auto"/>
                <w:sz w:val="22"/>
                <w:szCs w:val="22"/>
                <w:u w:val="single"/>
              </w:rPr>
              <w:t>维修通知后2天内没有响应，</w:t>
            </w:r>
            <w:r>
              <w:rPr>
                <w:rFonts w:hint="eastAsia" w:ascii="宋体" w:hAnsi="宋体"/>
                <w:b/>
                <w:color w:val="auto"/>
                <w:sz w:val="22"/>
                <w:szCs w:val="22"/>
                <w:u w:val="single"/>
                <w:lang w:val="en-US" w:eastAsia="zh-CN"/>
              </w:rPr>
              <w:t>采购人</w:t>
            </w:r>
            <w:r>
              <w:rPr>
                <w:rFonts w:hint="eastAsia" w:ascii="宋体" w:hAnsi="宋体"/>
                <w:b/>
                <w:color w:val="auto"/>
                <w:sz w:val="22"/>
                <w:szCs w:val="22"/>
                <w:u w:val="single"/>
              </w:rPr>
              <w:t>将自行委托维修，费用在工程质量保修担保金中扣除，并加收50%管理费用及罚金。</w:t>
            </w:r>
          </w:p>
          <w:p w14:paraId="5037DC0D">
            <w:pPr>
              <w:snapToGrid w:val="0"/>
              <w:spacing w:line="440" w:lineRule="atLeast"/>
              <w:rPr>
                <w:rFonts w:hint="eastAsia"/>
                <w:color w:val="auto"/>
              </w:rPr>
            </w:pPr>
            <w:r>
              <w:rPr>
                <w:rFonts w:hint="eastAsia" w:ascii="宋体" w:hAnsi="宋体"/>
                <w:b/>
                <w:color w:val="auto"/>
                <w:sz w:val="22"/>
                <w:szCs w:val="22"/>
                <w:u w:val="single"/>
                <w:lang w:val="en-US" w:eastAsia="zh-CN"/>
              </w:rPr>
              <w:t>7）成交供应商</w:t>
            </w:r>
            <w:r>
              <w:rPr>
                <w:rFonts w:hint="eastAsia" w:ascii="宋体" w:hAnsi="宋体"/>
                <w:b/>
                <w:color w:val="auto"/>
                <w:sz w:val="22"/>
                <w:szCs w:val="22"/>
                <w:u w:val="single"/>
              </w:rPr>
              <w:t>在预验收后，应该清运建筑垃圾及可能影响其他工程施工的材料。否则</w:t>
            </w:r>
            <w:r>
              <w:rPr>
                <w:rFonts w:hint="eastAsia" w:ascii="宋体" w:hAnsi="宋体"/>
                <w:b/>
                <w:color w:val="auto"/>
                <w:sz w:val="22"/>
                <w:szCs w:val="22"/>
                <w:u w:val="single"/>
                <w:lang w:val="en-US" w:eastAsia="zh-CN"/>
              </w:rPr>
              <w:t>采购人</w:t>
            </w:r>
            <w:r>
              <w:rPr>
                <w:rFonts w:hint="eastAsia" w:ascii="宋体" w:hAnsi="宋体"/>
                <w:b/>
                <w:color w:val="auto"/>
                <w:sz w:val="22"/>
                <w:szCs w:val="22"/>
                <w:u w:val="single"/>
              </w:rPr>
              <w:t>有权自行处理，费用由</w:t>
            </w:r>
            <w:r>
              <w:rPr>
                <w:rFonts w:hint="eastAsia" w:ascii="宋体" w:hAnsi="宋体"/>
                <w:b/>
                <w:color w:val="auto"/>
                <w:sz w:val="22"/>
                <w:szCs w:val="22"/>
                <w:u w:val="single"/>
                <w:lang w:val="en-US" w:eastAsia="zh-CN"/>
              </w:rPr>
              <w:t>成交供应商</w:t>
            </w:r>
            <w:r>
              <w:rPr>
                <w:rFonts w:hint="eastAsia" w:ascii="宋体" w:hAnsi="宋体"/>
                <w:b/>
                <w:color w:val="auto"/>
                <w:sz w:val="22"/>
                <w:szCs w:val="22"/>
                <w:u w:val="single"/>
              </w:rPr>
              <w:t>承担。</w:t>
            </w:r>
          </w:p>
        </w:tc>
      </w:tr>
      <w:tr w14:paraId="1BC21A7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42118207">
            <w:pPr>
              <w:spacing w:line="360" w:lineRule="exact"/>
              <w:jc w:val="center"/>
              <w:rPr>
                <w:rFonts w:hint="eastAsia" w:ascii="宋体" w:hAnsi="宋体"/>
                <w:color w:val="auto"/>
                <w:sz w:val="22"/>
                <w:szCs w:val="22"/>
              </w:rPr>
            </w:pPr>
            <w:r>
              <w:rPr>
                <w:rFonts w:hint="eastAsia" w:ascii="宋体" w:hAnsi="宋体" w:cs="宋体"/>
                <w:color w:val="auto"/>
                <w:kern w:val="0"/>
                <w:sz w:val="22"/>
                <w:szCs w:val="22"/>
              </w:rPr>
              <w:t>采购代理服务费</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3C17F2B">
            <w:pPr>
              <w:spacing w:line="360" w:lineRule="exact"/>
              <w:rPr>
                <w:rFonts w:hint="eastAsia" w:ascii="宋体" w:hAnsi="宋体" w:cs="宋体"/>
                <w:color w:val="auto"/>
                <w:sz w:val="22"/>
                <w:szCs w:val="22"/>
              </w:rPr>
            </w:pPr>
            <w:r>
              <w:rPr>
                <w:rFonts w:hint="eastAsia" w:ascii="宋体" w:hAnsi="宋体" w:cs="宋体"/>
                <w:bCs/>
                <w:caps/>
                <w:color w:val="auto"/>
                <w:sz w:val="22"/>
                <w:szCs w:val="22"/>
                <w:u w:val="single"/>
              </w:rPr>
              <w:t>1.</w:t>
            </w:r>
            <w:r>
              <w:rPr>
                <w:rFonts w:hint="eastAsia" w:ascii="宋体" w:hAnsi="宋体" w:cs="宋体"/>
                <w:bCs/>
                <w:color w:val="auto"/>
                <w:sz w:val="22"/>
                <w:szCs w:val="22"/>
                <w:u w:val="single"/>
              </w:rPr>
              <w:t>采购代理服务费系根据国家计委印发的《招标代理服务收费管理暂行办法》计价格【2002】1980号文（工程类）的规定按标准计算后下浮</w:t>
            </w:r>
            <w:r>
              <w:rPr>
                <w:rFonts w:hint="eastAsia" w:ascii="宋体" w:hAnsi="宋体" w:cs="宋体"/>
                <w:bCs/>
                <w:color w:val="auto"/>
                <w:sz w:val="22"/>
                <w:szCs w:val="22"/>
                <w:u w:val="single"/>
                <w:lang w:val="en-US" w:eastAsia="zh-CN"/>
              </w:rPr>
              <w:t>35</w:t>
            </w:r>
            <w:r>
              <w:rPr>
                <w:rFonts w:hint="eastAsia" w:ascii="宋体" w:hAnsi="宋体" w:cs="宋体"/>
                <w:bCs/>
                <w:color w:val="auto"/>
                <w:sz w:val="22"/>
                <w:szCs w:val="22"/>
                <w:u w:val="single"/>
              </w:rPr>
              <w:t>%收取</w:t>
            </w:r>
            <w:r>
              <w:rPr>
                <w:rFonts w:hint="eastAsia" w:ascii="宋体" w:hAnsi="宋体" w:cs="宋体"/>
                <w:bCs/>
                <w:color w:val="auto"/>
                <w:sz w:val="22"/>
                <w:szCs w:val="22"/>
                <w:u w:val="single"/>
                <w:lang w:eastAsia="zh-CN"/>
              </w:rPr>
              <w:t>，</w:t>
            </w:r>
            <w:r>
              <w:rPr>
                <w:rFonts w:hint="eastAsia" w:ascii="宋体" w:hAnsi="宋体" w:cs="宋体"/>
                <w:color w:val="auto"/>
                <w:sz w:val="22"/>
                <w:szCs w:val="22"/>
                <w:u w:val="single"/>
              </w:rPr>
              <w:t>由成交供应商在领取成交通知书时支付</w:t>
            </w:r>
            <w:r>
              <w:rPr>
                <w:rFonts w:hint="eastAsia" w:ascii="宋体" w:hAnsi="宋体" w:cs="宋体"/>
                <w:color w:val="auto"/>
                <w:sz w:val="22"/>
                <w:szCs w:val="22"/>
              </w:rPr>
              <w:t>。</w:t>
            </w:r>
          </w:p>
          <w:p w14:paraId="7993A642">
            <w:pPr>
              <w:spacing w:line="360" w:lineRule="exact"/>
              <w:ind w:left="440" w:hanging="440" w:hangingChars="200"/>
              <w:rPr>
                <w:rFonts w:hint="eastAsia"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14:paraId="7A4F2EFC">
            <w:pPr>
              <w:spacing w:line="360" w:lineRule="exact"/>
              <w:rPr>
                <w:rFonts w:hint="eastAsia"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14:paraId="4790193A">
            <w:pPr>
              <w:spacing w:line="360" w:lineRule="exact"/>
              <w:ind w:left="655" w:leftChars="312" w:firstLine="121" w:firstLineChars="55"/>
              <w:rPr>
                <w:rFonts w:hint="eastAsia" w:ascii="宋体" w:hAnsi="宋体" w:cs="宋体"/>
                <w:color w:val="auto"/>
                <w:sz w:val="22"/>
                <w:szCs w:val="22"/>
              </w:rPr>
            </w:pPr>
            <w:r>
              <w:rPr>
                <w:rFonts w:hint="eastAsia" w:ascii="宋体" w:hAnsi="宋体" w:cs="宋体"/>
                <w:color w:val="auto"/>
                <w:sz w:val="22"/>
                <w:szCs w:val="22"/>
              </w:rPr>
              <w:t>户  名：温州正风招标代理有限公司</w:t>
            </w:r>
          </w:p>
          <w:p w14:paraId="5C3D6F00">
            <w:pPr>
              <w:spacing w:line="360" w:lineRule="exact"/>
              <w:ind w:left="655" w:leftChars="312" w:firstLine="121" w:firstLineChars="55"/>
              <w:rPr>
                <w:rFonts w:hint="eastAsia" w:ascii="宋体" w:hAnsi="宋体" w:cs="宋体"/>
                <w:color w:val="auto"/>
                <w:sz w:val="22"/>
                <w:szCs w:val="22"/>
              </w:rPr>
            </w:pPr>
            <w:r>
              <w:rPr>
                <w:rFonts w:hint="eastAsia" w:ascii="宋体" w:hAnsi="宋体" w:cs="宋体"/>
                <w:color w:val="auto"/>
                <w:sz w:val="22"/>
                <w:szCs w:val="22"/>
              </w:rPr>
              <w:t>账  号：769000120190010526</w:t>
            </w:r>
          </w:p>
          <w:p w14:paraId="70D036A5">
            <w:pPr>
              <w:spacing w:line="360" w:lineRule="exact"/>
              <w:ind w:left="655" w:leftChars="312" w:firstLine="121" w:firstLineChars="55"/>
              <w:rPr>
                <w:rFonts w:hint="eastAsia" w:ascii="宋体" w:hAnsi="宋体" w:cs="宋体"/>
                <w:color w:val="auto"/>
                <w:sz w:val="22"/>
                <w:szCs w:val="22"/>
              </w:rPr>
            </w:pPr>
            <w:r>
              <w:rPr>
                <w:rFonts w:hint="eastAsia" w:ascii="宋体" w:hAnsi="宋体" w:cs="宋体"/>
                <w:color w:val="auto"/>
                <w:sz w:val="22"/>
                <w:szCs w:val="22"/>
              </w:rPr>
              <w:t>开户行：温州银行江滨支行</w:t>
            </w:r>
          </w:p>
          <w:p w14:paraId="3EFA55DF">
            <w:pPr>
              <w:spacing w:line="360" w:lineRule="exact"/>
              <w:rPr>
                <w:rFonts w:hint="eastAsia" w:ascii="宋体" w:hAnsi="宋体" w:cs="宋体"/>
                <w:color w:val="auto"/>
                <w:sz w:val="22"/>
                <w:szCs w:val="22"/>
              </w:rPr>
            </w:pPr>
            <w:r>
              <w:rPr>
                <w:rFonts w:ascii="宋体" w:hAnsi="宋体" w:cs="宋体"/>
                <w:color w:val="auto"/>
                <w:sz w:val="22"/>
                <w:szCs w:val="22"/>
              </w:rPr>
              <w:t>4.</w:t>
            </w:r>
            <w:r>
              <w:rPr>
                <w:rFonts w:hint="eastAsia" w:ascii="宋体" w:hAnsi="宋体" w:cs="宋体"/>
                <w:color w:val="auto"/>
                <w:sz w:val="22"/>
                <w:szCs w:val="22"/>
              </w:rPr>
              <w:t>关于采购代理服务费及其他财务方面的详细事宜请咨询采购代理机构财务部周先生（0577-88119278）。</w:t>
            </w:r>
          </w:p>
        </w:tc>
      </w:tr>
      <w:tr w14:paraId="26AE448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841EDFD">
            <w:pPr>
              <w:spacing w:line="360" w:lineRule="exact"/>
              <w:jc w:val="center"/>
              <w:rPr>
                <w:rFonts w:hint="eastAsia" w:ascii="宋体" w:hAnsi="宋体"/>
                <w:color w:val="auto"/>
                <w:kern w:val="0"/>
                <w:sz w:val="22"/>
                <w:szCs w:val="22"/>
              </w:rPr>
            </w:pPr>
            <w:r>
              <w:rPr>
                <w:rFonts w:hint="eastAsia" w:ascii="宋体" w:hAnsi="宋体"/>
                <w:color w:val="auto"/>
                <w:kern w:val="0"/>
                <w:sz w:val="22"/>
                <w:szCs w:val="22"/>
              </w:rPr>
              <w:t>其他事项</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1700C453">
            <w:pPr>
              <w:spacing w:line="360" w:lineRule="exact"/>
              <w:rPr>
                <w:rFonts w:hint="default" w:ascii="宋体" w:hAnsi="宋体" w:eastAsia="宋体"/>
                <w:color w:val="auto"/>
                <w:sz w:val="22"/>
                <w:szCs w:val="22"/>
                <w:lang w:val="en-US" w:eastAsia="zh-CN"/>
              </w:rPr>
            </w:pPr>
            <w:r>
              <w:rPr>
                <w:rFonts w:hint="eastAsia" w:ascii="宋体" w:hAnsi="宋体" w:cs="宋体"/>
                <w:color w:val="auto"/>
                <w:kern w:val="0"/>
                <w:sz w:val="22"/>
                <w:szCs w:val="22"/>
                <w:u w:val="single"/>
                <w:lang w:val="en-US" w:eastAsia="zh-CN"/>
              </w:rPr>
              <w:t>1.</w:t>
            </w:r>
            <w:r>
              <w:rPr>
                <w:rFonts w:hint="eastAsia" w:ascii="宋体" w:hAnsi="宋体" w:cs="宋体"/>
                <w:color w:val="auto"/>
                <w:kern w:val="0"/>
                <w:sz w:val="22"/>
                <w:szCs w:val="22"/>
                <w:u w:val="single"/>
              </w:rPr>
              <w:t>成交供应商应根据要求在进场前办理进场施工许可证</w:t>
            </w:r>
            <w:r>
              <w:rPr>
                <w:rFonts w:hint="eastAsia" w:ascii="宋体" w:hAnsi="宋体" w:cs="宋体"/>
                <w:color w:val="auto"/>
                <w:kern w:val="0"/>
                <w:sz w:val="22"/>
                <w:szCs w:val="22"/>
              </w:rPr>
              <w:t>。</w:t>
            </w:r>
          </w:p>
        </w:tc>
      </w:tr>
    </w:tbl>
    <w:p w14:paraId="4FBF4701">
      <w:pPr>
        <w:pStyle w:val="3"/>
        <w:spacing w:line="480" w:lineRule="exact"/>
        <w:jc w:val="center"/>
        <w:rPr>
          <w:rFonts w:hint="eastAsia" w:ascii="宋体" w:hAnsi="宋体" w:eastAsia="宋体"/>
          <w:color w:val="auto"/>
          <w:sz w:val="28"/>
          <w:szCs w:val="28"/>
        </w:rPr>
      </w:pPr>
      <w:bookmarkStart w:id="9" w:name="_Toc26925"/>
      <w:bookmarkStart w:id="10" w:name="_Toc1380"/>
      <w:r>
        <w:rPr>
          <w:rFonts w:hint="eastAsia" w:ascii="宋体" w:hAnsi="宋体" w:eastAsia="宋体"/>
          <w:color w:val="auto"/>
          <w:sz w:val="28"/>
          <w:szCs w:val="28"/>
        </w:rPr>
        <w:t>一、 说  明</w:t>
      </w:r>
      <w:bookmarkEnd w:id="9"/>
      <w:bookmarkEnd w:id="10"/>
    </w:p>
    <w:p w14:paraId="7217F010">
      <w:pPr>
        <w:tabs>
          <w:tab w:val="left" w:pos="360"/>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   本次采购是按照《中华人民共和国政府采购法》、《中华人民共和国政府采购法实施条例》、《政府采购竞争性磋商采购方式管理暂行办法》《浙江省政府采购项目电子交易管理暂行办法》（浙财采监〔2019〕10号）及省市等法律法规及有关规范性文件组织和实施的。</w:t>
      </w:r>
    </w:p>
    <w:p w14:paraId="49095439">
      <w:pPr>
        <w:tabs>
          <w:tab w:val="left" w:pos="360"/>
        </w:tabs>
        <w:spacing w:line="440" w:lineRule="exact"/>
        <w:ind w:left="550" w:hanging="550" w:hangingChars="250"/>
        <w:rPr>
          <w:rFonts w:hint="eastAsia" w:ascii="宋体" w:hAnsi="宋体" w:cs="宋体"/>
          <w:color w:val="auto"/>
          <w:sz w:val="22"/>
          <w:szCs w:val="22"/>
        </w:rPr>
      </w:pPr>
      <w:bookmarkStart w:id="11" w:name="_Toc3235"/>
      <w:bookmarkStart w:id="12" w:name="_Toc31546"/>
      <w:bookmarkStart w:id="13" w:name="_Toc19066"/>
      <w:r>
        <w:rPr>
          <w:rFonts w:ascii="宋体" w:hAnsi="宋体" w:cs="宋体"/>
          <w:color w:val="auto"/>
          <w:sz w:val="22"/>
          <w:szCs w:val="22"/>
        </w:rPr>
        <w:t xml:space="preserve">2.   </w:t>
      </w:r>
      <w:r>
        <w:rPr>
          <w:rFonts w:hint="eastAsia" w:ascii="宋体" w:hAnsi="宋体" w:cs="宋体"/>
          <w:color w:val="auto"/>
          <w:sz w:val="22"/>
          <w:szCs w:val="22"/>
        </w:rPr>
        <w:t>定义</w:t>
      </w:r>
      <w:bookmarkEnd w:id="11"/>
      <w:bookmarkEnd w:id="12"/>
      <w:bookmarkEnd w:id="13"/>
    </w:p>
    <w:p w14:paraId="6D1E16E6">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2.1 “采购人”系指磋商公告中载明的本项目的采购人。</w:t>
      </w:r>
    </w:p>
    <w:p w14:paraId="6B963ABE">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2.2 “采购代理机构”系指磋商公告中载明的本项目的采购代理机构。</w:t>
      </w:r>
    </w:p>
    <w:p w14:paraId="7221E696">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2.3 “磋商供应商、供应商、申请人”均系指响应招标、参加投标竞争的法人、其他组织或者自然人。</w:t>
      </w:r>
    </w:p>
    <w:p w14:paraId="31455D30">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14:paraId="71FC35B7">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14:paraId="51369E6A">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14:paraId="1F37B692">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14:paraId="0C18F6C7">
      <w:pPr>
        <w:spacing w:line="440" w:lineRule="exact"/>
        <w:rPr>
          <w:rFonts w:hint="eastAsia" w:ascii="宋体" w:hAnsi="宋体" w:cs="宋体"/>
          <w:b/>
          <w:color w:val="auto"/>
          <w:sz w:val="22"/>
          <w:szCs w:val="22"/>
        </w:rPr>
      </w:pPr>
      <w:r>
        <w:rPr>
          <w:rFonts w:hint="eastAsia" w:ascii="宋体" w:hAnsi="宋体" w:cs="宋体"/>
          <w:b/>
          <w:color w:val="auto"/>
          <w:sz w:val="22"/>
          <w:szCs w:val="22"/>
        </w:rPr>
        <w:t>3.  合格磋商供应商要求</w:t>
      </w:r>
    </w:p>
    <w:p w14:paraId="05E08795">
      <w:pPr>
        <w:tabs>
          <w:tab w:val="left" w:pos="540"/>
          <w:tab w:val="left" w:pos="900"/>
        </w:tabs>
        <w:snapToGrid w:val="0"/>
        <w:spacing w:line="44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3.1合格的磋商供应商应满足磋商文件第一部分“磋商公告”对申请人的资格要求。</w:t>
      </w:r>
    </w:p>
    <w:p w14:paraId="02DB39B3">
      <w:pPr>
        <w:tabs>
          <w:tab w:val="left" w:pos="540"/>
          <w:tab w:val="left" w:pos="900"/>
        </w:tabs>
        <w:snapToGrid w:val="0"/>
        <w:spacing w:line="44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3.2</w:t>
      </w:r>
      <w:r>
        <w:rPr>
          <w:rFonts w:hint="eastAsia" w:ascii="宋体" w:hAnsi="宋体" w:cs="宋体"/>
          <w:b/>
          <w:color w:val="auto"/>
          <w:sz w:val="22"/>
          <w:szCs w:val="22"/>
        </w:rPr>
        <w:t>单位负责人为同一人或者存在直接控股、管理关系的不同磋商供应商，不得参加同一合同项下的政府采购活动。为采购项目提供整体设计、规范编制或者项目管理、监理、检测等服务的磋商供应商，不得再参加该采购项目的其他采购活动。</w:t>
      </w:r>
    </w:p>
    <w:p w14:paraId="712984B8">
      <w:pPr>
        <w:tabs>
          <w:tab w:val="left" w:pos="540"/>
          <w:tab w:val="left" w:pos="900"/>
        </w:tabs>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3.3磋商供应商可授权磋商供应商代表以磋商供应商名义参加本次采购的投标活动（包括磋商响应文件的签署、澄清、说明、补正、递交、撤回、修改等以及签订合同和处理有关事宜）。如果磋商供应商代表不是法定代表人(负责人)，须持有《法定代表人(负责人)授权书》。</w:t>
      </w:r>
    </w:p>
    <w:p w14:paraId="20129117">
      <w:pPr>
        <w:snapToGrid w:val="0"/>
        <w:spacing w:line="440" w:lineRule="exact"/>
        <w:ind w:firstLine="464" w:firstLineChars="200"/>
        <w:rPr>
          <w:rFonts w:hint="eastAsia" w:ascii="宋体" w:hAnsi="宋体" w:cs="宋体"/>
          <w:bCs/>
          <w:color w:val="auto"/>
          <w:spacing w:val="6"/>
          <w:sz w:val="22"/>
          <w:szCs w:val="22"/>
        </w:rPr>
      </w:pPr>
      <w:r>
        <w:rPr>
          <w:rFonts w:hint="eastAsia" w:ascii="宋体" w:hAnsi="宋体" w:cs="宋体"/>
          <w:bCs/>
          <w:color w:val="auto"/>
          <w:spacing w:val="6"/>
          <w:sz w:val="22"/>
          <w:szCs w:val="22"/>
        </w:rPr>
        <w:t>3.4采用最低评标价法的</w:t>
      </w:r>
      <w:r>
        <w:rPr>
          <w:rFonts w:hint="eastAsia" w:ascii="宋体" w:hAnsi="宋体" w:cs="宋体"/>
          <w:color w:val="auto"/>
          <w:sz w:val="22"/>
          <w:szCs w:val="22"/>
        </w:rPr>
        <w:t>货物类</w:t>
      </w:r>
      <w:r>
        <w:rPr>
          <w:rFonts w:hint="eastAsia" w:ascii="宋体" w:hAnsi="宋体" w:cs="宋体"/>
          <w:bCs/>
          <w:color w:val="auto"/>
          <w:spacing w:val="6"/>
          <w:sz w:val="22"/>
          <w:szCs w:val="22"/>
        </w:rPr>
        <w:t>采购项目，提供相同品牌产品的不同磋商供应商参加同一合同项下投标的，以其中通过资格审查、符合性审查且报价最低的参加评标；报价相同的，由采购人或者采购人委托评标委员会按照磋商文件规定的方式确定一个参加评标的磋商供应商，磋商文件未规定的采取随机抽取方式确定，其他投标无效。</w:t>
      </w:r>
    </w:p>
    <w:p w14:paraId="14517005">
      <w:pPr>
        <w:snapToGrid w:val="0"/>
        <w:spacing w:line="440" w:lineRule="exact"/>
        <w:ind w:firstLine="464" w:firstLineChars="200"/>
        <w:rPr>
          <w:rFonts w:hint="eastAsia" w:ascii="宋体" w:hAnsi="宋体" w:cs="宋体"/>
          <w:bCs/>
          <w:color w:val="auto"/>
          <w:spacing w:val="6"/>
          <w:sz w:val="22"/>
          <w:szCs w:val="22"/>
        </w:rPr>
      </w:pPr>
      <w:r>
        <w:rPr>
          <w:rFonts w:hint="eastAsia" w:ascii="宋体" w:hAnsi="宋体" w:cs="宋体"/>
          <w:bCs/>
          <w:color w:val="auto"/>
          <w:spacing w:val="6"/>
          <w:sz w:val="22"/>
          <w:szCs w:val="22"/>
        </w:rPr>
        <w:t>使用综合评分法的</w:t>
      </w:r>
      <w:r>
        <w:rPr>
          <w:rFonts w:hint="eastAsia" w:ascii="宋体" w:hAnsi="宋体" w:cs="宋体"/>
          <w:color w:val="auto"/>
          <w:sz w:val="22"/>
          <w:szCs w:val="22"/>
        </w:rPr>
        <w:t>货物类</w:t>
      </w:r>
      <w:r>
        <w:rPr>
          <w:rFonts w:hint="eastAsia" w:ascii="宋体" w:hAnsi="宋体" w:cs="宋体"/>
          <w:bCs/>
          <w:color w:val="auto"/>
          <w:spacing w:val="6"/>
          <w:sz w:val="22"/>
          <w:szCs w:val="22"/>
        </w:rPr>
        <w:t>采购项目，提供相同品牌产品且通过资格审查、符合性审查的不同磋商供应商参加同一合同项下投标的，按一家磋商供应商计算，评审后得分最高的同品牌磋商供应商获得成交供应商推荐资格；评审得分相同的，由采购人或者采购人委托评标委员会按照磋商文件规定的方式确定一个磋商供应商获得成交供应商推荐资格，磋商文件未规定的采取随机抽取方式确定，其他同品牌磋商供应商不作为中标候选人。</w:t>
      </w:r>
    </w:p>
    <w:p w14:paraId="79D3BE85">
      <w:pPr>
        <w:snapToGrid w:val="0"/>
        <w:spacing w:line="440" w:lineRule="exact"/>
        <w:ind w:firstLine="464" w:firstLineChars="200"/>
        <w:rPr>
          <w:rFonts w:hint="eastAsia" w:ascii="宋体" w:hAnsi="宋体" w:cs="宋体"/>
          <w:bCs/>
          <w:color w:val="auto"/>
          <w:spacing w:val="6"/>
          <w:sz w:val="22"/>
          <w:szCs w:val="22"/>
        </w:rPr>
      </w:pPr>
      <w:r>
        <w:rPr>
          <w:rFonts w:hint="eastAsia" w:ascii="宋体" w:hAnsi="宋体" w:cs="宋体"/>
          <w:bCs/>
          <w:color w:val="auto"/>
          <w:spacing w:val="6"/>
          <w:sz w:val="22"/>
          <w:szCs w:val="22"/>
        </w:rPr>
        <w:t>非单一产品采购项目，多家磋商供应商提供的核心产品（见</w:t>
      </w:r>
      <w:r>
        <w:rPr>
          <w:rFonts w:hint="eastAsia" w:ascii="宋体" w:hAnsi="宋体" w:cs="宋体"/>
          <w:color w:val="auto"/>
          <w:sz w:val="22"/>
          <w:szCs w:val="22"/>
        </w:rPr>
        <w:t>磋商供应商须知前附表</w:t>
      </w:r>
      <w:r>
        <w:rPr>
          <w:rFonts w:hint="eastAsia" w:ascii="宋体" w:hAnsi="宋体" w:cs="宋体"/>
          <w:bCs/>
          <w:color w:val="auto"/>
          <w:spacing w:val="6"/>
          <w:sz w:val="22"/>
          <w:szCs w:val="22"/>
        </w:rPr>
        <w:t>）品牌相同的，按前两款规定处理。</w:t>
      </w:r>
    </w:p>
    <w:p w14:paraId="0DBDBD6D">
      <w:pPr>
        <w:snapToGrid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3.5货物类是否允许采购进口产品、是否要求节能/环境标志产品等情况见磋商供应商须知前附表。</w:t>
      </w:r>
    </w:p>
    <w:p w14:paraId="1DEEEFD2">
      <w:pPr>
        <w:spacing w:line="440" w:lineRule="exact"/>
        <w:rPr>
          <w:rFonts w:hint="eastAsia" w:ascii="宋体" w:hAnsi="宋体" w:cs="宋体"/>
          <w:b/>
          <w:color w:val="auto"/>
          <w:sz w:val="22"/>
          <w:szCs w:val="22"/>
        </w:rPr>
      </w:pPr>
      <w:r>
        <w:rPr>
          <w:rFonts w:hint="eastAsia" w:ascii="宋体" w:hAnsi="宋体" w:cs="宋体"/>
          <w:b/>
          <w:color w:val="auto"/>
          <w:sz w:val="22"/>
          <w:szCs w:val="22"/>
        </w:rPr>
        <w:t>4.  采购项目需要落实的政府采购政策</w:t>
      </w:r>
    </w:p>
    <w:p w14:paraId="6A36AF9B">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B4F5CA3">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4.2 支持绿色发展</w:t>
      </w:r>
    </w:p>
    <w:p w14:paraId="61127D89">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磋商供应商须按磋商文件要求提供相关产品认证证书。采购人拟采购的产品属于政府强制采购的节能产品品目清单范围的，磋商供应商未按磋商文件要求提供国家确定的认证机构出具的、处于有效期之内的节能产品认证证书的，投标无效。</w:t>
      </w:r>
    </w:p>
    <w:p w14:paraId="7D6691B8">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ED484D">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4.3支持中小企业发展</w:t>
      </w:r>
    </w:p>
    <w:p w14:paraId="7F057B2C">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4CFB90E8">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符合中小企业划分标准的个体工商户，在政府采购活动中视同中小企业。</w:t>
      </w:r>
    </w:p>
    <w:p w14:paraId="751435E9">
      <w:pPr>
        <w:widowControl/>
        <w:spacing w:line="440" w:lineRule="exact"/>
        <w:ind w:firstLine="440" w:firstLineChars="200"/>
        <w:jc w:val="left"/>
        <w:rPr>
          <w:rFonts w:hint="eastAsia" w:ascii="宋体" w:hAnsi="宋体" w:cs="宋体"/>
          <w:color w:val="auto"/>
          <w:kern w:val="0"/>
          <w:sz w:val="22"/>
          <w:szCs w:val="22"/>
        </w:rPr>
      </w:pPr>
      <w:r>
        <w:rPr>
          <w:rFonts w:hint="eastAsia" w:ascii="宋体" w:hAnsi="宋体" w:cs="宋体"/>
          <w:bCs/>
          <w:color w:val="auto"/>
          <w:sz w:val="22"/>
          <w:szCs w:val="22"/>
        </w:rPr>
        <w:t>4.3.2</w:t>
      </w:r>
      <w:r>
        <w:rPr>
          <w:rFonts w:hint="eastAsia" w:ascii="宋体" w:hAnsi="宋体" w:cs="宋体"/>
          <w:color w:val="auto"/>
          <w:kern w:val="0"/>
          <w:sz w:val="22"/>
          <w:szCs w:val="22"/>
        </w:rPr>
        <w:t>在政府采购活动中，磋商供应商提供的货物、工程或者服务符合下列情形的，享受中小企业扶持政策：</w:t>
      </w:r>
    </w:p>
    <w:p w14:paraId="29A3BC5A">
      <w:pPr>
        <w:widowControl/>
        <w:spacing w:line="44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4.3.2.1在货物采购项目中，货物由中小企业制造，即货物由中小企业生产且使用该中小企业商号或者注册商标；</w:t>
      </w:r>
    </w:p>
    <w:p w14:paraId="3EF6E422">
      <w:pPr>
        <w:widowControl/>
        <w:spacing w:line="44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4.3.2.2在工程采购项目中，工程由中小企业承建，即工程施工单位为中小企业；</w:t>
      </w:r>
    </w:p>
    <w:p w14:paraId="7F1E6961">
      <w:pPr>
        <w:widowControl/>
        <w:spacing w:line="44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4.3.2.3在服务采购项目中，服务由中小企业承接，即提供服务的人员为中小企业依照《中华人民共和国劳动合同法》订立劳动合同的从业人员。</w:t>
      </w:r>
    </w:p>
    <w:p w14:paraId="01AED3CE">
      <w:pPr>
        <w:widowControl/>
        <w:spacing w:line="44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在货物采购项目中，磋商供应商提供的货物既有中小企业制造货物，也有大型企业制造货物的，不享受中小企业扶持政策。</w:t>
      </w:r>
    </w:p>
    <w:p w14:paraId="29F6D118">
      <w:pPr>
        <w:widowControl/>
        <w:spacing w:line="44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以联合体形式参加政府采购活动，联合体各方均为中小企业的，联合体视同中小企业。其中，联合体各方均为小微企业的，联合体视同小微企业。</w:t>
      </w:r>
    </w:p>
    <w:p w14:paraId="5320EC87">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2"/>
          <w:szCs w:val="22"/>
          <w:lang w:val="en-US" w:eastAsia="zh-CN"/>
        </w:rPr>
        <w:t>10-20</w:t>
      </w:r>
      <w:r>
        <w:rPr>
          <w:rFonts w:hint="eastAsia" w:ascii="宋体" w:hAnsi="宋体" w:cs="宋体"/>
          <w:color w:val="auto"/>
          <w:sz w:val="22"/>
          <w:szCs w:val="22"/>
        </w:rPr>
        <w:t>%（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2"/>
          <w:szCs w:val="22"/>
          <w:lang w:val="en-US" w:eastAsia="zh-CN"/>
        </w:rPr>
        <w:t>4</w:t>
      </w:r>
      <w:r>
        <w:rPr>
          <w:rFonts w:hint="eastAsia" w:ascii="宋体" w:hAnsi="宋体" w:cs="宋体"/>
          <w:color w:val="auto"/>
          <w:sz w:val="22"/>
          <w:szCs w:val="22"/>
        </w:rPr>
        <w:t>%-</w:t>
      </w:r>
      <w:r>
        <w:rPr>
          <w:rFonts w:hint="eastAsia" w:ascii="宋体" w:hAnsi="宋体" w:cs="宋体"/>
          <w:color w:val="auto"/>
          <w:sz w:val="22"/>
          <w:szCs w:val="22"/>
          <w:lang w:val="en-US" w:eastAsia="zh-CN"/>
        </w:rPr>
        <w:t>6</w:t>
      </w:r>
      <w:r>
        <w:rPr>
          <w:rFonts w:hint="eastAsia" w:ascii="宋体" w:hAnsi="宋体" w:cs="宋体"/>
          <w:color w:val="auto"/>
          <w:sz w:val="22"/>
          <w:szCs w:val="22"/>
        </w:rPr>
        <w:t>%（工程项目为1%-2%）的扣除，用扣除后的价格参加评审。组成联合体或者接受分包的小微企业与联合体内其他企业、分包企业之间存在直接控股、管理关系的，不享受价格扣除优惠政策。</w:t>
      </w:r>
    </w:p>
    <w:p w14:paraId="54E4CF3C">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4.3.4符合《关于促进残疾人就业政府采购政策的通知》（财库〔2017〕141号）规定的条件并提供《残疾人福利性单位声明函》的残疾人福利性单位视同小型、微型企业；</w:t>
      </w:r>
    </w:p>
    <w:p w14:paraId="0E91ABED">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06A96C">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4.3.6可享受中小企业扶持政策的磋商供应商应按照磋商文件格式要求提供《中小企业声明函》，磋商供应商提供的《中小企业声明函》与实际情况不符的，不享受中小企业扶持政策。声明内容不实的，属于提供虚假材料谋取中标、成交的，依法承担法律责任。</w:t>
      </w:r>
    </w:p>
    <w:p w14:paraId="59CDDDDA">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4.3.7中小企业享受扶持政策获得政府采购合同的，小微企业不得将合同分包给大中型企业，中型企业不得将合同分包给大型企业。</w:t>
      </w:r>
    </w:p>
    <w:p w14:paraId="70D8D96F">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E1BC129">
      <w:pPr>
        <w:snapToGrid w:val="0"/>
        <w:spacing w:line="440" w:lineRule="exact"/>
        <w:ind w:firstLine="440" w:firstLineChars="200"/>
        <w:rPr>
          <w:rFonts w:hint="eastAsia" w:ascii="宋体" w:hAnsi="宋体" w:cs="宋体"/>
          <w:color w:val="auto"/>
          <w:sz w:val="22"/>
          <w:szCs w:val="22"/>
        </w:rPr>
      </w:pPr>
      <w:r>
        <w:rPr>
          <w:rFonts w:hint="eastAsia" w:ascii="宋体" w:hAnsi="宋体" w:cs="宋体"/>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40BD1AA">
      <w:pPr>
        <w:spacing w:line="440" w:lineRule="exact"/>
        <w:rPr>
          <w:rFonts w:hint="eastAsia" w:ascii="宋体" w:hAnsi="宋体" w:cs="宋体"/>
          <w:b/>
          <w:color w:val="auto"/>
          <w:sz w:val="22"/>
          <w:szCs w:val="22"/>
        </w:rPr>
      </w:pPr>
      <w:r>
        <w:rPr>
          <w:rFonts w:hint="eastAsia" w:ascii="宋体" w:hAnsi="宋体" w:cs="宋体"/>
          <w:b/>
          <w:color w:val="auto"/>
          <w:sz w:val="22"/>
          <w:szCs w:val="22"/>
        </w:rPr>
        <w:t>5.  询问、质疑、投诉</w:t>
      </w:r>
    </w:p>
    <w:p w14:paraId="285A8739">
      <w:pPr>
        <w:autoSpaceDE w:val="0"/>
        <w:autoSpaceDN w:val="0"/>
        <w:spacing w:line="440" w:lineRule="exact"/>
        <w:ind w:firstLine="220" w:firstLineChars="100"/>
        <w:jc w:val="left"/>
        <w:rPr>
          <w:rFonts w:hint="eastAsia" w:ascii="宋体" w:hAnsi="宋体" w:cs="宋体"/>
          <w:color w:val="auto"/>
          <w:kern w:val="0"/>
          <w:sz w:val="22"/>
          <w:szCs w:val="22"/>
          <w:lang w:val="zh-CN"/>
        </w:rPr>
      </w:pPr>
      <w:r>
        <w:rPr>
          <w:rFonts w:hint="eastAsia" w:ascii="宋体" w:hAnsi="宋体" w:cs="宋体"/>
          <w:color w:val="auto"/>
          <w:kern w:val="0"/>
          <w:sz w:val="22"/>
          <w:szCs w:val="22"/>
        </w:rPr>
        <w:t>5</w:t>
      </w:r>
      <w:r>
        <w:rPr>
          <w:rFonts w:hint="eastAsia" w:ascii="宋体" w:hAnsi="宋体" w:cs="宋体"/>
          <w:color w:val="auto"/>
          <w:kern w:val="0"/>
          <w:sz w:val="22"/>
          <w:szCs w:val="22"/>
          <w:lang w:val="zh-CN"/>
        </w:rPr>
        <w:t>.1供应商询问</w:t>
      </w:r>
    </w:p>
    <w:p w14:paraId="0C814D1D">
      <w:pPr>
        <w:autoSpaceDE w:val="0"/>
        <w:autoSpaceDN w:val="0"/>
        <w:spacing w:line="440" w:lineRule="exact"/>
        <w:ind w:firstLine="440" w:firstLineChars="200"/>
        <w:jc w:val="lef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1C38AE">
      <w:pPr>
        <w:autoSpaceDE w:val="0"/>
        <w:autoSpaceDN w:val="0"/>
        <w:spacing w:line="440" w:lineRule="exact"/>
        <w:ind w:firstLine="220" w:firstLineChars="100"/>
        <w:jc w:val="left"/>
        <w:rPr>
          <w:rFonts w:hint="eastAsia" w:ascii="宋体" w:hAnsi="宋体" w:cs="宋体"/>
          <w:color w:val="auto"/>
          <w:kern w:val="0"/>
          <w:sz w:val="22"/>
          <w:szCs w:val="22"/>
          <w:lang w:val="zh-CN"/>
        </w:rPr>
      </w:pPr>
      <w:r>
        <w:rPr>
          <w:rFonts w:hint="eastAsia" w:ascii="宋体" w:hAnsi="宋体" w:cs="宋体"/>
          <w:color w:val="auto"/>
          <w:kern w:val="0"/>
          <w:sz w:val="22"/>
          <w:szCs w:val="22"/>
        </w:rPr>
        <w:t>5</w:t>
      </w:r>
      <w:r>
        <w:rPr>
          <w:rFonts w:hint="eastAsia" w:ascii="宋体" w:hAnsi="宋体" w:cs="宋体"/>
          <w:color w:val="auto"/>
          <w:kern w:val="0"/>
          <w:sz w:val="22"/>
          <w:szCs w:val="22"/>
          <w:lang w:val="zh-CN"/>
        </w:rPr>
        <w:t>.2供应商质疑</w:t>
      </w:r>
    </w:p>
    <w:p w14:paraId="6501B505">
      <w:pPr>
        <w:pStyle w:val="20"/>
        <w:spacing w:line="440" w:lineRule="exact"/>
        <w:ind w:firstLine="440" w:firstLineChars="200"/>
        <w:rPr>
          <w:rFonts w:hint="eastAsia" w:hAnsi="宋体" w:cs="宋体"/>
          <w:color w:val="auto"/>
          <w:sz w:val="22"/>
          <w:szCs w:val="22"/>
        </w:rPr>
      </w:pPr>
      <w:r>
        <w:rPr>
          <w:rFonts w:hint="eastAsia" w:hAnsi="宋体" w:cs="宋体"/>
          <w:color w:val="auto"/>
          <w:sz w:val="22"/>
          <w:szCs w:val="22"/>
        </w:rPr>
        <w:t>5</w:t>
      </w:r>
      <w:r>
        <w:rPr>
          <w:rFonts w:hint="eastAsia" w:hAnsi="宋体" w:cs="宋体"/>
          <w:color w:val="auto"/>
          <w:sz w:val="22"/>
          <w:szCs w:val="22"/>
          <w:lang w:val="zh-CN"/>
        </w:rPr>
        <w:t>.2</w:t>
      </w:r>
      <w:r>
        <w:rPr>
          <w:rFonts w:hint="eastAsia" w:hAnsi="宋体" w:cs="宋体"/>
          <w:color w:val="auto"/>
          <w:sz w:val="22"/>
          <w:szCs w:val="22"/>
        </w:rPr>
        <w:t>.1提出质疑的供应商应当是参与所质疑项目采购活动的供应商。潜在供应商已依法获取其可质疑的磋商文件的，可以对该文件提出质疑。</w:t>
      </w:r>
    </w:p>
    <w:p w14:paraId="76CA4BCE">
      <w:pPr>
        <w:pStyle w:val="20"/>
        <w:spacing w:line="440" w:lineRule="exact"/>
        <w:ind w:firstLine="440" w:firstLineChars="200"/>
        <w:rPr>
          <w:rFonts w:hint="eastAsia" w:hAnsi="宋体" w:cs="宋体"/>
          <w:color w:val="auto"/>
          <w:sz w:val="22"/>
          <w:szCs w:val="22"/>
        </w:rPr>
      </w:pPr>
      <w:r>
        <w:rPr>
          <w:rFonts w:hint="eastAsia" w:hAnsi="宋体" w:cs="宋体"/>
          <w:color w:val="auto"/>
          <w:sz w:val="22"/>
          <w:szCs w:val="22"/>
        </w:rPr>
        <w:t>5</w:t>
      </w:r>
      <w:r>
        <w:rPr>
          <w:rFonts w:hint="eastAsia" w:hAnsi="宋体" w:cs="宋体"/>
          <w:color w:val="auto"/>
          <w:sz w:val="22"/>
          <w:szCs w:val="22"/>
          <w:lang w:val="zh-CN"/>
        </w:rPr>
        <w:t>.2</w:t>
      </w:r>
      <w:r>
        <w:rPr>
          <w:rFonts w:hint="eastAsia" w:hAnsi="宋体" w:cs="宋体"/>
          <w:color w:val="auto"/>
          <w:sz w:val="22"/>
          <w:szCs w:val="22"/>
        </w:rPr>
        <w:t>.2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773CE110">
      <w:pPr>
        <w:pStyle w:val="7"/>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5.2.2.1质疑提交形式：以书面形式向磋商公告中载明的质疑联系人提交或登录政采云平台（https://www.zcygov.cn/）通过“询问质疑投诉”栏向采购机构内设的质疑联系人提交并上传书面质疑材料。</w:t>
      </w:r>
    </w:p>
    <w:p w14:paraId="5ADB0C0D">
      <w:pPr>
        <w:pStyle w:val="7"/>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5.2.2.2对磋商文件提出质疑的，质疑期限为供应商获得磋商文件之日或者磋商文件公告期限届满之日起计算</w:t>
      </w:r>
      <w:r>
        <w:rPr>
          <w:rFonts w:hint="eastAsia" w:ascii="宋体" w:hAnsi="宋体" w:cs="仿宋"/>
          <w:color w:val="auto"/>
          <w:sz w:val="22"/>
          <w:szCs w:val="22"/>
        </w:rPr>
        <w:t>（公告期限届满后获取采购文件的，以公告期限届满之日为准）</w:t>
      </w:r>
      <w:r>
        <w:rPr>
          <w:rFonts w:hint="eastAsia" w:ascii="宋体" w:hAnsi="宋体" w:cs="宋体"/>
          <w:color w:val="auto"/>
          <w:sz w:val="22"/>
          <w:szCs w:val="22"/>
        </w:rPr>
        <w:t>。</w:t>
      </w:r>
    </w:p>
    <w:p w14:paraId="1E60B414">
      <w:pPr>
        <w:pStyle w:val="20"/>
        <w:spacing w:line="440" w:lineRule="exact"/>
        <w:ind w:firstLine="440" w:firstLineChars="200"/>
        <w:rPr>
          <w:rFonts w:hint="eastAsia" w:hAnsi="宋体" w:cs="宋体"/>
          <w:color w:val="auto"/>
          <w:sz w:val="22"/>
          <w:szCs w:val="22"/>
        </w:rPr>
      </w:pPr>
      <w:r>
        <w:rPr>
          <w:rFonts w:hint="eastAsia" w:hAnsi="宋体" w:cs="宋体"/>
          <w:color w:val="auto"/>
          <w:sz w:val="22"/>
          <w:szCs w:val="22"/>
        </w:rPr>
        <w:t>5.2.2.3对采购过程提出质疑的，质疑期限为各采购程序环节结束之日起计算。对同一采购程序环节的质疑，供应商须一次性提出。</w:t>
      </w:r>
    </w:p>
    <w:p w14:paraId="335C8C6A">
      <w:pPr>
        <w:pStyle w:val="20"/>
        <w:spacing w:line="440" w:lineRule="exact"/>
        <w:ind w:firstLine="440" w:firstLineChars="200"/>
        <w:rPr>
          <w:rFonts w:hint="eastAsia" w:hAnsi="宋体" w:cs="宋体"/>
          <w:color w:val="auto"/>
          <w:sz w:val="22"/>
          <w:szCs w:val="22"/>
        </w:rPr>
      </w:pPr>
      <w:r>
        <w:rPr>
          <w:rFonts w:hint="eastAsia" w:hAnsi="宋体" w:cs="宋体"/>
          <w:color w:val="auto"/>
          <w:sz w:val="22"/>
          <w:szCs w:val="22"/>
        </w:rPr>
        <w:t>5.2.2.4对采购结果提出质疑的，质疑期限自采购结果公告期限届满之日起计算。</w:t>
      </w:r>
    </w:p>
    <w:p w14:paraId="59B9E67B">
      <w:pPr>
        <w:pStyle w:val="20"/>
        <w:spacing w:line="440" w:lineRule="exact"/>
        <w:ind w:firstLine="440" w:firstLineChars="200"/>
        <w:rPr>
          <w:rFonts w:hint="eastAsia"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w:t>
      </w:r>
      <w:r>
        <w:rPr>
          <w:rFonts w:hint="eastAsia" w:hAnsi="宋体" w:cs="宋体"/>
          <w:color w:val="auto"/>
          <w:sz w:val="22"/>
          <w:szCs w:val="22"/>
        </w:rPr>
        <w:t>供应商提出质疑应当提交质疑函和必要的证明材料。质疑函应当包括下列内容：</w:t>
      </w:r>
    </w:p>
    <w:p w14:paraId="4BE3C3D4">
      <w:pPr>
        <w:pStyle w:val="20"/>
        <w:spacing w:line="440" w:lineRule="exact"/>
        <w:ind w:firstLine="440" w:firstLineChars="200"/>
        <w:rPr>
          <w:rFonts w:hint="eastAsia"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.2.3.1供应商的姓名或者名称、地址、邮编、联系人及联系电话；</w:t>
      </w:r>
    </w:p>
    <w:p w14:paraId="42D319F3">
      <w:pPr>
        <w:pStyle w:val="20"/>
        <w:spacing w:line="440" w:lineRule="exact"/>
        <w:ind w:firstLine="440" w:firstLineChars="200"/>
        <w:rPr>
          <w:rFonts w:hint="eastAsia"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.2.3.2质疑项目的名称、编号；</w:t>
      </w:r>
    </w:p>
    <w:p w14:paraId="232E4857">
      <w:pPr>
        <w:pStyle w:val="20"/>
        <w:spacing w:line="440" w:lineRule="exact"/>
        <w:ind w:firstLine="440" w:firstLineChars="200"/>
        <w:rPr>
          <w:rFonts w:hint="eastAsia"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.2.3.3具体、明确的质疑事项和与质疑事项相关的请求；</w:t>
      </w:r>
    </w:p>
    <w:p w14:paraId="5DA117B3">
      <w:pPr>
        <w:pStyle w:val="20"/>
        <w:spacing w:line="440" w:lineRule="exact"/>
        <w:ind w:firstLine="440" w:firstLineChars="200"/>
        <w:rPr>
          <w:rFonts w:hint="eastAsia"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.2.3.4事实依据；</w:t>
      </w:r>
    </w:p>
    <w:p w14:paraId="68FB02C2">
      <w:pPr>
        <w:pStyle w:val="20"/>
        <w:spacing w:line="440" w:lineRule="exact"/>
        <w:ind w:firstLine="440" w:firstLineChars="200"/>
        <w:rPr>
          <w:rFonts w:hint="eastAsia"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.2.3.5必要的法律依据；</w:t>
      </w:r>
    </w:p>
    <w:p w14:paraId="3AB1EAF8">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.2.3.6提出质疑的日期。</w:t>
      </w:r>
    </w:p>
    <w:p w14:paraId="0591417E">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供应商为自然人的，应当由本人签字；供应商为法人或者其他组织的，应当由法定代表人、主要负责人，或者其授权代表签字或者盖章，并加盖公章。</w:t>
      </w:r>
    </w:p>
    <w:p w14:paraId="2FC937FC">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质疑函范本及制作说明详见浙江政府采购网相关格式内容。</w:t>
      </w:r>
    </w:p>
    <w:p w14:paraId="69529B6D">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70425314">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.2.5询问或者质疑事项可能影响采购结果的，采购人应当暂停签订合同，已经签订合同的，应当中止履行合同。</w:t>
      </w:r>
    </w:p>
    <w:p w14:paraId="4D66ECEC">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.3供应商投诉</w:t>
      </w:r>
    </w:p>
    <w:p w14:paraId="2D675EDD">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3BFE5DC5">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5.3.2供应商投诉的事项不得超出已质疑事项的范围，基于质疑答复内容提出的投诉事项除外。</w:t>
      </w:r>
    </w:p>
    <w:p w14:paraId="6BAD0BB1">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5.3.3供应商投诉应当有明确的请求和必要的证明材料。</w:t>
      </w:r>
    </w:p>
    <w:p w14:paraId="08A9E0AE">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5.3.</w:t>
      </w:r>
      <w:r>
        <w:rPr>
          <w:rFonts w:ascii="宋体" w:hAnsi="宋体" w:cs="宋体"/>
          <w:color w:val="auto"/>
          <w:sz w:val="22"/>
          <w:szCs w:val="22"/>
          <w:lang w:val="zh-CN"/>
        </w:rPr>
        <w:t>4</w:t>
      </w:r>
      <w:r>
        <w:rPr>
          <w:rFonts w:hint="eastAsia" w:ascii="宋体" w:hAnsi="宋体" w:cs="宋体"/>
          <w:color w:val="auto"/>
          <w:sz w:val="22"/>
          <w:szCs w:val="22"/>
          <w:lang w:val="zh-CN"/>
        </w:rPr>
        <w:t>以联合体形式参加政府采购活动的，其投诉应当由组成联合体的所有供应商共同提出。</w:t>
      </w:r>
    </w:p>
    <w:p w14:paraId="54833F0E">
      <w:pPr>
        <w:spacing w:line="44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投诉书范本及制作说明详见浙江政府采购网相关格式内容。</w:t>
      </w:r>
    </w:p>
    <w:p w14:paraId="25EF64AC">
      <w:pPr>
        <w:pStyle w:val="3"/>
        <w:spacing w:line="480" w:lineRule="exact"/>
        <w:jc w:val="center"/>
        <w:rPr>
          <w:rFonts w:hint="eastAsia" w:ascii="宋体" w:hAnsi="宋体" w:eastAsia="宋体"/>
          <w:color w:val="auto"/>
          <w:sz w:val="28"/>
          <w:szCs w:val="28"/>
        </w:rPr>
      </w:pPr>
      <w:bookmarkStart w:id="14" w:name="_Toc8647"/>
      <w:bookmarkStart w:id="15" w:name="_Toc30966"/>
      <w:r>
        <w:rPr>
          <w:rFonts w:hint="eastAsia" w:ascii="宋体" w:hAnsi="宋体" w:eastAsia="宋体"/>
          <w:color w:val="auto"/>
          <w:sz w:val="28"/>
          <w:szCs w:val="28"/>
        </w:rPr>
        <w:t>二、 磋商文件</w:t>
      </w:r>
      <w:bookmarkEnd w:id="14"/>
      <w:bookmarkEnd w:id="15"/>
    </w:p>
    <w:p w14:paraId="746FD5A8">
      <w:pPr>
        <w:spacing w:line="440" w:lineRule="exact"/>
        <w:rPr>
          <w:rFonts w:hint="eastAsia" w:ascii="宋体" w:hAnsi="宋体"/>
          <w:color w:val="auto"/>
          <w:sz w:val="22"/>
          <w:szCs w:val="22"/>
        </w:rPr>
      </w:pPr>
      <w:r>
        <w:rPr>
          <w:rFonts w:hint="eastAsia" w:ascii="宋体" w:hAnsi="宋体"/>
          <w:color w:val="auto"/>
          <w:sz w:val="22"/>
          <w:szCs w:val="22"/>
        </w:rPr>
        <w:t>1.   磋商文件由磋商文件目录所列内容及相关资料组成。</w:t>
      </w:r>
    </w:p>
    <w:p w14:paraId="2B78F7DC">
      <w:pPr>
        <w:spacing w:line="440" w:lineRule="exact"/>
        <w:rPr>
          <w:rFonts w:hint="eastAsia" w:ascii="宋体" w:hAnsi="宋体"/>
          <w:b/>
          <w:color w:val="auto"/>
          <w:sz w:val="22"/>
        </w:rPr>
      </w:pPr>
      <w:r>
        <w:rPr>
          <w:rFonts w:hint="eastAsia" w:ascii="宋体" w:hAnsi="宋体"/>
          <w:b/>
          <w:color w:val="auto"/>
          <w:sz w:val="22"/>
        </w:rPr>
        <w:t xml:space="preserve">2． </w:t>
      </w:r>
      <w:r>
        <w:rPr>
          <w:rFonts w:ascii="宋体" w:hAnsi="宋体"/>
          <w:b/>
          <w:color w:val="auto"/>
          <w:sz w:val="22"/>
        </w:rPr>
        <w:t xml:space="preserve"> </w:t>
      </w:r>
      <w:r>
        <w:rPr>
          <w:rFonts w:hint="eastAsia" w:ascii="宋体" w:hAnsi="宋体"/>
          <w:b/>
          <w:color w:val="auto"/>
          <w:sz w:val="22"/>
        </w:rPr>
        <w:t>磋商文件的澄清和修改</w:t>
      </w:r>
    </w:p>
    <w:p w14:paraId="36F8D64F">
      <w:pPr>
        <w:spacing w:line="440" w:lineRule="exact"/>
        <w:ind w:left="550" w:hanging="550" w:hangingChars="250"/>
        <w:rPr>
          <w:rFonts w:ascii="宋体" w:hAnsi="宋体"/>
          <w:color w:val="auto"/>
          <w:sz w:val="22"/>
        </w:rPr>
      </w:pPr>
      <w:r>
        <w:rPr>
          <w:rFonts w:hint="eastAsia" w:ascii="宋体" w:hAnsi="宋体"/>
          <w:color w:val="auto"/>
          <w:sz w:val="22"/>
        </w:rPr>
        <w:t>2.1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olor w:val="auto"/>
          <w:sz w:val="22"/>
        </w:rPr>
        <w:t>5</w:t>
      </w:r>
      <w:r>
        <w:rPr>
          <w:rFonts w:hint="eastAsia" w:ascii="宋体" w:hAnsi="宋体"/>
          <w:color w:val="auto"/>
          <w:sz w:val="22"/>
        </w:rPr>
        <w:t>日前，以书面形式通知所有获取磋商文件的供应商；不足</w:t>
      </w:r>
      <w:r>
        <w:rPr>
          <w:rFonts w:ascii="宋体" w:hAnsi="宋体"/>
          <w:color w:val="auto"/>
          <w:sz w:val="22"/>
        </w:rPr>
        <w:t>5</w:t>
      </w:r>
      <w:r>
        <w:rPr>
          <w:rFonts w:hint="eastAsia" w:ascii="宋体" w:hAnsi="宋体"/>
          <w:color w:val="auto"/>
          <w:sz w:val="22"/>
        </w:rPr>
        <w:t>日的，采购人、采购代理机构应当顺延提交首次响应文件截止时间。</w:t>
      </w:r>
    </w:p>
    <w:p w14:paraId="7FF660C0">
      <w:pPr>
        <w:pStyle w:val="3"/>
        <w:spacing w:line="480" w:lineRule="exact"/>
        <w:jc w:val="center"/>
        <w:rPr>
          <w:rFonts w:hint="eastAsia" w:ascii="宋体" w:hAnsi="宋体" w:eastAsia="宋体"/>
          <w:color w:val="auto"/>
          <w:sz w:val="28"/>
          <w:szCs w:val="28"/>
        </w:rPr>
      </w:pPr>
      <w:bookmarkStart w:id="16" w:name="_Toc276"/>
      <w:bookmarkStart w:id="17" w:name="_Toc19539"/>
      <w:r>
        <w:rPr>
          <w:rFonts w:hint="eastAsia" w:ascii="宋体" w:hAnsi="宋体" w:eastAsia="宋体"/>
          <w:color w:val="auto"/>
          <w:sz w:val="28"/>
          <w:szCs w:val="28"/>
        </w:rPr>
        <w:t>三、 磋商响应文件的编制</w:t>
      </w:r>
      <w:bookmarkEnd w:id="16"/>
      <w:bookmarkEnd w:id="17"/>
    </w:p>
    <w:p w14:paraId="729ED62E">
      <w:pPr>
        <w:spacing w:line="440" w:lineRule="exact"/>
        <w:ind w:left="539" w:hanging="539" w:hangingChars="245"/>
        <w:rPr>
          <w:rFonts w:hint="eastAsia" w:ascii="宋体" w:hAnsi="宋体"/>
          <w:color w:val="auto"/>
          <w:sz w:val="22"/>
          <w:szCs w:val="22"/>
        </w:rPr>
      </w:pPr>
      <w:r>
        <w:rPr>
          <w:rFonts w:hint="eastAsia" w:ascii="宋体" w:hAnsi="宋体"/>
          <w:color w:val="auto"/>
          <w:sz w:val="22"/>
          <w:szCs w:val="22"/>
        </w:rPr>
        <w:t>1．  磋商供应商应认真阅读磋商文件中所有事项、格式、条款、技术规范和其它要求等。磋商供应商没有按照</w:t>
      </w:r>
      <w:r>
        <w:rPr>
          <w:rFonts w:hint="eastAsia" w:ascii="宋体" w:hAnsi="宋体"/>
          <w:b/>
          <w:bCs/>
          <w:color w:val="auto"/>
          <w:sz w:val="22"/>
          <w:szCs w:val="22"/>
        </w:rPr>
        <w:t>磋商文件要求提交的全部资料，或者没有对磋商文件各个方面作出实质性响应，是磋商供应商的风险，并可能导致其响应被拒绝</w:t>
      </w:r>
      <w:r>
        <w:rPr>
          <w:rFonts w:hint="eastAsia" w:ascii="宋体" w:hAnsi="宋体"/>
          <w:color w:val="auto"/>
          <w:sz w:val="22"/>
          <w:szCs w:val="22"/>
        </w:rPr>
        <w:t>。</w:t>
      </w:r>
    </w:p>
    <w:p w14:paraId="52D85B43">
      <w:pPr>
        <w:spacing w:line="440" w:lineRule="exact"/>
        <w:ind w:left="539" w:hanging="539" w:hangingChars="245"/>
        <w:rPr>
          <w:rFonts w:hint="eastAsia" w:ascii="宋体" w:hAnsi="宋体"/>
          <w:b/>
          <w:color w:val="auto"/>
          <w:sz w:val="22"/>
          <w:szCs w:val="22"/>
        </w:rPr>
      </w:pPr>
      <w:r>
        <w:rPr>
          <w:rFonts w:hint="eastAsia" w:ascii="宋体" w:hAnsi="宋体"/>
          <w:color w:val="auto"/>
          <w:sz w:val="22"/>
          <w:szCs w:val="22"/>
        </w:rPr>
        <w:t xml:space="preserve">2． </w:t>
      </w:r>
      <w:r>
        <w:rPr>
          <w:rFonts w:hint="eastAsia" w:ascii="宋体" w:hAnsi="宋体"/>
          <w:b/>
          <w:color w:val="auto"/>
          <w:sz w:val="22"/>
          <w:szCs w:val="22"/>
        </w:rPr>
        <w:t xml:space="preserve"> 磋商供应商应保证所提供所有文件资料的真实性，所有文件资料必须是针对本次磋商的。如发现磋商供应商提供了虚假文件资料，其响应将被拒绝，并承担相应的法律责任。</w:t>
      </w:r>
    </w:p>
    <w:p w14:paraId="6141ADA8">
      <w:pPr>
        <w:spacing w:line="440" w:lineRule="exact"/>
        <w:ind w:left="550" w:hanging="550" w:hangingChars="250"/>
        <w:rPr>
          <w:rFonts w:hint="eastAsia"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磋商响应文件分为电子磋商响应文件以及备份磋商响应文件。</w:t>
      </w:r>
    </w:p>
    <w:p w14:paraId="72A458D1">
      <w:pPr>
        <w:spacing w:line="440" w:lineRule="exact"/>
        <w:ind w:left="550" w:hanging="550" w:hangingChars="250"/>
        <w:rPr>
          <w:rFonts w:hint="eastAsia"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Cs/>
          <w:color w:val="auto"/>
          <w:sz w:val="22"/>
          <w:szCs w:val="22"/>
        </w:rPr>
        <w:t xml:space="preserve"> </w:t>
      </w:r>
      <w:r>
        <w:rPr>
          <w:rFonts w:hint="eastAsia" w:ascii="宋体" w:hAnsi="宋体"/>
          <w:b/>
          <w:bCs/>
          <w:color w:val="auto"/>
          <w:sz w:val="22"/>
          <w:szCs w:val="22"/>
          <w:u w:val="single"/>
        </w:rPr>
        <w:t>电子磋商响应文件：供应商根据“政采云供应商项目采购-电子招投标操作指南”及本磋商文件规定的格式和顺序编制电子磋商响应文件关联定位、加密并递交。</w:t>
      </w:r>
    </w:p>
    <w:p w14:paraId="314FBBE1">
      <w:pPr>
        <w:spacing w:line="440" w:lineRule="exact"/>
        <w:ind w:left="552" w:hanging="552" w:hangingChars="250"/>
        <w:rPr>
          <w:rFonts w:hint="eastAsia"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备份磋商响应文件：供应商</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w:t>
      </w:r>
      <w:r>
        <w:rPr>
          <w:rFonts w:hint="eastAsia" w:ascii="宋体" w:hAnsi="宋体"/>
          <w:b/>
          <w:bCs/>
          <w:color w:val="auto"/>
          <w:sz w:val="22"/>
          <w:szCs w:val="22"/>
          <w:u w:val="single"/>
        </w:rPr>
        <w:t>磋商响应</w:t>
      </w:r>
      <w:r>
        <w:rPr>
          <w:rFonts w:ascii="宋体" w:hAnsi="宋体"/>
          <w:b/>
          <w:bCs/>
          <w:color w:val="auto"/>
          <w:sz w:val="22"/>
          <w:szCs w:val="22"/>
          <w:u w:val="single"/>
        </w:rPr>
        <w:t>文件后，还可以在</w:t>
      </w:r>
      <w:r>
        <w:rPr>
          <w:rFonts w:hint="eastAsia" w:ascii="宋体" w:hAnsi="宋体"/>
          <w:b/>
          <w:bCs/>
          <w:color w:val="auto"/>
          <w:sz w:val="22"/>
          <w:szCs w:val="22"/>
          <w:u w:val="single"/>
        </w:rPr>
        <w:t>磋商</w:t>
      </w:r>
      <w:r>
        <w:rPr>
          <w:rFonts w:ascii="宋体" w:hAnsi="宋体"/>
          <w:b/>
          <w:bCs/>
          <w:color w:val="auto"/>
          <w:sz w:val="22"/>
          <w:szCs w:val="22"/>
          <w:u w:val="single"/>
        </w:rPr>
        <w:t>截止时间前提交以介质存储的数据电文形式的备份</w:t>
      </w:r>
      <w:r>
        <w:rPr>
          <w:rFonts w:hint="eastAsia" w:ascii="宋体" w:hAnsi="宋体"/>
          <w:b/>
          <w:bCs/>
          <w:color w:val="auto"/>
          <w:sz w:val="22"/>
          <w:szCs w:val="22"/>
          <w:u w:val="single"/>
        </w:rPr>
        <w:t>磋商响应</w:t>
      </w:r>
      <w:r>
        <w:rPr>
          <w:rFonts w:ascii="宋体" w:hAnsi="宋体"/>
          <w:b/>
          <w:bCs/>
          <w:color w:val="auto"/>
          <w:sz w:val="22"/>
          <w:szCs w:val="22"/>
          <w:u w:val="single"/>
        </w:rPr>
        <w:t>文件。</w:t>
      </w:r>
      <w:r>
        <w:rPr>
          <w:rFonts w:hint="eastAsia" w:ascii="宋体" w:hAnsi="宋体"/>
          <w:b/>
          <w:bCs/>
          <w:color w:val="auto"/>
          <w:sz w:val="22"/>
          <w:szCs w:val="22"/>
          <w:u w:val="single"/>
        </w:rPr>
        <w:t>备份磋商响应文件按“政采云平台项目采购-电子招投标操作指南”上传。</w:t>
      </w:r>
    </w:p>
    <w:p w14:paraId="174CE89F">
      <w:pPr>
        <w:spacing w:line="440" w:lineRule="exact"/>
        <w:ind w:left="552" w:hanging="552" w:hangingChars="250"/>
        <w:rPr>
          <w:rFonts w:hint="eastAsia" w:ascii="宋体" w:hAnsi="宋体"/>
          <w:b/>
          <w:color w:val="auto"/>
          <w:sz w:val="22"/>
          <w:szCs w:val="22"/>
        </w:rPr>
      </w:pPr>
      <w:r>
        <w:rPr>
          <w:rFonts w:hint="eastAsia" w:ascii="宋体" w:hAnsi="宋体"/>
          <w:b/>
          <w:color w:val="auto"/>
          <w:sz w:val="22"/>
          <w:szCs w:val="22"/>
        </w:rPr>
        <w:t>4.   磋商响应文件的效力</w:t>
      </w:r>
    </w:p>
    <w:p w14:paraId="1B68282C">
      <w:pPr>
        <w:spacing w:line="440" w:lineRule="exact"/>
        <w:ind w:left="533" w:leftChars="254"/>
        <w:rPr>
          <w:rFonts w:hint="eastAsia" w:ascii="宋体" w:hAnsi="宋体"/>
          <w:b/>
          <w:color w:val="auto"/>
          <w:sz w:val="22"/>
          <w:szCs w:val="22"/>
        </w:rPr>
      </w:pPr>
      <w:r>
        <w:rPr>
          <w:rFonts w:hint="eastAsia" w:ascii="宋体" w:hAnsi="宋体"/>
          <w:color w:val="auto"/>
          <w:sz w:val="22"/>
          <w:szCs w:val="22"/>
        </w:rPr>
        <w:t>磋商响应文件的启用，按先后顺位分别为电子磋商响应文件和备份磋商响应文件。在下一顺位的磋商响应文件启用时，前一顺位的磋商响应文件自动失效。</w:t>
      </w:r>
    </w:p>
    <w:p w14:paraId="047B10CB">
      <w:pPr>
        <w:spacing w:line="440" w:lineRule="exact"/>
        <w:rPr>
          <w:rFonts w:hint="eastAsia"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磋商响应文件的组成：</w:t>
      </w:r>
    </w:p>
    <w:p w14:paraId="4C62C537">
      <w:pPr>
        <w:spacing w:line="440" w:lineRule="exact"/>
        <w:rPr>
          <w:rFonts w:ascii="宋体" w:hAnsi="宋体" w:cs="宋体"/>
          <w:color w:val="auto"/>
          <w:sz w:val="22"/>
          <w:szCs w:val="22"/>
        </w:rPr>
      </w:pPr>
      <w:r>
        <w:rPr>
          <w:rFonts w:hint="eastAsia" w:ascii="宋体" w:hAnsi="宋体" w:cs="宋体"/>
          <w:color w:val="auto"/>
          <w:sz w:val="22"/>
          <w:szCs w:val="22"/>
        </w:rPr>
        <w:t>5.1  磋商响应文件由资格文件、商务技术文件、报价文件三部分组成：</w:t>
      </w:r>
    </w:p>
    <w:p w14:paraId="7F532223">
      <w:pPr>
        <w:spacing w:line="440" w:lineRule="exact"/>
        <w:rPr>
          <w:rFonts w:hint="eastAsia" w:ascii="宋体" w:hAnsi="宋体"/>
          <w:b/>
          <w:bCs/>
          <w:color w:val="auto"/>
          <w:sz w:val="22"/>
          <w:szCs w:val="22"/>
        </w:rPr>
      </w:pPr>
      <w:r>
        <w:rPr>
          <w:rFonts w:hint="eastAsia" w:ascii="宋体" w:hAnsi="宋体"/>
          <w:b/>
          <w:bCs/>
          <w:color w:val="auto"/>
          <w:sz w:val="22"/>
          <w:szCs w:val="22"/>
        </w:rPr>
        <w:t xml:space="preserve">5.1.1 </w:t>
      </w:r>
      <w:r>
        <w:rPr>
          <w:rFonts w:hint="eastAsia" w:ascii="宋体" w:hAnsi="宋体" w:cs="宋体"/>
          <w:b/>
          <w:bCs/>
          <w:color w:val="auto"/>
          <w:sz w:val="22"/>
          <w:szCs w:val="22"/>
        </w:rPr>
        <w:t>资格文件</w:t>
      </w:r>
      <w:r>
        <w:rPr>
          <w:rFonts w:hint="eastAsia" w:ascii="宋体" w:hAnsi="宋体"/>
          <w:b/>
          <w:bCs/>
          <w:color w:val="auto"/>
          <w:sz w:val="22"/>
          <w:szCs w:val="22"/>
        </w:rPr>
        <w:t>：</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46"/>
        <w:gridCol w:w="1401"/>
      </w:tblGrid>
      <w:tr w14:paraId="37B5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14:paraId="60D223DA">
            <w:pPr>
              <w:autoSpaceDE w:val="0"/>
              <w:autoSpaceDN w:val="0"/>
              <w:adjustRightInd w:val="0"/>
              <w:snapToGrid w:val="0"/>
              <w:spacing w:line="430" w:lineRule="atLeast"/>
              <w:rPr>
                <w:rFonts w:ascii="宋体" w:cs="宋体"/>
                <w:b/>
                <w:color w:val="auto"/>
                <w:sz w:val="22"/>
                <w:lang w:val="zh-CN"/>
              </w:rPr>
            </w:pPr>
            <w:r>
              <w:rPr>
                <w:rFonts w:hint="eastAsia" w:ascii="宋体" w:cs="宋体"/>
                <w:b/>
                <w:color w:val="auto"/>
                <w:sz w:val="22"/>
                <w:lang w:val="zh-CN"/>
              </w:rPr>
              <w:t>序号</w:t>
            </w:r>
          </w:p>
        </w:tc>
        <w:tc>
          <w:tcPr>
            <w:tcW w:w="7346" w:type="dxa"/>
            <w:tcBorders>
              <w:top w:val="single" w:color="auto" w:sz="4" w:space="0"/>
              <w:left w:val="single" w:color="auto" w:sz="4" w:space="0"/>
              <w:bottom w:val="single" w:color="auto" w:sz="4" w:space="0"/>
              <w:right w:val="single" w:color="auto" w:sz="4" w:space="0"/>
            </w:tcBorders>
          </w:tcPr>
          <w:p w14:paraId="792A4C7A">
            <w:pPr>
              <w:autoSpaceDE w:val="0"/>
              <w:autoSpaceDN w:val="0"/>
              <w:adjustRightInd w:val="0"/>
              <w:snapToGrid w:val="0"/>
              <w:spacing w:line="430" w:lineRule="atLeast"/>
              <w:jc w:val="center"/>
              <w:rPr>
                <w:rFonts w:hint="eastAsia" w:ascii="宋体" w:cs="宋体"/>
                <w:b/>
                <w:color w:val="auto"/>
                <w:sz w:val="22"/>
                <w:lang w:val="zh-CN"/>
              </w:rPr>
            </w:pPr>
            <w:r>
              <w:rPr>
                <w:rFonts w:hint="eastAsia" w:ascii="宋体" w:cs="宋体"/>
                <w:b/>
                <w:color w:val="auto"/>
                <w:sz w:val="22"/>
                <w:lang w:val="zh-CN"/>
              </w:rPr>
              <w:t>内容</w:t>
            </w:r>
          </w:p>
        </w:tc>
        <w:tc>
          <w:tcPr>
            <w:tcW w:w="1401" w:type="dxa"/>
            <w:tcBorders>
              <w:top w:val="single" w:color="auto" w:sz="4" w:space="0"/>
              <w:left w:val="single" w:color="auto" w:sz="4" w:space="0"/>
              <w:bottom w:val="single" w:color="auto" w:sz="4" w:space="0"/>
              <w:right w:val="single" w:color="auto" w:sz="4" w:space="0"/>
            </w:tcBorders>
          </w:tcPr>
          <w:p w14:paraId="4EFC6BA9">
            <w:pPr>
              <w:autoSpaceDE w:val="0"/>
              <w:autoSpaceDN w:val="0"/>
              <w:adjustRightInd w:val="0"/>
              <w:snapToGrid w:val="0"/>
              <w:spacing w:line="430" w:lineRule="atLeast"/>
              <w:jc w:val="center"/>
              <w:rPr>
                <w:rFonts w:hint="eastAsia" w:ascii="宋体" w:cs="宋体"/>
                <w:b/>
                <w:color w:val="auto"/>
                <w:sz w:val="22"/>
                <w:lang w:val="zh-CN"/>
              </w:rPr>
            </w:pPr>
            <w:r>
              <w:rPr>
                <w:rFonts w:hint="eastAsia" w:ascii="宋体" w:cs="宋体"/>
                <w:b/>
                <w:color w:val="auto"/>
                <w:sz w:val="22"/>
                <w:lang w:val="zh-CN"/>
              </w:rPr>
              <w:t>说明</w:t>
            </w:r>
          </w:p>
        </w:tc>
      </w:tr>
      <w:tr w14:paraId="4094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B1996C6">
            <w:pPr>
              <w:autoSpaceDE w:val="0"/>
              <w:autoSpaceDN w:val="0"/>
              <w:adjustRightInd w:val="0"/>
              <w:snapToGrid w:val="0"/>
              <w:spacing w:line="430" w:lineRule="atLeast"/>
              <w:jc w:val="center"/>
              <w:rPr>
                <w:rFonts w:hint="eastAsia" w:ascii="宋体" w:cs="宋体"/>
                <w:color w:val="auto"/>
                <w:sz w:val="22"/>
                <w:szCs w:val="22"/>
                <w:lang w:val="zh-CN"/>
              </w:rPr>
            </w:pPr>
            <w:r>
              <w:rPr>
                <w:rFonts w:ascii="宋体" w:cs="宋体"/>
                <w:color w:val="auto"/>
                <w:sz w:val="22"/>
                <w:szCs w:val="22"/>
                <w:lang w:val="zh-CN"/>
              </w:rPr>
              <w:t>1</w:t>
            </w:r>
          </w:p>
        </w:tc>
        <w:tc>
          <w:tcPr>
            <w:tcW w:w="7346" w:type="dxa"/>
            <w:tcBorders>
              <w:top w:val="single" w:color="auto" w:sz="4" w:space="0"/>
              <w:left w:val="single" w:color="auto" w:sz="4" w:space="0"/>
              <w:bottom w:val="single" w:color="auto" w:sz="4" w:space="0"/>
              <w:right w:val="single" w:color="auto" w:sz="4" w:space="0"/>
            </w:tcBorders>
          </w:tcPr>
          <w:p w14:paraId="26CC80D7">
            <w:pPr>
              <w:widowControl/>
              <w:overflowPunct w:val="0"/>
              <w:autoSpaceDE w:val="0"/>
              <w:autoSpaceDN w:val="0"/>
              <w:adjustRightInd w:val="0"/>
              <w:spacing w:line="440" w:lineRule="exact"/>
              <w:ind w:left="550" w:hanging="550" w:hangingChars="250"/>
              <w:jc w:val="left"/>
              <w:textAlignment w:val="baseline"/>
              <w:rPr>
                <w:rFonts w:hint="eastAsia" w:ascii="宋体" w:hAnsi="宋体" w:cs="宋体"/>
                <w:color w:val="auto"/>
                <w:kern w:val="0"/>
                <w:sz w:val="22"/>
                <w:szCs w:val="22"/>
              </w:rPr>
            </w:pPr>
            <w:r>
              <w:rPr>
                <w:rFonts w:hint="eastAsia" w:ascii="宋体" w:hAnsi="宋体" w:cs="宋体"/>
                <w:color w:val="auto"/>
                <w:sz w:val="22"/>
                <w:szCs w:val="22"/>
              </w:rPr>
              <w:t>法定代表人身份证明或法定代表人授权书</w:t>
            </w:r>
          </w:p>
        </w:tc>
        <w:tc>
          <w:tcPr>
            <w:tcW w:w="1401" w:type="dxa"/>
            <w:tcBorders>
              <w:top w:val="single" w:color="auto" w:sz="4" w:space="0"/>
              <w:left w:val="single" w:color="auto" w:sz="4" w:space="0"/>
              <w:bottom w:val="single" w:color="auto" w:sz="4" w:space="0"/>
              <w:right w:val="single" w:color="auto" w:sz="4" w:space="0"/>
            </w:tcBorders>
          </w:tcPr>
          <w:p w14:paraId="6F264CC2">
            <w:pPr>
              <w:autoSpaceDE w:val="0"/>
              <w:autoSpaceDN w:val="0"/>
              <w:adjustRightInd w:val="0"/>
              <w:snapToGrid w:val="0"/>
              <w:spacing w:line="430" w:lineRule="atLeast"/>
              <w:jc w:val="center"/>
              <w:rPr>
                <w:rFonts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10</w:t>
            </w:r>
            <w:r>
              <w:rPr>
                <w:rFonts w:hint="eastAsia" w:ascii="宋体" w:hAnsi="宋体" w:cs="宋体"/>
                <w:color w:val="auto"/>
                <w:sz w:val="22"/>
                <w:szCs w:val="22"/>
              </w:rPr>
              <w:t>-1、2</w:t>
            </w:r>
          </w:p>
        </w:tc>
      </w:tr>
      <w:tr w14:paraId="7BE1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7E5BCC8A">
            <w:pPr>
              <w:autoSpaceDE w:val="0"/>
              <w:autoSpaceDN w:val="0"/>
              <w:adjustRightInd w:val="0"/>
              <w:snapToGrid w:val="0"/>
              <w:spacing w:line="430" w:lineRule="atLeast"/>
              <w:jc w:val="center"/>
              <w:rPr>
                <w:rFonts w:hint="eastAsia" w:ascii="宋体" w:cs="宋体"/>
                <w:color w:val="auto"/>
                <w:sz w:val="22"/>
                <w:szCs w:val="22"/>
                <w:lang w:val="zh-CN"/>
              </w:rPr>
            </w:pPr>
            <w:r>
              <w:rPr>
                <w:rFonts w:ascii="宋体" w:cs="宋体"/>
                <w:color w:val="auto"/>
                <w:sz w:val="22"/>
                <w:szCs w:val="22"/>
                <w:lang w:val="zh-CN"/>
              </w:rPr>
              <w:t>2</w:t>
            </w:r>
          </w:p>
        </w:tc>
        <w:tc>
          <w:tcPr>
            <w:tcW w:w="7346" w:type="dxa"/>
            <w:tcBorders>
              <w:top w:val="single" w:color="auto" w:sz="4" w:space="0"/>
              <w:left w:val="single" w:color="auto" w:sz="4" w:space="0"/>
              <w:bottom w:val="single" w:color="auto" w:sz="4" w:space="0"/>
              <w:right w:val="single" w:color="auto" w:sz="4" w:space="0"/>
            </w:tcBorders>
            <w:vAlign w:val="center"/>
          </w:tcPr>
          <w:p w14:paraId="65754576">
            <w:pPr>
              <w:widowControl/>
              <w:overflowPunct w:val="0"/>
              <w:autoSpaceDE w:val="0"/>
              <w:autoSpaceDN w:val="0"/>
              <w:adjustRightInd w:val="0"/>
              <w:spacing w:line="440" w:lineRule="exact"/>
              <w:ind w:left="550" w:hanging="550" w:hangingChars="250"/>
              <w:jc w:val="left"/>
              <w:textAlignment w:val="baseline"/>
              <w:rPr>
                <w:rFonts w:hint="eastAsia" w:ascii="宋体" w:hAnsi="宋体" w:cs="宋体"/>
                <w:color w:val="auto"/>
                <w:kern w:val="0"/>
                <w:sz w:val="22"/>
                <w:szCs w:val="22"/>
              </w:rPr>
            </w:pPr>
            <w:r>
              <w:rPr>
                <w:rFonts w:hint="eastAsia" w:ascii="宋体" w:hAnsi="宋体" w:cs="宋体"/>
                <w:color w:val="auto"/>
                <w:sz w:val="22"/>
                <w:szCs w:val="22"/>
              </w:rPr>
              <w:t>符合参加政府采购活动应当具备的一般条件的承诺函</w:t>
            </w:r>
          </w:p>
        </w:tc>
        <w:tc>
          <w:tcPr>
            <w:tcW w:w="1401" w:type="dxa"/>
            <w:tcBorders>
              <w:top w:val="single" w:color="auto" w:sz="4" w:space="0"/>
              <w:left w:val="single" w:color="auto" w:sz="4" w:space="0"/>
              <w:bottom w:val="single" w:color="auto" w:sz="4" w:space="0"/>
              <w:right w:val="single" w:color="auto" w:sz="4" w:space="0"/>
            </w:tcBorders>
          </w:tcPr>
          <w:p w14:paraId="60EEFFB4">
            <w:pPr>
              <w:autoSpaceDE w:val="0"/>
              <w:autoSpaceDN w:val="0"/>
              <w:adjustRightInd w:val="0"/>
              <w:snapToGrid w:val="0"/>
              <w:spacing w:line="430" w:lineRule="atLeast"/>
              <w:jc w:val="center"/>
              <w:rPr>
                <w:rFonts w:hint="eastAsia" w:ascii="宋体" w:hAnsi="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10</w:t>
            </w:r>
            <w:r>
              <w:rPr>
                <w:rFonts w:hint="eastAsia" w:ascii="宋体" w:hAnsi="宋体" w:cs="宋体"/>
                <w:color w:val="auto"/>
                <w:sz w:val="22"/>
                <w:szCs w:val="22"/>
              </w:rPr>
              <w:t>-3</w:t>
            </w:r>
          </w:p>
        </w:tc>
      </w:tr>
      <w:tr w14:paraId="2535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BE238FD">
            <w:pPr>
              <w:autoSpaceDE w:val="0"/>
              <w:autoSpaceDN w:val="0"/>
              <w:adjustRightInd w:val="0"/>
              <w:snapToGrid w:val="0"/>
              <w:spacing w:line="430" w:lineRule="atLeast"/>
              <w:jc w:val="center"/>
              <w:rPr>
                <w:rFonts w:hint="eastAsia" w:ascii="宋体" w:cs="宋体"/>
                <w:color w:val="auto"/>
                <w:sz w:val="22"/>
                <w:szCs w:val="22"/>
                <w:lang w:val="zh-CN"/>
              </w:rPr>
            </w:pPr>
            <w:r>
              <w:rPr>
                <w:rFonts w:ascii="宋体" w:cs="宋体"/>
                <w:color w:val="auto"/>
                <w:sz w:val="22"/>
                <w:szCs w:val="22"/>
                <w:lang w:val="zh-CN"/>
              </w:rPr>
              <w:t>3</w:t>
            </w:r>
          </w:p>
        </w:tc>
        <w:tc>
          <w:tcPr>
            <w:tcW w:w="7346" w:type="dxa"/>
            <w:tcBorders>
              <w:top w:val="single" w:color="auto" w:sz="4" w:space="0"/>
              <w:left w:val="single" w:color="auto" w:sz="4" w:space="0"/>
              <w:bottom w:val="single" w:color="auto" w:sz="4" w:space="0"/>
              <w:right w:val="single" w:color="auto" w:sz="4" w:space="0"/>
            </w:tcBorders>
            <w:vAlign w:val="center"/>
          </w:tcPr>
          <w:p w14:paraId="1B628BFA">
            <w:pPr>
              <w:autoSpaceDE w:val="0"/>
              <w:autoSpaceDN w:val="0"/>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磋商供应商企业法人有效营业执照（或事业法人登记证书或其它工商等登记证明材料，自然人提供身份证)复制件（如为联合体，则联合体各方均应提供）（五选一）</w:t>
            </w:r>
          </w:p>
          <w:p w14:paraId="329DE37B">
            <w:pPr>
              <w:autoSpaceDE w:val="0"/>
              <w:autoSpaceDN w:val="0"/>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①如磋商供应商是企业（包括合伙企业），提供在工商部门注册的有效“企业法人营业执照”或“营业执照”；</w:t>
            </w:r>
          </w:p>
          <w:p w14:paraId="4E7C7426">
            <w:pPr>
              <w:autoSpaceDE w:val="0"/>
              <w:autoSpaceDN w:val="0"/>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②如磋商供应商是事业单位，提供有效的“事业单位法人证书”；</w:t>
            </w:r>
          </w:p>
          <w:p w14:paraId="4B4D1780">
            <w:pPr>
              <w:autoSpaceDE w:val="0"/>
              <w:autoSpaceDN w:val="0"/>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③如磋商供应商是非企业专业服务机构的，提供执业许可证等证明文件；</w:t>
            </w:r>
          </w:p>
          <w:p w14:paraId="41E0B53E">
            <w:pPr>
              <w:autoSpaceDE w:val="0"/>
              <w:autoSpaceDN w:val="0"/>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④如磋商供应商是个体工商户，提供有效的“个体工商户营业执照”；</w:t>
            </w:r>
          </w:p>
          <w:p w14:paraId="571C9FC9">
            <w:pPr>
              <w:autoSpaceDE w:val="0"/>
              <w:autoSpaceDN w:val="0"/>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⑤如磋商供应商是自然人，提供有效的自然人身份证明（居民身份证正反面或公安机关出具的临时居民身份证正反面或港澳台胞证或护照）。</w:t>
            </w:r>
          </w:p>
          <w:p w14:paraId="162BDA96">
            <w:pPr>
              <w:autoSpaceDE w:val="0"/>
              <w:autoSpaceDN w:val="0"/>
              <w:adjustRightInd w:val="0"/>
              <w:snapToGrid w:val="0"/>
              <w:spacing w:line="440" w:lineRule="exact"/>
              <w:rPr>
                <w:rFonts w:hint="eastAsia" w:ascii="宋体" w:hAnsi="宋体" w:cs="宋体"/>
                <w:color w:val="auto"/>
                <w:kern w:val="0"/>
                <w:sz w:val="22"/>
                <w:szCs w:val="22"/>
              </w:rPr>
            </w:pPr>
            <w:r>
              <w:rPr>
                <w:rFonts w:hint="eastAsia" w:ascii="宋体" w:hAnsi="宋体" w:eastAsia="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01" w:type="dxa"/>
            <w:tcBorders>
              <w:top w:val="single" w:color="auto" w:sz="4" w:space="0"/>
              <w:left w:val="single" w:color="auto" w:sz="4" w:space="0"/>
              <w:bottom w:val="single" w:color="auto" w:sz="4" w:space="0"/>
              <w:right w:val="single" w:color="auto" w:sz="4" w:space="0"/>
            </w:tcBorders>
            <w:vAlign w:val="center"/>
          </w:tcPr>
          <w:p w14:paraId="7A97A7CD">
            <w:pPr>
              <w:autoSpaceDE w:val="0"/>
              <w:autoSpaceDN w:val="0"/>
              <w:adjustRightInd w:val="0"/>
              <w:snapToGrid w:val="0"/>
              <w:spacing w:line="430" w:lineRule="atLeast"/>
              <w:jc w:val="center"/>
              <w:rPr>
                <w:rFonts w:hint="eastAsia" w:ascii="宋体" w:hAnsi="宋体" w:cs="宋体"/>
                <w:color w:val="auto"/>
                <w:sz w:val="22"/>
                <w:szCs w:val="22"/>
                <w:lang w:val="zh-CN"/>
              </w:rPr>
            </w:pPr>
          </w:p>
        </w:tc>
      </w:tr>
      <w:tr w14:paraId="41EB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970C044">
            <w:pPr>
              <w:autoSpaceDE w:val="0"/>
              <w:autoSpaceDN w:val="0"/>
              <w:adjustRightInd w:val="0"/>
              <w:snapToGrid w:val="0"/>
              <w:spacing w:line="430" w:lineRule="atLeast"/>
              <w:jc w:val="center"/>
              <w:rPr>
                <w:rFonts w:hint="eastAsia" w:ascii="宋体" w:cs="宋体"/>
                <w:color w:val="auto"/>
                <w:sz w:val="22"/>
                <w:szCs w:val="22"/>
                <w:lang w:val="zh-CN"/>
              </w:rPr>
            </w:pPr>
            <w:r>
              <w:rPr>
                <w:rFonts w:ascii="宋体" w:cs="宋体"/>
                <w:color w:val="auto"/>
                <w:sz w:val="22"/>
                <w:szCs w:val="22"/>
                <w:lang w:val="zh-CN"/>
              </w:rPr>
              <w:t>4</w:t>
            </w:r>
          </w:p>
        </w:tc>
        <w:tc>
          <w:tcPr>
            <w:tcW w:w="7346" w:type="dxa"/>
            <w:tcBorders>
              <w:top w:val="single" w:color="auto" w:sz="4" w:space="0"/>
              <w:left w:val="single" w:color="auto" w:sz="4" w:space="0"/>
              <w:bottom w:val="single" w:color="auto" w:sz="4" w:space="0"/>
              <w:right w:val="single" w:color="auto" w:sz="4" w:space="0"/>
            </w:tcBorders>
            <w:vAlign w:val="top"/>
          </w:tcPr>
          <w:p w14:paraId="57D66D99">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2"/>
                <w:sz w:val="22"/>
                <w:szCs w:val="24"/>
                <w:lang w:val="en-US" w:eastAsia="zh-CN" w:bidi="ar-SA"/>
              </w:rPr>
            </w:pPr>
            <w:r>
              <w:rPr>
                <w:rFonts w:hint="eastAsia" w:ascii="宋体" w:hAnsi="宋体" w:cs="宋体"/>
                <w:color w:val="auto"/>
                <w:sz w:val="22"/>
              </w:rPr>
              <w:t>分包协议书（如有）</w:t>
            </w:r>
          </w:p>
        </w:tc>
        <w:tc>
          <w:tcPr>
            <w:tcW w:w="1401" w:type="dxa"/>
            <w:tcBorders>
              <w:top w:val="single" w:color="auto" w:sz="4" w:space="0"/>
              <w:left w:val="single" w:color="auto" w:sz="4" w:space="0"/>
              <w:bottom w:val="single" w:color="auto" w:sz="4" w:space="0"/>
              <w:right w:val="single" w:color="auto" w:sz="4" w:space="0"/>
            </w:tcBorders>
          </w:tcPr>
          <w:p w14:paraId="5DFE9FEC">
            <w:pPr>
              <w:autoSpaceDE w:val="0"/>
              <w:autoSpaceDN w:val="0"/>
              <w:adjustRightInd w:val="0"/>
              <w:snapToGrid w:val="0"/>
              <w:spacing w:line="430" w:lineRule="atLeast"/>
              <w:jc w:val="center"/>
              <w:rPr>
                <w:rFonts w:hint="eastAsia"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10</w:t>
            </w:r>
            <w:r>
              <w:rPr>
                <w:rFonts w:hint="eastAsia" w:ascii="宋体" w:hAnsi="宋体" w:cs="宋体"/>
                <w:color w:val="auto"/>
                <w:sz w:val="22"/>
                <w:szCs w:val="22"/>
              </w:rPr>
              <w:t>-4</w:t>
            </w:r>
          </w:p>
        </w:tc>
      </w:tr>
      <w:tr w14:paraId="09FF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5950DF4">
            <w:pPr>
              <w:autoSpaceDE w:val="0"/>
              <w:autoSpaceDN w:val="0"/>
              <w:adjustRightInd w:val="0"/>
              <w:snapToGrid w:val="0"/>
              <w:spacing w:line="430" w:lineRule="atLeast"/>
              <w:jc w:val="center"/>
              <w:rPr>
                <w:rFonts w:hint="eastAsia" w:ascii="宋体" w:cs="宋体"/>
                <w:color w:val="auto"/>
                <w:sz w:val="22"/>
                <w:szCs w:val="22"/>
              </w:rPr>
            </w:pPr>
            <w:r>
              <w:rPr>
                <w:rFonts w:hint="eastAsia" w:ascii="宋体" w:cs="宋体"/>
                <w:color w:val="auto"/>
                <w:sz w:val="22"/>
                <w:szCs w:val="22"/>
              </w:rPr>
              <w:t>5</w:t>
            </w:r>
          </w:p>
        </w:tc>
        <w:tc>
          <w:tcPr>
            <w:tcW w:w="7346" w:type="dxa"/>
            <w:tcBorders>
              <w:top w:val="single" w:color="auto" w:sz="4" w:space="0"/>
              <w:left w:val="single" w:color="auto" w:sz="4" w:space="0"/>
              <w:bottom w:val="single" w:color="auto" w:sz="4" w:space="0"/>
              <w:right w:val="single" w:color="auto" w:sz="4" w:space="0"/>
            </w:tcBorders>
            <w:vAlign w:val="top"/>
          </w:tcPr>
          <w:p w14:paraId="45B00E9F">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2"/>
                <w:sz w:val="22"/>
                <w:szCs w:val="22"/>
                <w:lang w:val="en-US" w:eastAsia="zh-CN" w:bidi="ar-SA"/>
              </w:rPr>
            </w:pPr>
            <w:r>
              <w:rPr>
                <w:rFonts w:hint="eastAsia" w:ascii="宋体" w:hAnsi="宋体"/>
                <w:bCs/>
                <w:color w:val="auto"/>
                <w:kern w:val="0"/>
                <w:sz w:val="22"/>
                <w:szCs w:val="22"/>
                <w:highlight w:val="none"/>
              </w:rPr>
              <w:t>具备电力工程施工总承包三级及以上资质（或输变电工程专业承包三级及以上资质）</w:t>
            </w:r>
          </w:p>
        </w:tc>
        <w:tc>
          <w:tcPr>
            <w:tcW w:w="1401" w:type="dxa"/>
            <w:tcBorders>
              <w:top w:val="single" w:color="auto" w:sz="4" w:space="0"/>
              <w:left w:val="single" w:color="auto" w:sz="4" w:space="0"/>
              <w:bottom w:val="single" w:color="auto" w:sz="4" w:space="0"/>
              <w:right w:val="single" w:color="auto" w:sz="4" w:space="0"/>
            </w:tcBorders>
            <w:vAlign w:val="top"/>
          </w:tcPr>
          <w:p w14:paraId="6B364710">
            <w:pPr>
              <w:autoSpaceDE w:val="0"/>
              <w:autoSpaceDN w:val="0"/>
              <w:adjustRightInd w:val="0"/>
              <w:snapToGrid w:val="0"/>
              <w:spacing w:line="430" w:lineRule="atLeast"/>
              <w:jc w:val="center"/>
              <w:rPr>
                <w:rFonts w:hint="eastAsia" w:ascii="宋体" w:hAnsi="宋体" w:eastAsia="宋体" w:cs="宋体"/>
                <w:color w:val="auto"/>
                <w:kern w:val="2"/>
                <w:sz w:val="22"/>
                <w:szCs w:val="22"/>
                <w:lang w:val="en-US" w:eastAsia="zh-CN" w:bidi="ar-SA"/>
              </w:rPr>
            </w:pPr>
          </w:p>
        </w:tc>
      </w:tr>
      <w:tr w14:paraId="10ED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4214352E">
            <w:pPr>
              <w:autoSpaceDE w:val="0"/>
              <w:autoSpaceDN w:val="0"/>
              <w:adjustRightInd w:val="0"/>
              <w:snapToGrid w:val="0"/>
              <w:spacing w:line="430" w:lineRule="atLeast"/>
              <w:jc w:val="center"/>
              <w:rPr>
                <w:rFonts w:hint="eastAsia" w:ascii="宋体" w:eastAsia="宋体" w:cs="宋体"/>
                <w:color w:val="auto"/>
                <w:sz w:val="22"/>
                <w:szCs w:val="22"/>
                <w:lang w:val="en-US" w:eastAsia="zh-CN"/>
              </w:rPr>
            </w:pPr>
            <w:r>
              <w:rPr>
                <w:rFonts w:hint="eastAsia" w:ascii="宋体" w:cs="宋体"/>
                <w:color w:val="auto"/>
                <w:sz w:val="22"/>
                <w:szCs w:val="22"/>
                <w:lang w:val="en-US" w:eastAsia="zh-CN"/>
              </w:rPr>
              <w:t>6</w:t>
            </w:r>
          </w:p>
        </w:tc>
        <w:tc>
          <w:tcPr>
            <w:tcW w:w="7346" w:type="dxa"/>
            <w:tcBorders>
              <w:top w:val="single" w:color="auto" w:sz="4" w:space="0"/>
              <w:left w:val="single" w:color="auto" w:sz="4" w:space="0"/>
              <w:bottom w:val="single" w:color="auto" w:sz="4" w:space="0"/>
              <w:right w:val="single" w:color="auto" w:sz="4" w:space="0"/>
            </w:tcBorders>
            <w:vAlign w:val="top"/>
          </w:tcPr>
          <w:p w14:paraId="3ACDCEA8">
            <w:pPr>
              <w:widowControl/>
              <w:overflowPunct w:val="0"/>
              <w:autoSpaceDE w:val="0"/>
              <w:autoSpaceDN w:val="0"/>
              <w:adjustRightInd w:val="0"/>
              <w:spacing w:line="440" w:lineRule="exact"/>
              <w:jc w:val="left"/>
              <w:textAlignment w:val="baseline"/>
              <w:rPr>
                <w:rFonts w:hint="eastAsia" w:ascii="宋体" w:hAnsi="宋体" w:cs="宋体"/>
                <w:color w:val="auto"/>
                <w:kern w:val="0"/>
                <w:sz w:val="22"/>
                <w:szCs w:val="22"/>
              </w:rPr>
            </w:pPr>
            <w:r>
              <w:rPr>
                <w:rFonts w:hint="eastAsia" w:ascii="宋体" w:hAnsi="宋体" w:cs="宋体"/>
                <w:color w:val="auto"/>
                <w:kern w:val="0"/>
                <w:sz w:val="22"/>
                <w:szCs w:val="22"/>
              </w:rPr>
              <w:t>具备国家电力监督委员会颁发的承装（修、试）电力设施五级及以上建筑业企业资质</w:t>
            </w:r>
          </w:p>
        </w:tc>
        <w:tc>
          <w:tcPr>
            <w:tcW w:w="1401" w:type="dxa"/>
            <w:tcBorders>
              <w:top w:val="single" w:color="auto" w:sz="4" w:space="0"/>
              <w:left w:val="single" w:color="auto" w:sz="4" w:space="0"/>
              <w:bottom w:val="single" w:color="auto" w:sz="4" w:space="0"/>
              <w:right w:val="single" w:color="auto" w:sz="4" w:space="0"/>
            </w:tcBorders>
            <w:vAlign w:val="top"/>
          </w:tcPr>
          <w:p w14:paraId="06726717">
            <w:pPr>
              <w:autoSpaceDE w:val="0"/>
              <w:autoSpaceDN w:val="0"/>
              <w:adjustRightInd w:val="0"/>
              <w:snapToGrid w:val="0"/>
              <w:spacing w:line="430" w:lineRule="atLeast"/>
              <w:jc w:val="center"/>
              <w:rPr>
                <w:rFonts w:hint="eastAsia" w:ascii="宋体" w:hAnsi="宋体" w:eastAsia="宋体" w:cs="Times New Roman"/>
                <w:color w:val="auto"/>
                <w:kern w:val="2"/>
                <w:sz w:val="22"/>
                <w:szCs w:val="22"/>
                <w:lang w:val="en-US" w:eastAsia="zh-CN" w:bidi="ar-SA"/>
              </w:rPr>
            </w:pPr>
          </w:p>
        </w:tc>
      </w:tr>
      <w:tr w14:paraId="08E5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B8D8520">
            <w:pPr>
              <w:autoSpaceDE w:val="0"/>
              <w:autoSpaceDN w:val="0"/>
              <w:adjustRightInd w:val="0"/>
              <w:snapToGrid w:val="0"/>
              <w:spacing w:line="430" w:lineRule="atLeast"/>
              <w:jc w:val="center"/>
              <w:rPr>
                <w:rFonts w:hint="eastAsia" w:ascii="宋体" w:eastAsia="宋体" w:cs="宋体"/>
                <w:color w:val="auto"/>
                <w:sz w:val="22"/>
                <w:szCs w:val="22"/>
                <w:lang w:val="zh-CN" w:eastAsia="zh-CN"/>
              </w:rPr>
            </w:pPr>
            <w:r>
              <w:rPr>
                <w:rFonts w:hint="eastAsia" w:ascii="宋体" w:cs="宋体"/>
                <w:color w:val="auto"/>
                <w:sz w:val="22"/>
                <w:szCs w:val="22"/>
                <w:lang w:val="en-US" w:eastAsia="zh-CN"/>
              </w:rPr>
              <w:t>7</w:t>
            </w:r>
          </w:p>
        </w:tc>
        <w:tc>
          <w:tcPr>
            <w:tcW w:w="7346" w:type="dxa"/>
            <w:tcBorders>
              <w:top w:val="single" w:color="auto" w:sz="4" w:space="0"/>
              <w:left w:val="single" w:color="auto" w:sz="4" w:space="0"/>
              <w:bottom w:val="single" w:color="auto" w:sz="4" w:space="0"/>
              <w:right w:val="single" w:color="auto" w:sz="4" w:space="0"/>
            </w:tcBorders>
            <w:vAlign w:val="top"/>
          </w:tcPr>
          <w:p w14:paraId="194B3ED5">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具有有效安全生产许可证（或有效的安全生产许可证电子证书打印件）</w:t>
            </w:r>
          </w:p>
        </w:tc>
        <w:tc>
          <w:tcPr>
            <w:tcW w:w="1401" w:type="dxa"/>
            <w:tcBorders>
              <w:top w:val="single" w:color="auto" w:sz="4" w:space="0"/>
              <w:left w:val="single" w:color="auto" w:sz="4" w:space="0"/>
              <w:bottom w:val="single" w:color="auto" w:sz="4" w:space="0"/>
              <w:right w:val="single" w:color="auto" w:sz="4" w:space="0"/>
            </w:tcBorders>
            <w:vAlign w:val="top"/>
          </w:tcPr>
          <w:p w14:paraId="20A6BBC3">
            <w:pPr>
              <w:autoSpaceDE w:val="0"/>
              <w:autoSpaceDN w:val="0"/>
              <w:adjustRightInd w:val="0"/>
              <w:snapToGrid w:val="0"/>
              <w:spacing w:line="430" w:lineRule="atLeast"/>
              <w:jc w:val="center"/>
              <w:rPr>
                <w:rFonts w:hint="eastAsia" w:ascii="宋体" w:hAnsi="宋体" w:eastAsia="宋体" w:cs="Times New Roman"/>
                <w:color w:val="auto"/>
                <w:kern w:val="2"/>
                <w:sz w:val="22"/>
                <w:szCs w:val="22"/>
                <w:lang w:val="en-US" w:eastAsia="zh-CN" w:bidi="ar-SA"/>
              </w:rPr>
            </w:pPr>
          </w:p>
        </w:tc>
      </w:tr>
      <w:tr w14:paraId="7E8E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7B7DB646">
            <w:pPr>
              <w:autoSpaceDE w:val="0"/>
              <w:autoSpaceDN w:val="0"/>
              <w:adjustRightInd w:val="0"/>
              <w:snapToGrid w:val="0"/>
              <w:spacing w:line="430" w:lineRule="atLeast"/>
              <w:jc w:val="center"/>
              <w:rPr>
                <w:rFonts w:hint="eastAsia" w:ascii="宋体" w:eastAsia="宋体" w:cs="宋体"/>
                <w:color w:val="auto"/>
                <w:sz w:val="22"/>
                <w:szCs w:val="22"/>
                <w:lang w:val="zh-CN" w:eastAsia="zh-CN"/>
              </w:rPr>
            </w:pPr>
            <w:r>
              <w:rPr>
                <w:rFonts w:hint="eastAsia" w:ascii="宋体" w:cs="宋体"/>
                <w:color w:val="auto"/>
                <w:sz w:val="22"/>
                <w:szCs w:val="22"/>
                <w:lang w:val="en-US" w:eastAsia="zh-CN"/>
              </w:rPr>
              <w:t>8</w:t>
            </w:r>
          </w:p>
        </w:tc>
        <w:tc>
          <w:tcPr>
            <w:tcW w:w="7346" w:type="dxa"/>
            <w:tcBorders>
              <w:top w:val="single" w:color="auto" w:sz="4" w:space="0"/>
              <w:left w:val="single" w:color="auto" w:sz="4" w:space="0"/>
              <w:bottom w:val="single" w:color="auto" w:sz="4" w:space="0"/>
              <w:right w:val="single" w:color="auto" w:sz="4" w:space="0"/>
            </w:tcBorders>
            <w:vAlign w:val="top"/>
          </w:tcPr>
          <w:p w14:paraId="32379B97">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企业主要负责人具有“三类人员”A类证书</w:t>
            </w:r>
          </w:p>
        </w:tc>
        <w:tc>
          <w:tcPr>
            <w:tcW w:w="1401" w:type="dxa"/>
            <w:tcBorders>
              <w:top w:val="single" w:color="auto" w:sz="4" w:space="0"/>
              <w:left w:val="single" w:color="auto" w:sz="4" w:space="0"/>
              <w:bottom w:val="single" w:color="auto" w:sz="4" w:space="0"/>
              <w:right w:val="single" w:color="auto" w:sz="4" w:space="0"/>
            </w:tcBorders>
            <w:vAlign w:val="top"/>
          </w:tcPr>
          <w:p w14:paraId="719B8A3A">
            <w:pPr>
              <w:autoSpaceDE w:val="0"/>
              <w:autoSpaceDN w:val="0"/>
              <w:adjustRightInd w:val="0"/>
              <w:snapToGrid w:val="0"/>
              <w:spacing w:line="430" w:lineRule="atLeast"/>
              <w:jc w:val="center"/>
              <w:rPr>
                <w:rFonts w:hint="eastAsia" w:ascii="宋体" w:hAnsi="宋体" w:eastAsia="宋体" w:cs="Times New Roman"/>
                <w:color w:val="auto"/>
                <w:kern w:val="2"/>
                <w:sz w:val="22"/>
                <w:szCs w:val="22"/>
                <w:lang w:val="en-US" w:eastAsia="zh-CN" w:bidi="ar-SA"/>
              </w:rPr>
            </w:pPr>
          </w:p>
        </w:tc>
      </w:tr>
      <w:tr w14:paraId="170F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43B5B607">
            <w:pPr>
              <w:autoSpaceDE w:val="0"/>
              <w:autoSpaceDN w:val="0"/>
              <w:adjustRightInd w:val="0"/>
              <w:snapToGrid w:val="0"/>
              <w:spacing w:line="430" w:lineRule="atLeast"/>
              <w:jc w:val="center"/>
              <w:rPr>
                <w:rFonts w:hint="default" w:ascii="宋体" w:eastAsia="宋体" w:cs="宋体"/>
                <w:color w:val="auto"/>
                <w:sz w:val="22"/>
                <w:szCs w:val="22"/>
                <w:lang w:val="en-US" w:eastAsia="zh-CN"/>
              </w:rPr>
            </w:pPr>
            <w:r>
              <w:rPr>
                <w:rFonts w:hint="eastAsia" w:ascii="宋体" w:cs="宋体"/>
                <w:color w:val="auto"/>
                <w:sz w:val="22"/>
                <w:szCs w:val="22"/>
                <w:lang w:val="en-US" w:eastAsia="zh-CN"/>
              </w:rPr>
              <w:t>9</w:t>
            </w:r>
          </w:p>
        </w:tc>
        <w:tc>
          <w:tcPr>
            <w:tcW w:w="7346" w:type="dxa"/>
            <w:tcBorders>
              <w:top w:val="single" w:color="auto" w:sz="4" w:space="0"/>
              <w:left w:val="single" w:color="auto" w:sz="4" w:space="0"/>
              <w:bottom w:val="single" w:color="auto" w:sz="4" w:space="0"/>
              <w:right w:val="single" w:color="auto" w:sz="4" w:space="0"/>
            </w:tcBorders>
            <w:vAlign w:val="top"/>
          </w:tcPr>
          <w:p w14:paraId="4C708F57">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拟派项目经理具有机电工程专业注册建造师二级及以上资格</w:t>
            </w:r>
          </w:p>
        </w:tc>
        <w:tc>
          <w:tcPr>
            <w:tcW w:w="1401" w:type="dxa"/>
            <w:tcBorders>
              <w:top w:val="single" w:color="auto" w:sz="4" w:space="0"/>
              <w:left w:val="single" w:color="auto" w:sz="4" w:space="0"/>
              <w:bottom w:val="single" w:color="auto" w:sz="4" w:space="0"/>
              <w:right w:val="single" w:color="auto" w:sz="4" w:space="0"/>
            </w:tcBorders>
            <w:vAlign w:val="top"/>
          </w:tcPr>
          <w:p w14:paraId="6D0DE4B5">
            <w:pPr>
              <w:autoSpaceDE w:val="0"/>
              <w:autoSpaceDN w:val="0"/>
              <w:adjustRightInd w:val="0"/>
              <w:snapToGrid w:val="0"/>
              <w:spacing w:line="430" w:lineRule="atLeast"/>
              <w:jc w:val="center"/>
              <w:rPr>
                <w:rFonts w:hint="eastAsia" w:ascii="宋体" w:hAnsi="宋体" w:eastAsia="宋体" w:cs="宋体"/>
                <w:color w:val="auto"/>
                <w:kern w:val="2"/>
                <w:sz w:val="22"/>
                <w:szCs w:val="22"/>
                <w:lang w:val="zh-CN" w:eastAsia="zh-CN" w:bidi="ar-SA"/>
              </w:rPr>
            </w:pPr>
          </w:p>
        </w:tc>
      </w:tr>
      <w:tr w14:paraId="15D4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9A22452">
            <w:pPr>
              <w:autoSpaceDE w:val="0"/>
              <w:autoSpaceDN w:val="0"/>
              <w:adjustRightInd w:val="0"/>
              <w:snapToGrid w:val="0"/>
              <w:spacing w:line="430" w:lineRule="atLeast"/>
              <w:jc w:val="center"/>
              <w:rPr>
                <w:rFonts w:hint="default" w:ascii="宋体" w:eastAsia="宋体" w:cs="宋体"/>
                <w:color w:val="auto"/>
                <w:sz w:val="22"/>
                <w:szCs w:val="22"/>
                <w:lang w:val="en-US" w:eastAsia="zh-CN"/>
              </w:rPr>
            </w:pPr>
            <w:r>
              <w:rPr>
                <w:rFonts w:hint="eastAsia" w:ascii="宋体" w:cs="宋体"/>
                <w:color w:val="auto"/>
                <w:sz w:val="22"/>
                <w:szCs w:val="22"/>
                <w:lang w:val="en-US" w:eastAsia="zh-CN"/>
              </w:rPr>
              <w:t>10</w:t>
            </w:r>
          </w:p>
        </w:tc>
        <w:tc>
          <w:tcPr>
            <w:tcW w:w="7346" w:type="dxa"/>
            <w:tcBorders>
              <w:top w:val="single" w:color="auto" w:sz="4" w:space="0"/>
              <w:left w:val="single" w:color="auto" w:sz="4" w:space="0"/>
              <w:bottom w:val="single" w:color="auto" w:sz="4" w:space="0"/>
              <w:right w:val="single" w:color="auto" w:sz="4" w:space="0"/>
            </w:tcBorders>
            <w:vAlign w:val="top"/>
          </w:tcPr>
          <w:p w14:paraId="6FE3290C">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lang w:val="en-US" w:eastAsia="zh-CN" w:bidi="ar-SA"/>
              </w:rPr>
            </w:pPr>
            <w:r>
              <w:rPr>
                <w:rFonts w:hint="eastAsia" w:hAnsi="宋体"/>
                <w:color w:val="auto"/>
                <w:sz w:val="22"/>
                <w:szCs w:val="22"/>
              </w:rPr>
              <w:t>中小企业声明函</w:t>
            </w:r>
          </w:p>
        </w:tc>
        <w:tc>
          <w:tcPr>
            <w:tcW w:w="1401" w:type="dxa"/>
            <w:tcBorders>
              <w:top w:val="single" w:color="auto" w:sz="4" w:space="0"/>
              <w:left w:val="single" w:color="auto" w:sz="4" w:space="0"/>
              <w:bottom w:val="single" w:color="auto" w:sz="4" w:space="0"/>
              <w:right w:val="single" w:color="auto" w:sz="4" w:space="0"/>
            </w:tcBorders>
            <w:vAlign w:val="top"/>
          </w:tcPr>
          <w:p w14:paraId="6BCFC4D4">
            <w:pPr>
              <w:autoSpaceDE w:val="0"/>
              <w:autoSpaceDN w:val="0"/>
              <w:adjustRightInd w:val="0"/>
              <w:snapToGrid w:val="0"/>
              <w:spacing w:line="430" w:lineRule="atLeast"/>
              <w:jc w:val="center"/>
              <w:rPr>
                <w:rFonts w:hint="eastAsia" w:ascii="宋体" w:hAnsi="宋体" w:eastAsia="宋体" w:cs="宋体"/>
                <w:color w:val="auto"/>
                <w:kern w:val="2"/>
                <w:sz w:val="22"/>
                <w:szCs w:val="24"/>
                <w:lang w:val="zh-CN" w:eastAsia="zh-CN" w:bidi="ar-SA"/>
              </w:rPr>
            </w:pPr>
            <w:r>
              <w:rPr>
                <w:rFonts w:hint="eastAsia" w:ascii="宋体" w:hAnsi="宋体"/>
                <w:color w:val="auto"/>
                <w:sz w:val="22"/>
                <w:szCs w:val="22"/>
              </w:rPr>
              <w:t>附件1</w:t>
            </w:r>
            <w:r>
              <w:rPr>
                <w:rFonts w:hint="eastAsia" w:ascii="宋体" w:hAnsi="宋体"/>
                <w:color w:val="auto"/>
                <w:sz w:val="22"/>
                <w:szCs w:val="22"/>
                <w:lang w:val="en-US" w:eastAsia="zh-CN"/>
              </w:rPr>
              <w:t>4</w:t>
            </w:r>
            <w:r>
              <w:rPr>
                <w:rFonts w:hint="eastAsia" w:ascii="宋体" w:hAnsi="宋体"/>
                <w:color w:val="auto"/>
                <w:sz w:val="22"/>
                <w:szCs w:val="22"/>
              </w:rPr>
              <w:t>-</w:t>
            </w:r>
            <w:r>
              <w:rPr>
                <w:rFonts w:ascii="宋体" w:hAnsi="宋体"/>
                <w:color w:val="auto"/>
                <w:sz w:val="22"/>
                <w:szCs w:val="22"/>
              </w:rPr>
              <w:t>1</w:t>
            </w:r>
          </w:p>
        </w:tc>
      </w:tr>
      <w:tr w14:paraId="079B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382A4ABC">
            <w:pPr>
              <w:autoSpaceDE w:val="0"/>
              <w:autoSpaceDN w:val="0"/>
              <w:adjustRightInd w:val="0"/>
              <w:snapToGrid w:val="0"/>
              <w:spacing w:line="430" w:lineRule="atLeast"/>
              <w:jc w:val="center"/>
              <w:rPr>
                <w:rFonts w:hint="default" w:ascii="宋体" w:eastAsia="宋体" w:cs="宋体"/>
                <w:color w:val="auto"/>
                <w:sz w:val="22"/>
                <w:lang w:val="en-US" w:eastAsia="zh-CN"/>
              </w:rPr>
            </w:pPr>
            <w:r>
              <w:rPr>
                <w:rFonts w:hint="eastAsia" w:ascii="宋体" w:cs="宋体"/>
                <w:color w:val="auto"/>
                <w:sz w:val="22"/>
                <w:lang w:val="en-US" w:eastAsia="zh-CN"/>
              </w:rPr>
              <w:t>11</w:t>
            </w:r>
          </w:p>
        </w:tc>
        <w:tc>
          <w:tcPr>
            <w:tcW w:w="7346" w:type="dxa"/>
            <w:tcBorders>
              <w:top w:val="single" w:color="auto" w:sz="4" w:space="0"/>
              <w:left w:val="single" w:color="auto" w:sz="4" w:space="0"/>
              <w:bottom w:val="single" w:color="auto" w:sz="4" w:space="0"/>
              <w:right w:val="single" w:color="auto" w:sz="4" w:space="0"/>
            </w:tcBorders>
            <w:vAlign w:val="top"/>
          </w:tcPr>
          <w:p w14:paraId="6872B681">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lang w:val="en-US" w:eastAsia="zh-CN" w:bidi="ar-SA"/>
              </w:rPr>
            </w:pPr>
            <w:r>
              <w:rPr>
                <w:rFonts w:hint="eastAsia" w:hAnsi="宋体"/>
                <w:color w:val="auto"/>
                <w:sz w:val="22"/>
                <w:szCs w:val="22"/>
              </w:rPr>
              <w:t>残疾人福利性单位声明函（如为残疾人单位的请根据附件内容提供）</w:t>
            </w:r>
          </w:p>
        </w:tc>
        <w:tc>
          <w:tcPr>
            <w:tcW w:w="1401" w:type="dxa"/>
            <w:tcBorders>
              <w:top w:val="single" w:color="auto" w:sz="4" w:space="0"/>
              <w:left w:val="single" w:color="auto" w:sz="4" w:space="0"/>
              <w:bottom w:val="single" w:color="auto" w:sz="4" w:space="0"/>
              <w:right w:val="single" w:color="auto" w:sz="4" w:space="0"/>
            </w:tcBorders>
            <w:vAlign w:val="top"/>
          </w:tcPr>
          <w:p w14:paraId="36A8FE73">
            <w:pPr>
              <w:autoSpaceDE w:val="0"/>
              <w:autoSpaceDN w:val="0"/>
              <w:adjustRightInd w:val="0"/>
              <w:snapToGrid w:val="0"/>
              <w:spacing w:line="430" w:lineRule="atLeast"/>
              <w:jc w:val="center"/>
              <w:rPr>
                <w:rFonts w:hint="eastAsia" w:ascii="宋体" w:hAnsi="宋体" w:eastAsia="宋体" w:cs="宋体"/>
                <w:color w:val="auto"/>
                <w:kern w:val="2"/>
                <w:sz w:val="22"/>
                <w:szCs w:val="24"/>
                <w:lang w:val="zh-CN" w:eastAsia="zh-CN" w:bidi="ar-SA"/>
              </w:rPr>
            </w:pPr>
            <w:r>
              <w:rPr>
                <w:rFonts w:hint="eastAsia" w:ascii="宋体" w:hAnsi="宋体"/>
                <w:color w:val="auto"/>
                <w:sz w:val="22"/>
                <w:szCs w:val="22"/>
              </w:rPr>
              <w:t>附件1</w:t>
            </w:r>
            <w:r>
              <w:rPr>
                <w:rFonts w:hint="eastAsia" w:ascii="宋体" w:hAnsi="宋体"/>
                <w:color w:val="auto"/>
                <w:sz w:val="22"/>
                <w:szCs w:val="22"/>
                <w:lang w:val="en-US" w:eastAsia="zh-CN"/>
              </w:rPr>
              <w:t>4</w:t>
            </w:r>
            <w:r>
              <w:rPr>
                <w:rFonts w:hint="eastAsia" w:ascii="宋体" w:hAnsi="宋体"/>
                <w:color w:val="auto"/>
                <w:sz w:val="22"/>
                <w:szCs w:val="22"/>
              </w:rPr>
              <w:t>-</w:t>
            </w:r>
            <w:r>
              <w:rPr>
                <w:rFonts w:ascii="宋体" w:hAnsi="宋体"/>
                <w:color w:val="auto"/>
                <w:sz w:val="22"/>
                <w:szCs w:val="22"/>
              </w:rPr>
              <w:t>1</w:t>
            </w:r>
          </w:p>
        </w:tc>
      </w:tr>
      <w:tr w14:paraId="0DC0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3" w:type="dxa"/>
            <w:tcBorders>
              <w:top w:val="single" w:color="auto" w:sz="4" w:space="0"/>
              <w:left w:val="single" w:color="auto" w:sz="4" w:space="0"/>
              <w:bottom w:val="single" w:color="auto" w:sz="4" w:space="0"/>
              <w:right w:val="single" w:color="auto" w:sz="4" w:space="0"/>
            </w:tcBorders>
            <w:vAlign w:val="center"/>
          </w:tcPr>
          <w:p w14:paraId="57443758">
            <w:pPr>
              <w:autoSpaceDE w:val="0"/>
              <w:autoSpaceDN w:val="0"/>
              <w:adjustRightInd w:val="0"/>
              <w:snapToGrid w:val="0"/>
              <w:spacing w:line="430" w:lineRule="atLeast"/>
              <w:jc w:val="center"/>
              <w:rPr>
                <w:rFonts w:hint="eastAsia" w:ascii="宋体" w:eastAsia="宋体" w:cs="宋体"/>
                <w:color w:val="auto"/>
                <w:sz w:val="22"/>
                <w:lang w:val="zh-CN" w:eastAsia="zh-CN"/>
              </w:rPr>
            </w:pPr>
            <w:r>
              <w:rPr>
                <w:rFonts w:ascii="宋体" w:cs="宋体"/>
                <w:color w:val="auto"/>
                <w:sz w:val="22"/>
                <w:lang w:val="zh-CN"/>
              </w:rPr>
              <w:t>1</w:t>
            </w:r>
            <w:r>
              <w:rPr>
                <w:rFonts w:hint="eastAsia" w:ascii="宋体" w:cs="宋体"/>
                <w:color w:val="auto"/>
                <w:sz w:val="22"/>
                <w:lang w:val="en-US" w:eastAsia="zh-CN"/>
              </w:rPr>
              <w:t>2</w:t>
            </w:r>
          </w:p>
        </w:tc>
        <w:tc>
          <w:tcPr>
            <w:tcW w:w="7346" w:type="dxa"/>
            <w:tcBorders>
              <w:top w:val="single" w:color="auto" w:sz="4" w:space="0"/>
              <w:left w:val="single" w:color="auto" w:sz="4" w:space="0"/>
              <w:bottom w:val="single" w:color="auto" w:sz="4" w:space="0"/>
              <w:right w:val="single" w:color="auto" w:sz="4" w:space="0"/>
            </w:tcBorders>
            <w:vAlign w:val="top"/>
          </w:tcPr>
          <w:p w14:paraId="254C0735">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lang w:val="en-US" w:eastAsia="zh-CN" w:bidi="ar-SA"/>
              </w:rPr>
            </w:pPr>
            <w:r>
              <w:rPr>
                <w:rFonts w:hint="eastAsia" w:hAnsi="宋体"/>
                <w:color w:val="auto"/>
                <w:sz w:val="22"/>
                <w:szCs w:val="22"/>
              </w:rPr>
              <w:t>监狱企业提供的相关证明材料（如为监狱企业的请根据附件内容提供）</w:t>
            </w:r>
          </w:p>
        </w:tc>
        <w:tc>
          <w:tcPr>
            <w:tcW w:w="1401" w:type="dxa"/>
            <w:tcBorders>
              <w:top w:val="single" w:color="auto" w:sz="4" w:space="0"/>
              <w:left w:val="single" w:color="auto" w:sz="4" w:space="0"/>
              <w:bottom w:val="single" w:color="auto" w:sz="4" w:space="0"/>
              <w:right w:val="single" w:color="auto" w:sz="4" w:space="0"/>
            </w:tcBorders>
            <w:vAlign w:val="top"/>
          </w:tcPr>
          <w:p w14:paraId="78F6D8E3">
            <w:pPr>
              <w:autoSpaceDE w:val="0"/>
              <w:autoSpaceDN w:val="0"/>
              <w:adjustRightInd w:val="0"/>
              <w:snapToGrid w:val="0"/>
              <w:spacing w:line="430" w:lineRule="atLeast"/>
              <w:jc w:val="center"/>
              <w:rPr>
                <w:rFonts w:hint="eastAsia" w:ascii="宋体" w:hAnsi="宋体" w:eastAsia="宋体" w:cs="宋体"/>
                <w:color w:val="auto"/>
                <w:kern w:val="2"/>
                <w:sz w:val="22"/>
                <w:szCs w:val="24"/>
                <w:lang w:val="zh-CN" w:eastAsia="zh-CN" w:bidi="ar-SA"/>
              </w:rPr>
            </w:pPr>
            <w:r>
              <w:rPr>
                <w:rFonts w:hint="eastAsia" w:ascii="宋体" w:hAnsi="宋体"/>
                <w:color w:val="auto"/>
                <w:sz w:val="22"/>
                <w:szCs w:val="22"/>
              </w:rPr>
              <w:t>附件1</w:t>
            </w:r>
            <w:r>
              <w:rPr>
                <w:rFonts w:hint="eastAsia" w:ascii="宋体" w:hAnsi="宋体"/>
                <w:color w:val="auto"/>
                <w:sz w:val="22"/>
                <w:szCs w:val="22"/>
                <w:lang w:val="en-US" w:eastAsia="zh-CN"/>
              </w:rPr>
              <w:t>4</w:t>
            </w:r>
            <w:r>
              <w:rPr>
                <w:rFonts w:hint="eastAsia" w:ascii="宋体" w:hAnsi="宋体"/>
                <w:color w:val="auto"/>
                <w:sz w:val="22"/>
                <w:szCs w:val="22"/>
              </w:rPr>
              <w:t>-</w:t>
            </w:r>
            <w:r>
              <w:rPr>
                <w:rFonts w:ascii="宋体" w:hAnsi="宋体"/>
                <w:color w:val="auto"/>
                <w:sz w:val="22"/>
                <w:szCs w:val="22"/>
              </w:rPr>
              <w:t>1</w:t>
            </w:r>
          </w:p>
        </w:tc>
      </w:tr>
      <w:tr w14:paraId="6ADA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tcBorders>
              <w:top w:val="single" w:color="auto" w:sz="4" w:space="0"/>
              <w:left w:val="single" w:color="auto" w:sz="4" w:space="0"/>
              <w:bottom w:val="single" w:color="auto" w:sz="4" w:space="0"/>
              <w:right w:val="single" w:color="auto" w:sz="4" w:space="0"/>
            </w:tcBorders>
            <w:vAlign w:val="center"/>
          </w:tcPr>
          <w:p w14:paraId="5961EBD4">
            <w:pPr>
              <w:autoSpaceDE w:val="0"/>
              <w:autoSpaceDN w:val="0"/>
              <w:adjustRightInd w:val="0"/>
              <w:snapToGrid w:val="0"/>
              <w:spacing w:line="430" w:lineRule="atLeast"/>
              <w:rPr>
                <w:rFonts w:hint="eastAsia" w:ascii="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以上所需的各种实物照片、证书、证件、证明、执照需提供复印件或扫描件加盖电子公章。</w:t>
            </w:r>
          </w:p>
        </w:tc>
      </w:tr>
    </w:tbl>
    <w:p w14:paraId="7E4FE1D1">
      <w:pPr>
        <w:spacing w:line="440" w:lineRule="exact"/>
        <w:rPr>
          <w:rFonts w:hint="eastAsia" w:ascii="宋体" w:hAnsi="宋体" w:cs="宋体"/>
          <w:b/>
          <w:color w:val="auto"/>
          <w:sz w:val="22"/>
          <w:szCs w:val="22"/>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298"/>
      </w:tblGrid>
      <w:tr w14:paraId="4C6E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33BC4DB">
            <w:pPr>
              <w:autoSpaceDE w:val="0"/>
              <w:autoSpaceDN w:val="0"/>
              <w:adjustRightInd w:val="0"/>
              <w:snapToGrid w:val="0"/>
              <w:spacing w:line="430" w:lineRule="atLeast"/>
              <w:rPr>
                <w:rFonts w:hint="eastAsia" w:ascii="宋体" w:hAnsi="宋体" w:cs="宋体"/>
                <w:b/>
                <w:color w:val="auto"/>
                <w:sz w:val="22"/>
                <w:lang w:val="zh-CN"/>
              </w:rPr>
            </w:pPr>
            <w:r>
              <w:rPr>
                <w:rFonts w:hint="eastAsia" w:ascii="宋体" w:hAnsi="宋体" w:cs="宋体"/>
                <w:b/>
                <w:color w:val="auto"/>
                <w:sz w:val="22"/>
                <w:lang w:val="zh-CN"/>
              </w:rPr>
              <w:t>序号</w:t>
            </w:r>
          </w:p>
        </w:tc>
        <w:tc>
          <w:tcPr>
            <w:tcW w:w="7449" w:type="dxa"/>
          </w:tcPr>
          <w:p w14:paraId="62C2312C">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内容</w:t>
            </w:r>
          </w:p>
        </w:tc>
        <w:tc>
          <w:tcPr>
            <w:tcW w:w="1298" w:type="dxa"/>
          </w:tcPr>
          <w:p w14:paraId="4E26B83E">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说明</w:t>
            </w:r>
          </w:p>
        </w:tc>
      </w:tr>
      <w:tr w14:paraId="1DD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1455B42">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s="宋体"/>
                <w:color w:val="auto"/>
                <w:sz w:val="22"/>
              </w:rPr>
              <w:t>1</w:t>
            </w:r>
          </w:p>
        </w:tc>
        <w:tc>
          <w:tcPr>
            <w:tcW w:w="7449" w:type="dxa"/>
          </w:tcPr>
          <w:p w14:paraId="0768D2B3">
            <w:pPr>
              <w:spacing w:line="380" w:lineRule="exact"/>
              <w:rPr>
                <w:rFonts w:hint="eastAsia" w:ascii="宋体" w:hAnsi="宋体"/>
                <w:color w:val="auto"/>
                <w:sz w:val="22"/>
                <w:szCs w:val="22"/>
              </w:rPr>
            </w:pPr>
            <w:r>
              <w:rPr>
                <w:rFonts w:hint="eastAsia" w:hAnsi="宋体"/>
                <w:bCs/>
                <w:color w:val="auto"/>
                <w:sz w:val="22"/>
                <w:szCs w:val="22"/>
              </w:rPr>
              <w:t>磋商响应函</w:t>
            </w:r>
          </w:p>
        </w:tc>
        <w:tc>
          <w:tcPr>
            <w:tcW w:w="1298" w:type="dxa"/>
          </w:tcPr>
          <w:p w14:paraId="0C30D3FC">
            <w:pPr>
              <w:autoSpaceDE w:val="0"/>
              <w:autoSpaceDN w:val="0"/>
              <w:adjustRightInd w:val="0"/>
              <w:snapToGrid w:val="0"/>
              <w:spacing w:line="430" w:lineRule="atLeast"/>
              <w:jc w:val="center"/>
              <w:rPr>
                <w:rFonts w:ascii="宋体" w:hAnsi="宋体" w:cs="宋体"/>
                <w:color w:val="auto"/>
                <w:sz w:val="22"/>
                <w:szCs w:val="22"/>
              </w:rPr>
            </w:pPr>
            <w:r>
              <w:rPr>
                <w:rFonts w:hint="eastAsia" w:ascii="宋体" w:hAnsi="宋体"/>
                <w:color w:val="auto"/>
                <w:sz w:val="22"/>
                <w:szCs w:val="22"/>
              </w:rPr>
              <w:t>附件1</w:t>
            </w:r>
          </w:p>
        </w:tc>
      </w:tr>
      <w:tr w14:paraId="2D2D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6F7418C">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s="宋体"/>
                <w:color w:val="auto"/>
                <w:sz w:val="22"/>
              </w:rPr>
              <w:t>2</w:t>
            </w:r>
          </w:p>
        </w:tc>
        <w:tc>
          <w:tcPr>
            <w:tcW w:w="7449" w:type="dxa"/>
          </w:tcPr>
          <w:p w14:paraId="433E71B1">
            <w:pPr>
              <w:spacing w:line="380" w:lineRule="exact"/>
              <w:rPr>
                <w:rFonts w:hint="eastAsia" w:ascii="宋体" w:hAnsi="宋体"/>
                <w:color w:val="auto"/>
                <w:sz w:val="22"/>
                <w:szCs w:val="22"/>
              </w:rPr>
            </w:pPr>
            <w:r>
              <w:rPr>
                <w:rFonts w:hint="eastAsia" w:ascii="宋体" w:hAnsi="宋体"/>
                <w:color w:val="auto"/>
                <w:sz w:val="22"/>
                <w:szCs w:val="22"/>
              </w:rPr>
              <w:t>商务条款、技术规格偏离表</w:t>
            </w:r>
          </w:p>
        </w:tc>
        <w:tc>
          <w:tcPr>
            <w:tcW w:w="1298" w:type="dxa"/>
          </w:tcPr>
          <w:p w14:paraId="53450C43">
            <w:pPr>
              <w:autoSpaceDE w:val="0"/>
              <w:autoSpaceDN w:val="0"/>
              <w:adjustRightInd w:val="0"/>
              <w:snapToGrid w:val="0"/>
              <w:spacing w:line="430" w:lineRule="atLeast"/>
              <w:jc w:val="center"/>
              <w:rPr>
                <w:rFonts w:hint="default" w:ascii="宋体" w:eastAsia="宋体" w:cs="宋体"/>
                <w:color w:val="auto"/>
                <w:sz w:val="22"/>
                <w:lang w:val="en-US" w:eastAsia="zh-CN"/>
              </w:rPr>
            </w:pPr>
            <w:r>
              <w:rPr>
                <w:rFonts w:hint="eastAsia" w:ascii="宋体" w:cs="宋体"/>
                <w:color w:val="auto"/>
                <w:sz w:val="22"/>
              </w:rPr>
              <w:t>附件</w:t>
            </w:r>
            <w:r>
              <w:rPr>
                <w:rFonts w:hint="eastAsia" w:ascii="宋体" w:cs="宋体"/>
                <w:color w:val="auto"/>
                <w:sz w:val="22"/>
                <w:lang w:val="en-US" w:eastAsia="zh-CN"/>
              </w:rPr>
              <w:t>11</w:t>
            </w:r>
          </w:p>
        </w:tc>
      </w:tr>
      <w:tr w14:paraId="35AA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B67D671">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s="宋体"/>
                <w:color w:val="auto"/>
                <w:sz w:val="22"/>
              </w:rPr>
              <w:t>2</w:t>
            </w:r>
          </w:p>
        </w:tc>
        <w:tc>
          <w:tcPr>
            <w:tcW w:w="7449" w:type="dxa"/>
          </w:tcPr>
          <w:p w14:paraId="5E67579C">
            <w:pPr>
              <w:spacing w:line="380" w:lineRule="exact"/>
              <w:rPr>
                <w:rFonts w:ascii="宋体" w:hAnsi="宋体"/>
                <w:color w:val="auto"/>
                <w:sz w:val="22"/>
                <w:szCs w:val="22"/>
              </w:rPr>
            </w:pPr>
            <w:r>
              <w:rPr>
                <w:rFonts w:hint="eastAsia" w:ascii="宋体" w:hAnsi="宋体"/>
                <w:color w:val="auto"/>
                <w:sz w:val="22"/>
                <w:szCs w:val="22"/>
              </w:rPr>
              <w:t>选用主要材料的品牌表</w:t>
            </w:r>
          </w:p>
        </w:tc>
        <w:tc>
          <w:tcPr>
            <w:tcW w:w="1298" w:type="dxa"/>
          </w:tcPr>
          <w:p w14:paraId="72AF91B5">
            <w:pPr>
              <w:autoSpaceDE w:val="0"/>
              <w:autoSpaceDN w:val="0"/>
              <w:adjustRightInd w:val="0"/>
              <w:snapToGrid w:val="0"/>
              <w:spacing w:line="430" w:lineRule="atLeast"/>
              <w:jc w:val="center"/>
              <w:rPr>
                <w:rFonts w:hint="eastAsia" w:ascii="宋体" w:hAnsi="宋体" w:eastAsia="宋体" w:cs="宋体"/>
                <w:color w:val="auto"/>
                <w:sz w:val="22"/>
                <w:szCs w:val="22"/>
                <w:lang w:eastAsia="zh-CN"/>
              </w:rPr>
            </w:pPr>
            <w:r>
              <w:rPr>
                <w:rFonts w:hint="eastAsia" w:ascii="宋体" w:hAnsi="宋体" w:cs="宋体"/>
                <w:color w:val="auto"/>
                <w:sz w:val="22"/>
                <w:szCs w:val="22"/>
              </w:rPr>
              <w:t>附件1</w:t>
            </w:r>
            <w:r>
              <w:rPr>
                <w:rFonts w:hint="eastAsia" w:ascii="宋体" w:hAnsi="宋体" w:cs="宋体"/>
                <w:color w:val="auto"/>
                <w:sz w:val="22"/>
                <w:szCs w:val="22"/>
                <w:lang w:val="en-US" w:eastAsia="zh-CN"/>
              </w:rPr>
              <w:t>2</w:t>
            </w:r>
          </w:p>
        </w:tc>
      </w:tr>
      <w:tr w14:paraId="5370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9527EFF">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s="宋体"/>
                <w:color w:val="auto"/>
                <w:sz w:val="22"/>
              </w:rPr>
              <w:t>3</w:t>
            </w:r>
          </w:p>
        </w:tc>
        <w:tc>
          <w:tcPr>
            <w:tcW w:w="7449" w:type="dxa"/>
          </w:tcPr>
          <w:p w14:paraId="57BB40EB">
            <w:pPr>
              <w:spacing w:line="380" w:lineRule="exact"/>
              <w:rPr>
                <w:rFonts w:hint="eastAsia" w:ascii="宋体" w:hAnsi="宋体"/>
                <w:color w:val="auto"/>
                <w:sz w:val="22"/>
                <w:szCs w:val="22"/>
              </w:rPr>
            </w:pPr>
            <w:r>
              <w:rPr>
                <w:rFonts w:hint="eastAsia" w:ascii="宋体" w:hAnsi="宋体"/>
                <w:color w:val="auto"/>
                <w:sz w:val="22"/>
                <w:szCs w:val="22"/>
              </w:rPr>
              <w:t>投入本项目的主要材料的质量水平、技术性能指标、环保性能</w:t>
            </w:r>
          </w:p>
        </w:tc>
        <w:tc>
          <w:tcPr>
            <w:tcW w:w="1298" w:type="dxa"/>
          </w:tcPr>
          <w:p w14:paraId="5D70E431">
            <w:pPr>
              <w:autoSpaceDE w:val="0"/>
              <w:autoSpaceDN w:val="0"/>
              <w:adjustRightInd w:val="0"/>
              <w:snapToGrid w:val="0"/>
              <w:spacing w:line="430" w:lineRule="atLeast"/>
              <w:jc w:val="center"/>
              <w:rPr>
                <w:rFonts w:hint="eastAsia" w:ascii="宋体" w:hAnsi="宋体" w:cs="宋体"/>
                <w:color w:val="auto"/>
                <w:sz w:val="22"/>
                <w:szCs w:val="22"/>
              </w:rPr>
            </w:pPr>
          </w:p>
        </w:tc>
      </w:tr>
      <w:tr w14:paraId="4806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82D07D3">
            <w:pPr>
              <w:autoSpaceDE w:val="0"/>
              <w:autoSpaceDN w:val="0"/>
              <w:adjustRightInd w:val="0"/>
              <w:snapToGrid w:val="0"/>
              <w:spacing w:line="430" w:lineRule="atLeast"/>
              <w:jc w:val="center"/>
              <w:rPr>
                <w:rFonts w:hint="eastAsia" w:ascii="宋体" w:hAnsi="宋体" w:cs="宋体"/>
                <w:color w:val="auto"/>
                <w:sz w:val="22"/>
              </w:rPr>
            </w:pPr>
            <w:r>
              <w:rPr>
                <w:rFonts w:ascii="宋体" w:hAnsi="宋体" w:cs="宋体"/>
                <w:color w:val="auto"/>
                <w:sz w:val="22"/>
              </w:rPr>
              <w:t>4</w:t>
            </w:r>
          </w:p>
        </w:tc>
        <w:tc>
          <w:tcPr>
            <w:tcW w:w="7449" w:type="dxa"/>
          </w:tcPr>
          <w:p w14:paraId="2DE73C1C">
            <w:pPr>
              <w:spacing w:line="380" w:lineRule="exact"/>
              <w:rPr>
                <w:rFonts w:hint="eastAsia" w:ascii="宋体" w:hAnsi="宋体"/>
                <w:color w:val="auto"/>
                <w:sz w:val="22"/>
                <w:szCs w:val="22"/>
              </w:rPr>
            </w:pPr>
            <w:r>
              <w:rPr>
                <w:rFonts w:hint="eastAsia" w:hAnsi="宋体"/>
                <w:color w:val="auto"/>
                <w:sz w:val="22"/>
                <w:szCs w:val="22"/>
              </w:rPr>
              <w:t>同类项目业绩</w:t>
            </w:r>
          </w:p>
        </w:tc>
        <w:tc>
          <w:tcPr>
            <w:tcW w:w="1298" w:type="dxa"/>
          </w:tcPr>
          <w:p w14:paraId="2B6D4C6E">
            <w:pPr>
              <w:autoSpaceDE w:val="0"/>
              <w:autoSpaceDN w:val="0"/>
              <w:adjustRightInd w:val="0"/>
              <w:snapToGrid w:val="0"/>
              <w:spacing w:line="430" w:lineRule="atLeast"/>
              <w:jc w:val="center"/>
              <w:rPr>
                <w:rFonts w:hint="eastAsia" w:ascii="宋体" w:hAnsi="宋体" w:eastAsia="宋体" w:cs="宋体"/>
                <w:color w:val="auto"/>
                <w:sz w:val="22"/>
                <w:lang w:eastAsia="zh-CN"/>
              </w:rPr>
            </w:pPr>
            <w:r>
              <w:rPr>
                <w:rFonts w:hint="eastAsia" w:ascii="宋体" w:hAnsi="宋体" w:cs="宋体"/>
                <w:color w:val="auto"/>
                <w:sz w:val="22"/>
              </w:rPr>
              <w:t>附件1</w:t>
            </w:r>
            <w:r>
              <w:rPr>
                <w:rFonts w:hint="eastAsia" w:ascii="宋体" w:hAnsi="宋体" w:cs="宋体"/>
                <w:color w:val="auto"/>
                <w:sz w:val="22"/>
                <w:lang w:val="en-US" w:eastAsia="zh-CN"/>
              </w:rPr>
              <w:t>3</w:t>
            </w:r>
          </w:p>
        </w:tc>
      </w:tr>
      <w:tr w14:paraId="6607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87B224F">
            <w:pPr>
              <w:autoSpaceDE w:val="0"/>
              <w:autoSpaceDN w:val="0"/>
              <w:adjustRightInd w:val="0"/>
              <w:snapToGrid w:val="0"/>
              <w:spacing w:line="430" w:lineRule="atLeast"/>
              <w:jc w:val="center"/>
              <w:rPr>
                <w:rFonts w:ascii="宋体" w:hAnsi="宋体" w:cs="宋体"/>
                <w:color w:val="auto"/>
                <w:sz w:val="22"/>
              </w:rPr>
            </w:pPr>
            <w:r>
              <w:rPr>
                <w:rFonts w:hint="eastAsia" w:ascii="宋体" w:hAnsi="宋体" w:cs="宋体"/>
                <w:color w:val="auto"/>
                <w:sz w:val="22"/>
              </w:rPr>
              <w:t>5</w:t>
            </w:r>
          </w:p>
        </w:tc>
        <w:tc>
          <w:tcPr>
            <w:tcW w:w="7449" w:type="dxa"/>
          </w:tcPr>
          <w:p w14:paraId="6A0EC15B">
            <w:pPr>
              <w:spacing w:line="380" w:lineRule="exact"/>
              <w:rPr>
                <w:rFonts w:hint="eastAsia" w:hAnsi="宋体"/>
                <w:color w:val="auto"/>
                <w:sz w:val="22"/>
                <w:szCs w:val="22"/>
              </w:rPr>
            </w:pPr>
            <w:r>
              <w:rPr>
                <w:rFonts w:hint="eastAsia" w:hAnsi="宋体"/>
                <w:color w:val="auto"/>
                <w:sz w:val="22"/>
                <w:szCs w:val="22"/>
              </w:rPr>
              <w:t>根据技术资信评分表的要求提供技术材料</w:t>
            </w:r>
          </w:p>
        </w:tc>
        <w:tc>
          <w:tcPr>
            <w:tcW w:w="1298" w:type="dxa"/>
          </w:tcPr>
          <w:p w14:paraId="73132FDC">
            <w:pPr>
              <w:autoSpaceDE w:val="0"/>
              <w:autoSpaceDN w:val="0"/>
              <w:adjustRightInd w:val="0"/>
              <w:snapToGrid w:val="0"/>
              <w:spacing w:line="430" w:lineRule="atLeast"/>
              <w:jc w:val="center"/>
              <w:rPr>
                <w:rFonts w:hint="eastAsia" w:ascii="宋体" w:hAnsi="宋体" w:cs="宋体"/>
                <w:color w:val="auto"/>
                <w:sz w:val="22"/>
              </w:rPr>
            </w:pPr>
          </w:p>
        </w:tc>
      </w:tr>
      <w:tr w14:paraId="7069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DFF4CF1">
            <w:pPr>
              <w:autoSpaceDE w:val="0"/>
              <w:autoSpaceDN w:val="0"/>
              <w:adjustRightInd w:val="0"/>
              <w:snapToGrid w:val="0"/>
              <w:spacing w:line="430" w:lineRule="atLeast"/>
              <w:jc w:val="center"/>
              <w:rPr>
                <w:rFonts w:ascii="宋体" w:hAnsi="宋体" w:cs="宋体"/>
                <w:color w:val="auto"/>
                <w:sz w:val="22"/>
              </w:rPr>
            </w:pPr>
            <w:r>
              <w:rPr>
                <w:rFonts w:ascii="宋体" w:hAnsi="宋体" w:cs="宋体"/>
                <w:color w:val="auto"/>
                <w:sz w:val="22"/>
              </w:rPr>
              <w:t>6</w:t>
            </w:r>
          </w:p>
        </w:tc>
        <w:tc>
          <w:tcPr>
            <w:tcW w:w="7449" w:type="dxa"/>
          </w:tcPr>
          <w:p w14:paraId="68A87101">
            <w:pPr>
              <w:spacing w:line="380" w:lineRule="exact"/>
              <w:rPr>
                <w:rFonts w:hint="eastAsia" w:hAnsi="宋体"/>
                <w:color w:val="auto"/>
                <w:sz w:val="22"/>
                <w:szCs w:val="22"/>
              </w:rPr>
            </w:pPr>
            <w:r>
              <w:rPr>
                <w:rFonts w:hint="eastAsia" w:ascii="宋体" w:cs="宋体"/>
                <w:color w:val="auto"/>
                <w:sz w:val="22"/>
              </w:rPr>
              <w:t>磋商供应商</w:t>
            </w:r>
            <w:r>
              <w:rPr>
                <w:rFonts w:ascii="宋体" w:hAnsi="宋体"/>
                <w:color w:val="auto"/>
                <w:sz w:val="22"/>
              </w:rPr>
              <w:t>所投产品</w:t>
            </w:r>
            <w:r>
              <w:rPr>
                <w:rFonts w:hint="eastAsia" w:ascii="宋体" w:hAnsi="宋体"/>
                <w:color w:val="auto"/>
                <w:sz w:val="22"/>
              </w:rPr>
              <w:t>节能环保水平相关证明材料</w:t>
            </w:r>
          </w:p>
        </w:tc>
        <w:tc>
          <w:tcPr>
            <w:tcW w:w="1298" w:type="dxa"/>
          </w:tcPr>
          <w:p w14:paraId="0394DD49">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s="宋体"/>
                <w:color w:val="auto"/>
                <w:sz w:val="22"/>
                <w:szCs w:val="22"/>
              </w:rPr>
              <w:t>附件1</w:t>
            </w:r>
            <w:r>
              <w:rPr>
                <w:rFonts w:hint="eastAsia" w:ascii="宋体" w:hAnsi="宋体" w:cs="宋体"/>
                <w:color w:val="auto"/>
                <w:sz w:val="22"/>
                <w:szCs w:val="22"/>
                <w:lang w:val="en-US" w:eastAsia="zh-CN"/>
              </w:rPr>
              <w:t>4</w:t>
            </w:r>
            <w:r>
              <w:rPr>
                <w:rFonts w:hint="eastAsia" w:ascii="宋体" w:hAnsi="宋体" w:cs="宋体"/>
                <w:color w:val="auto"/>
                <w:sz w:val="22"/>
                <w:szCs w:val="22"/>
              </w:rPr>
              <w:t>-</w:t>
            </w:r>
            <w:r>
              <w:rPr>
                <w:rFonts w:ascii="宋体" w:hAnsi="宋体" w:cs="宋体"/>
                <w:color w:val="auto"/>
                <w:sz w:val="22"/>
                <w:szCs w:val="22"/>
              </w:rPr>
              <w:t>2</w:t>
            </w:r>
          </w:p>
        </w:tc>
      </w:tr>
      <w:tr w14:paraId="5D64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52C01A9">
            <w:pPr>
              <w:autoSpaceDE w:val="0"/>
              <w:autoSpaceDN w:val="0"/>
              <w:adjustRightInd w:val="0"/>
              <w:snapToGrid w:val="0"/>
              <w:spacing w:line="430" w:lineRule="atLeast"/>
              <w:jc w:val="center"/>
              <w:rPr>
                <w:rFonts w:ascii="宋体" w:hAnsi="宋体" w:cs="宋体"/>
                <w:color w:val="auto"/>
                <w:sz w:val="22"/>
              </w:rPr>
            </w:pPr>
            <w:r>
              <w:rPr>
                <w:rFonts w:ascii="宋体" w:hAnsi="宋体" w:cs="宋体"/>
                <w:color w:val="auto"/>
                <w:sz w:val="22"/>
              </w:rPr>
              <w:t>7</w:t>
            </w:r>
          </w:p>
        </w:tc>
        <w:tc>
          <w:tcPr>
            <w:tcW w:w="7449" w:type="dxa"/>
            <w:vAlign w:val="center"/>
          </w:tcPr>
          <w:p w14:paraId="5BCD86B6">
            <w:pPr>
              <w:spacing w:line="380" w:lineRule="exact"/>
              <w:rPr>
                <w:rFonts w:hint="eastAsia" w:hAnsi="宋体"/>
                <w:color w:val="auto"/>
                <w:sz w:val="22"/>
                <w:szCs w:val="22"/>
              </w:rPr>
            </w:pPr>
            <w:r>
              <w:rPr>
                <w:rFonts w:hint="eastAsia" w:ascii="宋体" w:hAnsi="宋体"/>
                <w:color w:val="auto"/>
                <w:sz w:val="22"/>
                <w:szCs w:val="22"/>
              </w:rPr>
              <w:t>根据磋商文件中的采购内容与技术要求、评标细则，需要提供的其它文件和资料。</w:t>
            </w:r>
          </w:p>
        </w:tc>
        <w:tc>
          <w:tcPr>
            <w:tcW w:w="1298" w:type="dxa"/>
          </w:tcPr>
          <w:p w14:paraId="654EE1B4">
            <w:pPr>
              <w:autoSpaceDE w:val="0"/>
              <w:autoSpaceDN w:val="0"/>
              <w:adjustRightInd w:val="0"/>
              <w:snapToGrid w:val="0"/>
              <w:spacing w:line="430" w:lineRule="atLeast"/>
              <w:jc w:val="center"/>
              <w:rPr>
                <w:rFonts w:hint="eastAsia" w:ascii="宋体" w:hAnsi="宋体" w:cs="宋体"/>
                <w:color w:val="auto"/>
                <w:sz w:val="22"/>
              </w:rPr>
            </w:pPr>
          </w:p>
        </w:tc>
      </w:tr>
      <w:tr w14:paraId="292E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vAlign w:val="center"/>
          </w:tcPr>
          <w:p w14:paraId="23BD503B">
            <w:pPr>
              <w:autoSpaceDE w:val="0"/>
              <w:autoSpaceDN w:val="0"/>
              <w:adjustRightInd w:val="0"/>
              <w:snapToGrid w:val="0"/>
              <w:spacing w:line="430" w:lineRule="atLeast"/>
              <w:rPr>
                <w:rFonts w:hint="eastAsia"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以上所需的各种实物照片、证书、证件、证明、执照需提供复印件或扫描件加盖电子公章。</w:t>
            </w:r>
          </w:p>
        </w:tc>
      </w:tr>
    </w:tbl>
    <w:p w14:paraId="2754EF04">
      <w:pPr>
        <w:pStyle w:val="20"/>
        <w:spacing w:line="440" w:lineRule="exact"/>
        <w:rPr>
          <w:rFonts w:hAnsi="宋体"/>
          <w:b/>
          <w:bCs/>
          <w:color w:val="auto"/>
          <w:sz w:val="22"/>
          <w:szCs w:val="22"/>
        </w:rPr>
      </w:pPr>
      <w:r>
        <w:rPr>
          <w:rFonts w:hint="eastAsia" w:hAnsi="宋体"/>
          <w:b/>
          <w:bCs/>
          <w:color w:val="auto"/>
          <w:sz w:val="22"/>
          <w:szCs w:val="22"/>
        </w:rPr>
        <w:t xml:space="preserve">5.1.3 </w:t>
      </w:r>
      <w:r>
        <w:rPr>
          <w:rFonts w:hint="eastAsia" w:hAnsi="宋体" w:cs="宋体"/>
          <w:b/>
          <w:bCs/>
          <w:color w:val="auto"/>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298"/>
      </w:tblGrid>
      <w:tr w14:paraId="5B63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14:paraId="0DD93124">
            <w:pPr>
              <w:autoSpaceDE w:val="0"/>
              <w:autoSpaceDN w:val="0"/>
              <w:adjustRightInd w:val="0"/>
              <w:snapToGrid w:val="0"/>
              <w:spacing w:line="430" w:lineRule="atLeast"/>
              <w:rPr>
                <w:rFonts w:ascii="宋体" w:cs="宋体"/>
                <w:b/>
                <w:color w:val="auto"/>
                <w:sz w:val="22"/>
                <w:lang w:val="zh-CN"/>
              </w:rPr>
            </w:pPr>
            <w:r>
              <w:rPr>
                <w:rFonts w:hint="eastAsia" w:ascii="宋体" w:cs="宋体"/>
                <w:b/>
                <w:color w:val="auto"/>
                <w:sz w:val="22"/>
                <w:lang w:val="zh-CN"/>
              </w:rPr>
              <w:t>序号</w:t>
            </w:r>
          </w:p>
        </w:tc>
        <w:tc>
          <w:tcPr>
            <w:tcW w:w="7449" w:type="dxa"/>
            <w:tcBorders>
              <w:top w:val="single" w:color="auto" w:sz="4" w:space="0"/>
              <w:left w:val="single" w:color="auto" w:sz="4" w:space="0"/>
              <w:bottom w:val="single" w:color="auto" w:sz="4" w:space="0"/>
              <w:right w:val="single" w:color="auto" w:sz="4" w:space="0"/>
            </w:tcBorders>
          </w:tcPr>
          <w:p w14:paraId="0C08E94C">
            <w:pPr>
              <w:autoSpaceDE w:val="0"/>
              <w:autoSpaceDN w:val="0"/>
              <w:adjustRightInd w:val="0"/>
              <w:snapToGrid w:val="0"/>
              <w:spacing w:line="430" w:lineRule="atLeast"/>
              <w:jc w:val="center"/>
              <w:rPr>
                <w:rFonts w:hint="eastAsia" w:ascii="宋体" w:cs="宋体"/>
                <w:b/>
                <w:color w:val="auto"/>
                <w:sz w:val="22"/>
                <w:lang w:val="zh-CN"/>
              </w:rPr>
            </w:pPr>
            <w:r>
              <w:rPr>
                <w:rFonts w:hint="eastAsia" w:ascii="宋体" w:cs="宋体"/>
                <w:b/>
                <w:color w:val="auto"/>
                <w:sz w:val="22"/>
                <w:lang w:val="zh-CN"/>
              </w:rPr>
              <w:t>内容</w:t>
            </w:r>
          </w:p>
        </w:tc>
        <w:tc>
          <w:tcPr>
            <w:tcW w:w="1298" w:type="dxa"/>
            <w:tcBorders>
              <w:top w:val="single" w:color="auto" w:sz="4" w:space="0"/>
              <w:left w:val="single" w:color="auto" w:sz="4" w:space="0"/>
              <w:bottom w:val="single" w:color="auto" w:sz="4" w:space="0"/>
              <w:right w:val="single" w:color="auto" w:sz="4" w:space="0"/>
            </w:tcBorders>
          </w:tcPr>
          <w:p w14:paraId="73769C3D">
            <w:pPr>
              <w:autoSpaceDE w:val="0"/>
              <w:autoSpaceDN w:val="0"/>
              <w:adjustRightInd w:val="0"/>
              <w:snapToGrid w:val="0"/>
              <w:spacing w:line="430" w:lineRule="atLeast"/>
              <w:jc w:val="center"/>
              <w:rPr>
                <w:rFonts w:hint="eastAsia" w:ascii="宋体" w:cs="宋体"/>
                <w:b/>
                <w:color w:val="auto"/>
                <w:sz w:val="22"/>
                <w:lang w:val="zh-CN"/>
              </w:rPr>
            </w:pPr>
            <w:r>
              <w:rPr>
                <w:rFonts w:hint="eastAsia" w:ascii="宋体" w:cs="宋体"/>
                <w:b/>
                <w:color w:val="auto"/>
                <w:sz w:val="22"/>
                <w:lang w:val="zh-CN"/>
              </w:rPr>
              <w:t>说明</w:t>
            </w:r>
          </w:p>
        </w:tc>
      </w:tr>
      <w:tr w14:paraId="77D3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28B1001">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1</w:t>
            </w:r>
          </w:p>
        </w:tc>
        <w:tc>
          <w:tcPr>
            <w:tcW w:w="7449" w:type="dxa"/>
            <w:tcBorders>
              <w:top w:val="single" w:color="auto" w:sz="4" w:space="0"/>
              <w:left w:val="single" w:color="auto" w:sz="4" w:space="0"/>
              <w:bottom w:val="single" w:color="auto" w:sz="4" w:space="0"/>
              <w:right w:val="single" w:color="auto" w:sz="4" w:space="0"/>
            </w:tcBorders>
          </w:tcPr>
          <w:p w14:paraId="3F821549">
            <w:pPr>
              <w:pStyle w:val="20"/>
              <w:spacing w:line="440" w:lineRule="exact"/>
              <w:rPr>
                <w:rFonts w:hint="eastAsia" w:hAnsi="宋体"/>
                <w:color w:val="auto"/>
                <w:sz w:val="22"/>
                <w:szCs w:val="22"/>
              </w:rPr>
            </w:pPr>
            <w:r>
              <w:rPr>
                <w:rFonts w:hint="eastAsia" w:hAnsi="宋体"/>
                <w:color w:val="auto"/>
                <w:sz w:val="22"/>
                <w:szCs w:val="22"/>
              </w:rPr>
              <w:t>工程量清单报价表</w:t>
            </w:r>
          </w:p>
        </w:tc>
        <w:tc>
          <w:tcPr>
            <w:tcW w:w="1298" w:type="dxa"/>
            <w:tcBorders>
              <w:top w:val="single" w:color="auto" w:sz="4" w:space="0"/>
              <w:left w:val="single" w:color="auto" w:sz="4" w:space="0"/>
              <w:bottom w:val="single" w:color="auto" w:sz="4" w:space="0"/>
              <w:right w:val="single" w:color="auto" w:sz="4" w:space="0"/>
            </w:tcBorders>
          </w:tcPr>
          <w:p w14:paraId="68DADC6B">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olor w:val="auto"/>
                <w:sz w:val="22"/>
                <w:szCs w:val="22"/>
              </w:rPr>
              <w:t>附件2</w:t>
            </w:r>
          </w:p>
        </w:tc>
      </w:tr>
      <w:tr w14:paraId="6174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6032E2F5">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2</w:t>
            </w:r>
          </w:p>
        </w:tc>
        <w:tc>
          <w:tcPr>
            <w:tcW w:w="7449" w:type="dxa"/>
            <w:tcBorders>
              <w:top w:val="single" w:color="auto" w:sz="4" w:space="0"/>
              <w:left w:val="single" w:color="auto" w:sz="4" w:space="0"/>
              <w:bottom w:val="single" w:color="auto" w:sz="4" w:space="0"/>
              <w:right w:val="single" w:color="auto" w:sz="4" w:space="0"/>
            </w:tcBorders>
          </w:tcPr>
          <w:p w14:paraId="209BFA59">
            <w:pPr>
              <w:pStyle w:val="20"/>
              <w:spacing w:line="440" w:lineRule="exact"/>
              <w:rPr>
                <w:rFonts w:hint="eastAsia" w:hAnsi="宋体"/>
                <w:color w:val="auto"/>
                <w:sz w:val="22"/>
                <w:szCs w:val="22"/>
              </w:rPr>
            </w:pPr>
            <w:r>
              <w:rPr>
                <w:rFonts w:hint="eastAsia" w:hAnsi="宋体"/>
                <w:color w:val="auto"/>
                <w:sz w:val="22"/>
                <w:szCs w:val="22"/>
              </w:rPr>
              <w:t>编制说明</w:t>
            </w:r>
          </w:p>
        </w:tc>
        <w:tc>
          <w:tcPr>
            <w:tcW w:w="1298" w:type="dxa"/>
            <w:tcBorders>
              <w:top w:val="single" w:color="auto" w:sz="4" w:space="0"/>
              <w:left w:val="single" w:color="auto" w:sz="4" w:space="0"/>
              <w:bottom w:val="single" w:color="auto" w:sz="4" w:space="0"/>
              <w:right w:val="single" w:color="auto" w:sz="4" w:space="0"/>
            </w:tcBorders>
          </w:tcPr>
          <w:p w14:paraId="48F915EC">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olor w:val="auto"/>
                <w:sz w:val="22"/>
                <w:szCs w:val="22"/>
              </w:rPr>
              <w:t>附件3</w:t>
            </w:r>
          </w:p>
        </w:tc>
      </w:tr>
      <w:tr w14:paraId="4F1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0CA16FE">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3</w:t>
            </w:r>
          </w:p>
        </w:tc>
        <w:tc>
          <w:tcPr>
            <w:tcW w:w="7449" w:type="dxa"/>
            <w:tcBorders>
              <w:top w:val="single" w:color="auto" w:sz="4" w:space="0"/>
              <w:left w:val="single" w:color="auto" w:sz="4" w:space="0"/>
              <w:bottom w:val="single" w:color="auto" w:sz="4" w:space="0"/>
              <w:right w:val="single" w:color="auto" w:sz="4" w:space="0"/>
            </w:tcBorders>
          </w:tcPr>
          <w:p w14:paraId="1739E4A4">
            <w:pPr>
              <w:pStyle w:val="20"/>
              <w:spacing w:line="440" w:lineRule="exact"/>
              <w:rPr>
                <w:rFonts w:hint="eastAsia" w:hAnsi="宋体"/>
                <w:color w:val="auto"/>
                <w:sz w:val="22"/>
                <w:szCs w:val="22"/>
              </w:rPr>
            </w:pPr>
            <w:r>
              <w:rPr>
                <w:rFonts w:hint="eastAsia" w:hAnsi="宋体"/>
                <w:color w:val="auto"/>
                <w:sz w:val="22"/>
                <w:szCs w:val="22"/>
              </w:rPr>
              <w:t>磋商总价</w:t>
            </w:r>
          </w:p>
        </w:tc>
        <w:tc>
          <w:tcPr>
            <w:tcW w:w="1298" w:type="dxa"/>
            <w:tcBorders>
              <w:top w:val="single" w:color="auto" w:sz="4" w:space="0"/>
              <w:left w:val="single" w:color="auto" w:sz="4" w:space="0"/>
              <w:bottom w:val="single" w:color="auto" w:sz="4" w:space="0"/>
              <w:right w:val="single" w:color="auto" w:sz="4" w:space="0"/>
            </w:tcBorders>
          </w:tcPr>
          <w:p w14:paraId="7CFA25FA">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olor w:val="auto"/>
                <w:sz w:val="22"/>
                <w:szCs w:val="22"/>
              </w:rPr>
              <w:t>附件4</w:t>
            </w:r>
          </w:p>
        </w:tc>
      </w:tr>
      <w:tr w14:paraId="617F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EBF3BAA">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4</w:t>
            </w:r>
          </w:p>
        </w:tc>
        <w:tc>
          <w:tcPr>
            <w:tcW w:w="7449" w:type="dxa"/>
            <w:tcBorders>
              <w:top w:val="single" w:color="auto" w:sz="4" w:space="0"/>
              <w:left w:val="single" w:color="auto" w:sz="4" w:space="0"/>
              <w:bottom w:val="single" w:color="auto" w:sz="4" w:space="0"/>
              <w:right w:val="single" w:color="auto" w:sz="4" w:space="0"/>
            </w:tcBorders>
          </w:tcPr>
          <w:p w14:paraId="6F1271C1">
            <w:pPr>
              <w:pStyle w:val="20"/>
              <w:spacing w:line="440" w:lineRule="exact"/>
              <w:rPr>
                <w:rFonts w:hint="eastAsia" w:hAnsi="宋体"/>
                <w:color w:val="auto"/>
                <w:sz w:val="22"/>
                <w:szCs w:val="22"/>
              </w:rPr>
            </w:pPr>
            <w:r>
              <w:rPr>
                <w:rFonts w:hint="eastAsia" w:hAnsi="宋体"/>
                <w:color w:val="auto"/>
                <w:sz w:val="22"/>
                <w:szCs w:val="22"/>
              </w:rPr>
              <w:t>工程项目磋商报价汇总表</w:t>
            </w:r>
          </w:p>
        </w:tc>
        <w:tc>
          <w:tcPr>
            <w:tcW w:w="1298" w:type="dxa"/>
            <w:tcBorders>
              <w:top w:val="single" w:color="auto" w:sz="4" w:space="0"/>
              <w:left w:val="single" w:color="auto" w:sz="4" w:space="0"/>
              <w:bottom w:val="single" w:color="auto" w:sz="4" w:space="0"/>
              <w:right w:val="single" w:color="auto" w:sz="4" w:space="0"/>
            </w:tcBorders>
          </w:tcPr>
          <w:p w14:paraId="037BA9A6">
            <w:pPr>
              <w:autoSpaceDE w:val="0"/>
              <w:autoSpaceDN w:val="0"/>
              <w:adjustRightInd w:val="0"/>
              <w:snapToGrid w:val="0"/>
              <w:spacing w:line="430" w:lineRule="atLeast"/>
              <w:jc w:val="center"/>
              <w:rPr>
                <w:rFonts w:hint="eastAsia" w:ascii="宋体" w:hAnsi="宋体"/>
                <w:color w:val="auto"/>
                <w:sz w:val="22"/>
                <w:szCs w:val="22"/>
              </w:rPr>
            </w:pPr>
            <w:r>
              <w:rPr>
                <w:rFonts w:hint="eastAsia" w:ascii="宋体" w:hAnsi="宋体"/>
                <w:color w:val="auto"/>
                <w:sz w:val="22"/>
                <w:szCs w:val="22"/>
              </w:rPr>
              <w:t>附件5</w:t>
            </w:r>
          </w:p>
        </w:tc>
      </w:tr>
      <w:tr w14:paraId="0E09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1F4FF2EC">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5</w:t>
            </w:r>
          </w:p>
        </w:tc>
        <w:tc>
          <w:tcPr>
            <w:tcW w:w="7449" w:type="dxa"/>
            <w:tcBorders>
              <w:top w:val="single" w:color="auto" w:sz="4" w:space="0"/>
              <w:left w:val="single" w:color="auto" w:sz="4" w:space="0"/>
              <w:bottom w:val="single" w:color="auto" w:sz="4" w:space="0"/>
              <w:right w:val="single" w:color="auto" w:sz="4" w:space="0"/>
            </w:tcBorders>
          </w:tcPr>
          <w:p w14:paraId="3CFFC5C8">
            <w:pPr>
              <w:pStyle w:val="20"/>
              <w:spacing w:line="440" w:lineRule="exact"/>
              <w:rPr>
                <w:rFonts w:hint="eastAsia" w:hAnsi="宋体"/>
                <w:color w:val="auto"/>
                <w:sz w:val="22"/>
                <w:szCs w:val="22"/>
              </w:rPr>
            </w:pPr>
            <w:r>
              <w:rPr>
                <w:rFonts w:hint="eastAsia" w:hAnsi="宋体"/>
                <w:color w:val="auto"/>
                <w:sz w:val="22"/>
                <w:szCs w:val="22"/>
              </w:rPr>
              <w:t>单位（专业）工程招标控制价（磋商报价）费用</w:t>
            </w:r>
          </w:p>
        </w:tc>
        <w:tc>
          <w:tcPr>
            <w:tcW w:w="1298" w:type="dxa"/>
            <w:tcBorders>
              <w:top w:val="single" w:color="auto" w:sz="4" w:space="0"/>
              <w:left w:val="single" w:color="auto" w:sz="4" w:space="0"/>
              <w:bottom w:val="single" w:color="auto" w:sz="4" w:space="0"/>
              <w:right w:val="single" w:color="auto" w:sz="4" w:space="0"/>
            </w:tcBorders>
          </w:tcPr>
          <w:p w14:paraId="0D1B8DE4">
            <w:pPr>
              <w:autoSpaceDE w:val="0"/>
              <w:autoSpaceDN w:val="0"/>
              <w:adjustRightInd w:val="0"/>
              <w:snapToGrid w:val="0"/>
              <w:spacing w:line="430" w:lineRule="atLeast"/>
              <w:jc w:val="center"/>
              <w:rPr>
                <w:rFonts w:hint="eastAsia" w:ascii="宋体" w:hAnsi="宋体"/>
                <w:color w:val="auto"/>
                <w:sz w:val="22"/>
                <w:szCs w:val="22"/>
              </w:rPr>
            </w:pPr>
            <w:r>
              <w:rPr>
                <w:rFonts w:hint="eastAsia" w:ascii="宋体" w:hAnsi="宋体"/>
                <w:color w:val="auto"/>
                <w:sz w:val="22"/>
                <w:szCs w:val="22"/>
              </w:rPr>
              <w:t>附件6</w:t>
            </w:r>
          </w:p>
        </w:tc>
      </w:tr>
      <w:tr w14:paraId="587F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10379D0E">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6</w:t>
            </w:r>
          </w:p>
        </w:tc>
        <w:tc>
          <w:tcPr>
            <w:tcW w:w="7449" w:type="dxa"/>
            <w:tcBorders>
              <w:top w:val="single" w:color="auto" w:sz="4" w:space="0"/>
              <w:left w:val="single" w:color="auto" w:sz="4" w:space="0"/>
              <w:bottom w:val="single" w:color="auto" w:sz="4" w:space="0"/>
              <w:right w:val="single" w:color="auto" w:sz="4" w:space="0"/>
            </w:tcBorders>
          </w:tcPr>
          <w:p w14:paraId="32077CAF">
            <w:pPr>
              <w:pStyle w:val="20"/>
              <w:spacing w:line="440" w:lineRule="exact"/>
              <w:rPr>
                <w:rFonts w:hint="eastAsia" w:hAnsi="宋体"/>
                <w:color w:val="auto"/>
                <w:sz w:val="22"/>
                <w:szCs w:val="22"/>
              </w:rPr>
            </w:pPr>
            <w:r>
              <w:rPr>
                <w:rFonts w:hint="eastAsia" w:hAnsi="宋体"/>
                <w:color w:val="auto"/>
                <w:sz w:val="22"/>
                <w:szCs w:val="22"/>
              </w:rPr>
              <w:t>分部分项工程和施工技术措施项目清单与计价表</w:t>
            </w:r>
          </w:p>
        </w:tc>
        <w:tc>
          <w:tcPr>
            <w:tcW w:w="1298" w:type="dxa"/>
            <w:tcBorders>
              <w:top w:val="single" w:color="auto" w:sz="4" w:space="0"/>
              <w:left w:val="single" w:color="auto" w:sz="4" w:space="0"/>
              <w:bottom w:val="single" w:color="auto" w:sz="4" w:space="0"/>
              <w:right w:val="single" w:color="auto" w:sz="4" w:space="0"/>
            </w:tcBorders>
          </w:tcPr>
          <w:p w14:paraId="4C26E595">
            <w:pPr>
              <w:autoSpaceDE w:val="0"/>
              <w:autoSpaceDN w:val="0"/>
              <w:adjustRightInd w:val="0"/>
              <w:snapToGrid w:val="0"/>
              <w:spacing w:line="430" w:lineRule="atLeast"/>
              <w:jc w:val="center"/>
              <w:rPr>
                <w:rFonts w:hint="eastAsia" w:ascii="宋体" w:hAnsi="宋体"/>
                <w:color w:val="auto"/>
                <w:sz w:val="22"/>
                <w:szCs w:val="22"/>
              </w:rPr>
            </w:pPr>
            <w:r>
              <w:rPr>
                <w:rFonts w:hint="eastAsia" w:ascii="宋体" w:hAnsi="宋体"/>
                <w:color w:val="auto"/>
                <w:sz w:val="22"/>
                <w:szCs w:val="22"/>
              </w:rPr>
              <w:t>附件7</w:t>
            </w:r>
          </w:p>
        </w:tc>
      </w:tr>
      <w:tr w14:paraId="2E50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6C27CB51">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7</w:t>
            </w:r>
          </w:p>
        </w:tc>
        <w:tc>
          <w:tcPr>
            <w:tcW w:w="7449" w:type="dxa"/>
            <w:tcBorders>
              <w:top w:val="single" w:color="auto" w:sz="4" w:space="0"/>
              <w:left w:val="single" w:color="auto" w:sz="4" w:space="0"/>
              <w:bottom w:val="single" w:color="auto" w:sz="4" w:space="0"/>
              <w:right w:val="single" w:color="auto" w:sz="4" w:space="0"/>
            </w:tcBorders>
            <w:vAlign w:val="top"/>
          </w:tcPr>
          <w:p w14:paraId="05B31D05">
            <w:pPr>
              <w:pStyle w:val="20"/>
              <w:spacing w:line="440" w:lineRule="exact"/>
              <w:rPr>
                <w:rFonts w:hint="eastAsia" w:hAnsi="宋体"/>
                <w:color w:val="auto"/>
                <w:sz w:val="22"/>
                <w:szCs w:val="22"/>
              </w:rPr>
            </w:pPr>
            <w:r>
              <w:rPr>
                <w:rFonts w:hint="eastAsia" w:hAnsi="宋体"/>
                <w:color w:val="auto"/>
                <w:sz w:val="22"/>
                <w:szCs w:val="22"/>
              </w:rPr>
              <w:t>施工组织（总价）措施项目清单与计价表</w:t>
            </w:r>
          </w:p>
        </w:tc>
        <w:tc>
          <w:tcPr>
            <w:tcW w:w="1298" w:type="dxa"/>
            <w:tcBorders>
              <w:top w:val="single" w:color="auto" w:sz="4" w:space="0"/>
              <w:left w:val="single" w:color="auto" w:sz="4" w:space="0"/>
              <w:bottom w:val="single" w:color="auto" w:sz="4" w:space="0"/>
              <w:right w:val="single" w:color="auto" w:sz="4" w:space="0"/>
            </w:tcBorders>
            <w:vAlign w:val="top"/>
          </w:tcPr>
          <w:p w14:paraId="74738403">
            <w:pPr>
              <w:autoSpaceDE w:val="0"/>
              <w:autoSpaceDN w:val="0"/>
              <w:adjustRightInd w:val="0"/>
              <w:snapToGrid w:val="0"/>
              <w:spacing w:line="430" w:lineRule="atLeast"/>
              <w:jc w:val="center"/>
              <w:rPr>
                <w:rFonts w:hint="eastAsia" w:ascii="宋体" w:hAnsi="宋体"/>
                <w:color w:val="auto"/>
                <w:sz w:val="22"/>
                <w:szCs w:val="22"/>
              </w:rPr>
            </w:pPr>
            <w:r>
              <w:rPr>
                <w:rFonts w:hint="eastAsia" w:ascii="宋体" w:hAnsi="宋体"/>
                <w:color w:val="auto"/>
                <w:sz w:val="22"/>
                <w:szCs w:val="22"/>
              </w:rPr>
              <w:t>附件8</w:t>
            </w:r>
          </w:p>
        </w:tc>
      </w:tr>
      <w:tr w14:paraId="6F46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E5C7383">
            <w:pPr>
              <w:autoSpaceDE w:val="0"/>
              <w:autoSpaceDN w:val="0"/>
              <w:adjustRightInd w:val="0"/>
              <w:snapToGrid w:val="0"/>
              <w:spacing w:line="430" w:lineRule="atLeast"/>
              <w:jc w:val="center"/>
              <w:rPr>
                <w:rFonts w:hint="eastAsia" w:ascii="宋体" w:hAnsi="宋体" w:cs="宋体"/>
                <w:color w:val="auto"/>
                <w:sz w:val="22"/>
                <w:lang w:val="zh-CN"/>
              </w:rPr>
            </w:pPr>
            <w:r>
              <w:rPr>
                <w:rFonts w:hint="eastAsia" w:ascii="宋体" w:hAnsi="宋体" w:cs="宋体"/>
                <w:color w:val="auto"/>
                <w:sz w:val="22"/>
                <w:lang w:val="zh-CN"/>
              </w:rPr>
              <w:t>8</w:t>
            </w:r>
          </w:p>
        </w:tc>
        <w:tc>
          <w:tcPr>
            <w:tcW w:w="7449" w:type="dxa"/>
            <w:tcBorders>
              <w:top w:val="single" w:color="auto" w:sz="4" w:space="0"/>
              <w:left w:val="single" w:color="auto" w:sz="4" w:space="0"/>
              <w:bottom w:val="single" w:color="auto" w:sz="4" w:space="0"/>
              <w:right w:val="single" w:color="auto" w:sz="4" w:space="0"/>
            </w:tcBorders>
            <w:vAlign w:val="top"/>
          </w:tcPr>
          <w:p w14:paraId="431A6595">
            <w:pPr>
              <w:pStyle w:val="20"/>
              <w:spacing w:line="440" w:lineRule="exact"/>
              <w:rPr>
                <w:rFonts w:hint="eastAsia" w:hAnsi="宋体"/>
                <w:color w:val="auto"/>
                <w:sz w:val="22"/>
                <w:szCs w:val="22"/>
              </w:rPr>
            </w:pPr>
            <w:r>
              <w:rPr>
                <w:rFonts w:hint="eastAsia" w:hAnsi="宋体"/>
                <w:color w:val="auto"/>
                <w:sz w:val="22"/>
                <w:szCs w:val="22"/>
              </w:rPr>
              <w:t>其他项目清单与计价汇总表</w:t>
            </w:r>
          </w:p>
        </w:tc>
        <w:tc>
          <w:tcPr>
            <w:tcW w:w="1298" w:type="dxa"/>
            <w:tcBorders>
              <w:top w:val="single" w:color="auto" w:sz="4" w:space="0"/>
              <w:left w:val="single" w:color="auto" w:sz="4" w:space="0"/>
              <w:bottom w:val="single" w:color="auto" w:sz="4" w:space="0"/>
              <w:right w:val="single" w:color="auto" w:sz="4" w:space="0"/>
            </w:tcBorders>
            <w:vAlign w:val="top"/>
          </w:tcPr>
          <w:p w14:paraId="4FEA2E02">
            <w:pPr>
              <w:autoSpaceDE w:val="0"/>
              <w:autoSpaceDN w:val="0"/>
              <w:adjustRightInd w:val="0"/>
              <w:snapToGrid w:val="0"/>
              <w:spacing w:line="430" w:lineRule="atLeast"/>
              <w:jc w:val="center"/>
              <w:rPr>
                <w:rFonts w:hint="eastAsia" w:ascii="宋体" w:hAnsi="宋体"/>
                <w:color w:val="auto"/>
                <w:sz w:val="22"/>
                <w:szCs w:val="22"/>
              </w:rPr>
            </w:pPr>
            <w:r>
              <w:rPr>
                <w:rFonts w:hint="eastAsia" w:ascii="宋体" w:hAnsi="宋体"/>
                <w:color w:val="auto"/>
                <w:sz w:val="22"/>
                <w:szCs w:val="22"/>
              </w:rPr>
              <w:t>附件9</w:t>
            </w:r>
          </w:p>
        </w:tc>
      </w:tr>
      <w:tr w14:paraId="694B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tcBorders>
              <w:top w:val="single" w:color="auto" w:sz="4" w:space="0"/>
              <w:left w:val="single" w:color="auto" w:sz="4" w:space="0"/>
              <w:bottom w:val="single" w:color="auto" w:sz="4" w:space="0"/>
              <w:right w:val="single" w:color="auto" w:sz="4" w:space="0"/>
            </w:tcBorders>
            <w:vAlign w:val="center"/>
          </w:tcPr>
          <w:p w14:paraId="7DAC02B8">
            <w:pPr>
              <w:autoSpaceDE w:val="0"/>
              <w:autoSpaceDN w:val="0"/>
              <w:adjustRightInd w:val="0"/>
              <w:snapToGrid w:val="0"/>
              <w:spacing w:line="430" w:lineRule="atLeast"/>
              <w:rPr>
                <w:rFonts w:hint="eastAsia" w:ascii="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以上所需的各种实物照片、证书、证件、证明、执照需提供复印件或扫描件加盖电子公章。</w:t>
            </w:r>
          </w:p>
        </w:tc>
      </w:tr>
    </w:tbl>
    <w:p w14:paraId="049DAD0E">
      <w:pPr>
        <w:spacing w:line="440" w:lineRule="exact"/>
        <w:ind w:left="548" w:leftChars="261"/>
        <w:rPr>
          <w:rFonts w:hint="eastAsia" w:ascii="宋体" w:hAnsi="宋体"/>
          <w:color w:val="auto"/>
          <w:sz w:val="22"/>
          <w:szCs w:val="22"/>
        </w:rPr>
      </w:pPr>
      <w:r>
        <w:rPr>
          <w:rFonts w:hint="eastAsia" w:ascii="宋体" w:hAnsi="宋体"/>
          <w:color w:val="auto"/>
          <w:sz w:val="22"/>
          <w:szCs w:val="22"/>
        </w:rPr>
        <w:t>其中分部分项工程量综合单价计算表、措施项目费计算表根据《浙江省建设工程工程量清单计价指引》中的规定，结合本工程的采购实际情况，成交单位在接到成交通知书起的</w:t>
      </w:r>
      <w:r>
        <w:rPr>
          <w:rFonts w:hint="eastAsia" w:ascii="宋体" w:hAnsi="宋体"/>
          <w:color w:val="auto"/>
          <w:sz w:val="22"/>
          <w:szCs w:val="22"/>
          <w:u w:val="single"/>
        </w:rPr>
        <w:t>贰</w:t>
      </w:r>
      <w:r>
        <w:rPr>
          <w:rFonts w:hint="eastAsia" w:ascii="宋体" w:hAnsi="宋体"/>
          <w:color w:val="auto"/>
          <w:sz w:val="22"/>
          <w:szCs w:val="22"/>
        </w:rPr>
        <w:t>个工作日内向采购人提供一式拾份盖印原件，作为签订合同、工程施工变更、办理竣工结算的有效依据之一。</w:t>
      </w:r>
    </w:p>
    <w:p w14:paraId="442B3619">
      <w:pPr>
        <w:spacing w:line="440" w:lineRule="exact"/>
        <w:rPr>
          <w:rFonts w:hint="eastAsia" w:ascii="宋体" w:hAnsi="宋体"/>
          <w:color w:val="auto"/>
          <w:sz w:val="22"/>
          <w:szCs w:val="22"/>
        </w:rPr>
      </w:pPr>
      <w:r>
        <w:rPr>
          <w:rFonts w:hint="eastAsia" w:ascii="宋体" w:hAnsi="宋体"/>
          <w:color w:val="auto"/>
          <w:sz w:val="22"/>
          <w:szCs w:val="22"/>
        </w:rPr>
        <w:t>5.2  响应文件格式</w:t>
      </w:r>
    </w:p>
    <w:p w14:paraId="747C28F0">
      <w:pPr>
        <w:spacing w:line="440" w:lineRule="exact"/>
        <w:ind w:left="548" w:leftChars="261"/>
        <w:rPr>
          <w:rFonts w:hint="eastAsia" w:ascii="宋体" w:hAnsi="宋体"/>
          <w:color w:val="auto"/>
          <w:sz w:val="22"/>
          <w:szCs w:val="22"/>
        </w:rPr>
      </w:pPr>
      <w:r>
        <w:rPr>
          <w:rFonts w:hint="eastAsia" w:ascii="宋体" w:hAnsi="宋体"/>
          <w:color w:val="auto"/>
          <w:sz w:val="22"/>
          <w:szCs w:val="22"/>
        </w:rPr>
        <w:t>依照技术规范要求，针对本工程的特点和磋商标准项目内容，磋商供应商应根据磋商文件中所提供的格式、内容按顺序填写、编写目录和页码，</w:t>
      </w:r>
      <w:r>
        <w:rPr>
          <w:rFonts w:hint="eastAsia" w:ascii="宋体" w:hAnsi="宋体" w:cs="宋体"/>
          <w:color w:val="auto"/>
          <w:sz w:val="22"/>
          <w:szCs w:val="22"/>
        </w:rPr>
        <w:t>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r>
        <w:rPr>
          <w:rFonts w:ascii="宋体" w:hAnsi="宋体"/>
          <w:color w:val="auto"/>
          <w:sz w:val="22"/>
          <w:szCs w:val="22"/>
        </w:rPr>
        <w:t>混乱的编排导致</w:t>
      </w:r>
      <w:r>
        <w:rPr>
          <w:rFonts w:hint="eastAsia" w:ascii="宋体" w:hAnsi="宋体"/>
          <w:color w:val="auto"/>
          <w:sz w:val="22"/>
          <w:szCs w:val="22"/>
        </w:rPr>
        <w:t>磋商响应文件</w:t>
      </w:r>
      <w:r>
        <w:rPr>
          <w:rFonts w:ascii="宋体" w:hAnsi="宋体"/>
          <w:color w:val="auto"/>
          <w:sz w:val="22"/>
          <w:szCs w:val="22"/>
        </w:rPr>
        <w:t>被误读或查找不到有效文件是</w:t>
      </w:r>
      <w:r>
        <w:rPr>
          <w:rFonts w:hint="eastAsia" w:ascii="宋体" w:hAnsi="宋体"/>
          <w:color w:val="auto"/>
          <w:sz w:val="22"/>
          <w:szCs w:val="22"/>
        </w:rPr>
        <w:t>磋商供应商</w:t>
      </w:r>
      <w:r>
        <w:rPr>
          <w:rFonts w:ascii="宋体" w:hAnsi="宋体"/>
          <w:color w:val="auto"/>
          <w:sz w:val="22"/>
          <w:szCs w:val="22"/>
        </w:rPr>
        <w:t>的风险</w:t>
      </w:r>
      <w:r>
        <w:rPr>
          <w:rFonts w:hint="eastAsia" w:ascii="宋体" w:hAnsi="宋体"/>
          <w:color w:val="auto"/>
          <w:sz w:val="22"/>
          <w:szCs w:val="22"/>
        </w:rPr>
        <w:t>（具体格式见第四部分附件）。</w:t>
      </w:r>
    </w:p>
    <w:p w14:paraId="4583E5C9">
      <w:pPr>
        <w:spacing w:line="440" w:lineRule="exact"/>
        <w:ind w:left="550" w:hanging="550" w:hangingChars="250"/>
        <w:rPr>
          <w:rFonts w:hint="eastAsia" w:ascii="宋体" w:hAnsi="宋体"/>
          <w:color w:val="auto"/>
          <w:sz w:val="22"/>
          <w:szCs w:val="22"/>
          <w:u w:val="single"/>
        </w:rPr>
      </w:pPr>
      <w:r>
        <w:rPr>
          <w:rFonts w:hint="eastAsia" w:ascii="宋体" w:hAnsi="宋体"/>
          <w:color w:val="auto"/>
          <w:sz w:val="22"/>
          <w:szCs w:val="22"/>
        </w:rPr>
        <w:t xml:space="preserve">6. </w:t>
      </w:r>
      <w:r>
        <w:rPr>
          <w:rFonts w:hint="eastAsia"/>
          <w:b/>
          <w:color w:val="auto"/>
          <w:szCs w:val="21"/>
        </w:rPr>
        <w:t>▲</w:t>
      </w:r>
      <w:r>
        <w:rPr>
          <w:rFonts w:hint="eastAsia" w:ascii="宋体" w:hAnsi="宋体"/>
          <w:b/>
          <w:color w:val="auto"/>
          <w:sz w:val="22"/>
          <w:szCs w:val="22"/>
          <w:highlight w:val="yellow"/>
          <w:u w:val="single"/>
        </w:rPr>
        <w:t>本项目设有最高限价，具体见磋商须知前附表，磋商供应商的磋商报价不得高于最高限价，否则将作为无效报价。</w:t>
      </w:r>
    </w:p>
    <w:p w14:paraId="2940D671">
      <w:pPr>
        <w:pStyle w:val="22"/>
        <w:spacing w:line="440" w:lineRule="exact"/>
        <w:ind w:left="0" w:leftChars="0"/>
        <w:rPr>
          <w:rFonts w:hint="eastAsia" w:ascii="宋体" w:hAnsi="宋体"/>
          <w:color w:val="auto"/>
          <w:sz w:val="22"/>
          <w:szCs w:val="22"/>
        </w:rPr>
      </w:pPr>
      <w:r>
        <w:rPr>
          <w:rFonts w:hint="eastAsia" w:ascii="宋体" w:hAnsi="宋体"/>
          <w:color w:val="auto"/>
          <w:sz w:val="22"/>
          <w:szCs w:val="22"/>
        </w:rPr>
        <w:t>6.1  报价计价参考依据：</w:t>
      </w:r>
    </w:p>
    <w:p w14:paraId="466B09BC">
      <w:pPr>
        <w:pStyle w:val="22"/>
        <w:spacing w:line="440" w:lineRule="exact"/>
        <w:ind w:left="0" w:leftChars="0"/>
        <w:rPr>
          <w:rFonts w:hint="eastAsia" w:ascii="宋体" w:hAnsi="宋体"/>
          <w:color w:val="auto"/>
          <w:sz w:val="22"/>
          <w:szCs w:val="22"/>
        </w:rPr>
      </w:pPr>
      <w:r>
        <w:rPr>
          <w:rFonts w:hint="eastAsia" w:ascii="宋体" w:hAnsi="宋体"/>
          <w:color w:val="auto"/>
          <w:sz w:val="22"/>
          <w:szCs w:val="22"/>
        </w:rPr>
        <w:t>（1） 国家标准GB50500-2013《建设工程工程量清单计价规范》；</w:t>
      </w:r>
    </w:p>
    <w:p w14:paraId="702C1221">
      <w:pPr>
        <w:spacing w:line="440" w:lineRule="exact"/>
        <w:rPr>
          <w:rFonts w:hint="eastAsia" w:ascii="宋体" w:hAnsi="宋体"/>
          <w:color w:val="auto"/>
          <w:sz w:val="22"/>
          <w:szCs w:val="22"/>
        </w:rPr>
      </w:pPr>
      <w:r>
        <w:rPr>
          <w:rFonts w:hint="eastAsia" w:ascii="宋体" w:hAnsi="宋体"/>
          <w:color w:val="auto"/>
          <w:sz w:val="22"/>
          <w:szCs w:val="22"/>
        </w:rPr>
        <w:t>（2）《浙江省建筑工程预算定额》（2018版）；</w:t>
      </w:r>
    </w:p>
    <w:p w14:paraId="710FE491">
      <w:pPr>
        <w:spacing w:line="440" w:lineRule="exact"/>
        <w:rPr>
          <w:rFonts w:hint="eastAsia" w:ascii="宋体" w:hAnsi="宋体"/>
          <w:color w:val="auto"/>
          <w:sz w:val="22"/>
          <w:szCs w:val="22"/>
        </w:rPr>
      </w:pPr>
      <w:r>
        <w:rPr>
          <w:rFonts w:hint="eastAsia" w:ascii="宋体" w:hAnsi="宋体"/>
          <w:color w:val="auto"/>
          <w:sz w:val="22"/>
          <w:szCs w:val="22"/>
        </w:rPr>
        <w:t>（3）《浙江省通用安装工程预算定额》（2018版）；</w:t>
      </w:r>
    </w:p>
    <w:p w14:paraId="1DBB4B63">
      <w:pPr>
        <w:spacing w:line="440" w:lineRule="exact"/>
        <w:rPr>
          <w:rFonts w:hint="eastAsia" w:ascii="宋体" w:hAnsi="宋体"/>
          <w:color w:val="auto"/>
          <w:sz w:val="22"/>
          <w:szCs w:val="22"/>
        </w:rPr>
      </w:pPr>
      <w:r>
        <w:rPr>
          <w:rFonts w:hint="eastAsia" w:ascii="宋体" w:hAnsi="宋体"/>
          <w:color w:val="auto"/>
          <w:sz w:val="22"/>
          <w:szCs w:val="22"/>
        </w:rPr>
        <w:t>（4）《浙江省市政工程预算定额》（2018版）；</w:t>
      </w:r>
    </w:p>
    <w:p w14:paraId="57D66A49">
      <w:pPr>
        <w:spacing w:line="440" w:lineRule="exact"/>
        <w:rPr>
          <w:rFonts w:hint="eastAsia" w:ascii="宋体" w:hAnsi="宋体"/>
          <w:color w:val="auto"/>
          <w:sz w:val="22"/>
          <w:szCs w:val="22"/>
        </w:rPr>
      </w:pPr>
      <w:r>
        <w:rPr>
          <w:rFonts w:hint="eastAsia" w:ascii="宋体" w:hAnsi="宋体"/>
          <w:color w:val="auto"/>
          <w:sz w:val="22"/>
          <w:szCs w:val="22"/>
        </w:rPr>
        <w:t>（5）《浙江省园林绿化及仿古建筑工程预算定额》（2018版）；</w:t>
      </w:r>
    </w:p>
    <w:p w14:paraId="3F31C276">
      <w:pPr>
        <w:spacing w:line="440" w:lineRule="exact"/>
        <w:rPr>
          <w:rFonts w:hint="eastAsia" w:ascii="宋体" w:hAnsi="宋体"/>
          <w:color w:val="auto"/>
          <w:sz w:val="22"/>
          <w:szCs w:val="22"/>
        </w:rPr>
      </w:pPr>
      <w:r>
        <w:rPr>
          <w:rFonts w:hint="eastAsia" w:ascii="宋体" w:hAnsi="宋体"/>
          <w:color w:val="auto"/>
          <w:sz w:val="22"/>
          <w:szCs w:val="22"/>
        </w:rPr>
        <w:t>（6）《浙江省建设工程计价规则》（2018版）；</w:t>
      </w:r>
    </w:p>
    <w:p w14:paraId="14F3BBE2">
      <w:pPr>
        <w:spacing w:line="440" w:lineRule="exact"/>
        <w:rPr>
          <w:rFonts w:hint="eastAsia" w:ascii="宋体" w:hAnsi="宋体"/>
          <w:color w:val="auto"/>
          <w:sz w:val="22"/>
          <w:szCs w:val="22"/>
        </w:rPr>
      </w:pPr>
      <w:r>
        <w:rPr>
          <w:rFonts w:hint="eastAsia" w:ascii="宋体" w:hAnsi="宋体"/>
          <w:color w:val="auto"/>
          <w:sz w:val="22"/>
          <w:szCs w:val="22"/>
        </w:rPr>
        <w:t>（7）《浙江省建设工程施工费用定额》（2018版）；</w:t>
      </w:r>
    </w:p>
    <w:p w14:paraId="1F141DAC">
      <w:pPr>
        <w:spacing w:line="440" w:lineRule="exact"/>
        <w:rPr>
          <w:rFonts w:hint="eastAsia" w:ascii="宋体" w:hAnsi="宋体"/>
          <w:color w:val="auto"/>
          <w:sz w:val="22"/>
          <w:szCs w:val="22"/>
        </w:rPr>
      </w:pPr>
      <w:r>
        <w:rPr>
          <w:rFonts w:hint="eastAsia" w:ascii="宋体" w:hAnsi="宋体"/>
          <w:color w:val="auto"/>
          <w:sz w:val="22"/>
          <w:szCs w:val="22"/>
        </w:rPr>
        <w:t>（8）《浙江省建筑安装材料基期价格》（2018版）；</w:t>
      </w:r>
    </w:p>
    <w:p w14:paraId="7D1A2A9E">
      <w:pPr>
        <w:spacing w:line="440" w:lineRule="exact"/>
        <w:rPr>
          <w:rFonts w:hint="eastAsia" w:ascii="宋体" w:hAnsi="宋体"/>
          <w:color w:val="auto"/>
          <w:sz w:val="22"/>
          <w:szCs w:val="22"/>
        </w:rPr>
      </w:pPr>
      <w:r>
        <w:rPr>
          <w:rFonts w:hint="eastAsia" w:ascii="宋体" w:hAnsi="宋体"/>
          <w:color w:val="auto"/>
          <w:sz w:val="22"/>
          <w:szCs w:val="22"/>
        </w:rPr>
        <w:t>（9）《浙江省施工机械台班费用定额》（2018版）；</w:t>
      </w:r>
    </w:p>
    <w:p w14:paraId="4A219E6A">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（10）</w:t>
      </w:r>
      <w:r>
        <w:rPr>
          <w:rFonts w:hint="eastAsia" w:ascii="宋体" w:hAnsi="宋体"/>
          <w:color w:val="auto"/>
          <w:sz w:val="22"/>
          <w:szCs w:val="22"/>
          <w:u w:val="single"/>
        </w:rPr>
        <w:t>执行温州市住建委《转发关于浙江省建设工程计价依据（2018版）的通知》温住建发【2018】299号</w:t>
      </w:r>
    </w:p>
    <w:p w14:paraId="5BED0FDF">
      <w:pPr>
        <w:spacing w:line="440" w:lineRule="exact"/>
        <w:ind w:left="539" w:hanging="539" w:hangingChars="245"/>
        <w:rPr>
          <w:rFonts w:ascii="宋体" w:hAnsi="宋体"/>
          <w:color w:val="auto"/>
          <w:sz w:val="22"/>
          <w:szCs w:val="22"/>
          <w:u w:val="single"/>
        </w:rPr>
      </w:pPr>
      <w:r>
        <w:rPr>
          <w:rFonts w:hint="eastAsia" w:ascii="宋体" w:hAnsi="宋体"/>
          <w:color w:val="auto"/>
          <w:sz w:val="22"/>
          <w:szCs w:val="22"/>
        </w:rPr>
        <w:t>（11）</w:t>
      </w:r>
      <w:r>
        <w:rPr>
          <w:rFonts w:hint="eastAsia" w:ascii="宋体" w:hAnsi="宋体"/>
          <w:color w:val="auto"/>
          <w:sz w:val="22"/>
          <w:szCs w:val="22"/>
          <w:u w:val="single"/>
        </w:rPr>
        <w:t>执行浙江省住房和城乡建设厅《关于颁发浙江省建设工程计价依据（2018版）的通知》浙建建【2018】61号</w:t>
      </w:r>
    </w:p>
    <w:p w14:paraId="2CE6B72D">
      <w:pPr>
        <w:spacing w:line="440" w:lineRule="exact"/>
        <w:rPr>
          <w:rFonts w:ascii="宋体" w:hAnsi="宋体"/>
          <w:color w:val="auto"/>
          <w:sz w:val="22"/>
          <w:szCs w:val="22"/>
        </w:rPr>
      </w:pPr>
      <w:r>
        <w:rPr>
          <w:rFonts w:hint="eastAsia" w:ascii="宋体" w:hAnsi="宋体"/>
          <w:color w:val="auto"/>
          <w:sz w:val="22"/>
          <w:szCs w:val="22"/>
        </w:rPr>
        <w:t>(12)</w:t>
      </w:r>
      <w:r>
        <w:rPr>
          <w:rFonts w:hint="eastAsia" w:ascii="宋体" w:hAnsi="宋体"/>
          <w:color w:val="auto"/>
          <w:sz w:val="22"/>
          <w:szCs w:val="22"/>
          <w:u w:val="single"/>
        </w:rPr>
        <w:t>执行浙江省住房和城乡建设厅省建设工程计价依据（2018版）的《建筑安装工程施工取费费率》</w:t>
      </w:r>
    </w:p>
    <w:p w14:paraId="21A36639">
      <w:pPr>
        <w:spacing w:line="440" w:lineRule="exact"/>
        <w:rPr>
          <w:rFonts w:ascii="宋体" w:hAnsi="宋体"/>
          <w:color w:val="auto"/>
          <w:sz w:val="22"/>
          <w:szCs w:val="22"/>
        </w:rPr>
      </w:pPr>
      <w:r>
        <w:rPr>
          <w:rFonts w:hint="eastAsia" w:ascii="宋体" w:hAnsi="宋体"/>
          <w:color w:val="auto"/>
          <w:sz w:val="22"/>
          <w:szCs w:val="22"/>
        </w:rPr>
        <w:t>(13)</w:t>
      </w:r>
      <w:r>
        <w:rPr>
          <w:rFonts w:hint="eastAsia" w:ascii="宋体" w:hAnsi="宋体"/>
          <w:color w:val="auto"/>
          <w:sz w:val="22"/>
          <w:szCs w:val="22"/>
          <w:u w:val="single"/>
        </w:rPr>
        <w:t>执行浙江省住房和城乡建设厅&lt;关于增值税调整后我省建设工程计价依据增值税税率及有关计价调整的通知&gt;浙建建发【2019】92号</w:t>
      </w:r>
    </w:p>
    <w:p w14:paraId="7AAD980B">
      <w:pPr>
        <w:spacing w:line="440" w:lineRule="exact"/>
        <w:rPr>
          <w:rFonts w:hint="eastAsia" w:ascii="宋体" w:hAnsi="宋体"/>
          <w:color w:val="auto"/>
          <w:sz w:val="22"/>
          <w:szCs w:val="22"/>
        </w:rPr>
      </w:pPr>
      <w:r>
        <w:rPr>
          <w:rFonts w:hint="eastAsia" w:ascii="宋体" w:hAnsi="宋体"/>
          <w:color w:val="auto"/>
          <w:sz w:val="22"/>
          <w:szCs w:val="22"/>
        </w:rPr>
        <w:t xml:space="preserve">6.2  </w:t>
      </w:r>
      <w:r>
        <w:rPr>
          <w:rFonts w:hint="eastAsia" w:ascii="宋体" w:hAnsi="宋体"/>
          <w:b/>
          <w:color w:val="auto"/>
          <w:sz w:val="22"/>
          <w:szCs w:val="22"/>
          <w:u w:val="single"/>
        </w:rPr>
        <w:t>工程量清单报价采用综合单价法</w:t>
      </w:r>
      <w:r>
        <w:rPr>
          <w:rFonts w:hint="eastAsia" w:ascii="宋体" w:hAnsi="宋体"/>
          <w:color w:val="auto"/>
          <w:sz w:val="22"/>
          <w:szCs w:val="22"/>
        </w:rPr>
        <w:t>。招标采购单位向各磋商供应商提供统一的全套施工图纸、工程量清单、变更说明等各种技术资料，各磋商供应商应根据现行预算定额依据和企业内部经济测算，结合本工程实际情况和市场价格信息、管理技术水平，综合测定自由竞报磋商报价，同时提供主要材料及设备明细表所有内容。成交供应商的磋商报价将作为签订合同和办理竣工结算的有效依据之一。</w:t>
      </w:r>
    </w:p>
    <w:p w14:paraId="4499E43F">
      <w:pPr>
        <w:spacing w:line="440" w:lineRule="exact"/>
        <w:ind w:left="548" w:leftChars="261"/>
        <w:rPr>
          <w:rFonts w:hint="eastAsia" w:ascii="宋体" w:hAnsi="宋体"/>
          <w:color w:val="auto"/>
          <w:sz w:val="22"/>
          <w:szCs w:val="22"/>
        </w:rPr>
      </w:pPr>
      <w:r>
        <w:rPr>
          <w:rFonts w:hint="eastAsia" w:ascii="宋体" w:hAnsi="宋体"/>
          <w:color w:val="auto"/>
          <w:sz w:val="22"/>
          <w:szCs w:val="22"/>
        </w:rPr>
        <w:t>综合单价是指完成工程量中一个规定计量单位项目所需的人工费、材料费、机械使用费、企业管理费和利润，并考虑以上等所有风险因素。本工程量报价包括按照报价文件规定完成工程量所列的全部费用，包括分项工程费、措施项目费、其他项目费、规费、税金、民工工伤保险、危险作业意外伤害保险等全部费用。</w:t>
      </w:r>
    </w:p>
    <w:p w14:paraId="2E9B14FF">
      <w:pPr>
        <w:spacing w:line="400" w:lineRule="exact"/>
        <w:ind w:left="550" w:hanging="550" w:hangingChars="250"/>
        <w:rPr>
          <w:rFonts w:hint="eastAsia" w:ascii="新宋体" w:hAnsi="新宋体" w:eastAsia="新宋体"/>
          <w:color w:val="auto"/>
          <w:sz w:val="22"/>
          <w:szCs w:val="22"/>
        </w:rPr>
      </w:pPr>
      <w:r>
        <w:rPr>
          <w:rFonts w:hint="eastAsia" w:ascii="新宋体" w:hAnsi="新宋体" w:eastAsia="新宋体"/>
          <w:color w:val="auto"/>
          <w:sz w:val="22"/>
          <w:szCs w:val="22"/>
        </w:rPr>
        <w:t>6.3  按提供的工程量清单和报价格式的内容分项填写。磋商报价时每单项均需填写单价和合价，对磋商单位没有填写单价或合价的项目费用，应视为已包含或分配到工程量清单的其他单价或合价之中。</w:t>
      </w:r>
    </w:p>
    <w:p w14:paraId="3C35085B">
      <w:pPr>
        <w:spacing w:line="400" w:lineRule="exact"/>
        <w:rPr>
          <w:rFonts w:hint="eastAsia" w:ascii="新宋体" w:hAnsi="新宋体" w:eastAsia="新宋体"/>
          <w:b/>
          <w:color w:val="auto"/>
          <w:sz w:val="22"/>
          <w:szCs w:val="22"/>
        </w:rPr>
      </w:pPr>
      <w:r>
        <w:rPr>
          <w:rFonts w:hint="eastAsia" w:ascii="新宋体" w:hAnsi="新宋体" w:eastAsia="新宋体"/>
          <w:b/>
          <w:color w:val="auto"/>
          <w:sz w:val="22"/>
          <w:szCs w:val="22"/>
        </w:rPr>
        <w:t>6.4 ▲</w:t>
      </w:r>
      <w:r>
        <w:rPr>
          <w:rFonts w:hint="eastAsia" w:ascii="新宋体" w:hAnsi="新宋体" w:eastAsia="新宋体"/>
          <w:b/>
          <w:color w:val="auto"/>
          <w:sz w:val="22"/>
          <w:szCs w:val="22"/>
          <w:u w:val="single"/>
        </w:rPr>
        <w:t>磋商供应商不得采用总价让利或百分比让利等办法进行磋商报价，否则磋商将被否决</w:t>
      </w:r>
      <w:r>
        <w:rPr>
          <w:rFonts w:hint="eastAsia" w:ascii="新宋体" w:hAnsi="新宋体" w:eastAsia="新宋体"/>
          <w:b/>
          <w:color w:val="auto"/>
          <w:sz w:val="22"/>
          <w:szCs w:val="22"/>
        </w:rPr>
        <w:t>。</w:t>
      </w:r>
    </w:p>
    <w:p w14:paraId="5B357146">
      <w:pPr>
        <w:spacing w:line="400" w:lineRule="exact"/>
        <w:rPr>
          <w:rFonts w:hint="eastAsia" w:ascii="新宋体" w:hAnsi="新宋体" w:eastAsia="新宋体"/>
          <w:b/>
          <w:bCs/>
          <w:color w:val="auto"/>
          <w:sz w:val="22"/>
          <w:szCs w:val="22"/>
        </w:rPr>
      </w:pPr>
      <w:r>
        <w:rPr>
          <w:rFonts w:hint="eastAsia" w:ascii="新宋体" w:hAnsi="新宋体" w:eastAsia="新宋体"/>
          <w:b/>
          <w:bCs/>
          <w:color w:val="auto"/>
          <w:sz w:val="22"/>
          <w:szCs w:val="22"/>
        </w:rPr>
        <w:t>6.5  分部分项工程量清单报价的要求</w:t>
      </w:r>
    </w:p>
    <w:p w14:paraId="768E5EF3">
      <w:pPr>
        <w:spacing w:line="400" w:lineRule="exact"/>
        <w:ind w:left="550" w:hanging="550" w:hangingChars="250"/>
        <w:rPr>
          <w:rFonts w:hint="eastAsia" w:ascii="新宋体" w:hAnsi="新宋体" w:eastAsia="新宋体"/>
          <w:color w:val="auto"/>
          <w:sz w:val="22"/>
          <w:szCs w:val="22"/>
        </w:rPr>
      </w:pPr>
      <w:r>
        <w:rPr>
          <w:rFonts w:hint="eastAsia" w:ascii="新宋体" w:hAnsi="新宋体" w:eastAsia="新宋体"/>
          <w:bCs/>
          <w:color w:val="auto"/>
          <w:sz w:val="22"/>
          <w:szCs w:val="22"/>
        </w:rPr>
        <w:t>6.5.1</w:t>
      </w:r>
      <w:r>
        <w:rPr>
          <w:rFonts w:hint="eastAsia" w:ascii="新宋体" w:hAnsi="新宋体" w:eastAsia="新宋体"/>
          <w:color w:val="auto"/>
          <w:sz w:val="22"/>
          <w:szCs w:val="22"/>
        </w:rPr>
        <w:t>分部分项工程量清单报价时，相关表格中序号、项目编码、项目名称、计量单位和工程数量应按“分部分项工程量清单”中的相应内容填写。</w:t>
      </w:r>
    </w:p>
    <w:p w14:paraId="0B543679">
      <w:pPr>
        <w:spacing w:line="400" w:lineRule="exact"/>
        <w:ind w:left="550" w:hanging="550" w:hangingChars="250"/>
        <w:rPr>
          <w:rFonts w:hint="eastAsia" w:ascii="新宋体" w:hAnsi="新宋体" w:eastAsia="新宋体"/>
          <w:color w:val="auto"/>
          <w:sz w:val="22"/>
          <w:szCs w:val="22"/>
        </w:rPr>
      </w:pPr>
      <w:r>
        <w:rPr>
          <w:rFonts w:hint="eastAsia" w:ascii="新宋体" w:hAnsi="新宋体" w:eastAsia="新宋体"/>
          <w:bCs/>
          <w:color w:val="auto"/>
          <w:sz w:val="22"/>
          <w:szCs w:val="22"/>
        </w:rPr>
        <w:t>6.5.2</w:t>
      </w:r>
      <w:r>
        <w:rPr>
          <w:rFonts w:hint="eastAsia" w:ascii="新宋体" w:hAnsi="新宋体" w:eastAsia="新宋体"/>
          <w:color w:val="auto"/>
          <w:sz w:val="22"/>
          <w:szCs w:val="22"/>
        </w:rPr>
        <w:t>磋商供应商在分部分项工程量清单计价时，应按照磋商文件的要求，根据工程特点并结合市场行情及磋商供应商企业状况，考虑以上各项等所有可能发生的风险费用，自主报价。</w:t>
      </w:r>
    </w:p>
    <w:p w14:paraId="5ED1BED3">
      <w:pPr>
        <w:spacing w:line="400" w:lineRule="exact"/>
        <w:ind w:left="663" w:hanging="663" w:hangingChars="300"/>
        <w:rPr>
          <w:rFonts w:hint="eastAsia" w:ascii="新宋体" w:hAnsi="新宋体" w:eastAsia="新宋体"/>
          <w:color w:val="auto"/>
          <w:sz w:val="22"/>
          <w:szCs w:val="22"/>
        </w:rPr>
      </w:pPr>
      <w:r>
        <w:rPr>
          <w:rFonts w:hint="eastAsia" w:ascii="新宋体" w:hAnsi="新宋体" w:eastAsia="新宋体"/>
          <w:b/>
          <w:color w:val="auto"/>
          <w:sz w:val="22"/>
          <w:szCs w:val="22"/>
        </w:rPr>
        <w:t>6.6  措施项目</w:t>
      </w:r>
      <w:r>
        <w:rPr>
          <w:rFonts w:hint="eastAsia" w:ascii="新宋体" w:hAnsi="新宋体" w:eastAsia="新宋体"/>
          <w:b/>
          <w:bCs/>
          <w:color w:val="auto"/>
          <w:sz w:val="22"/>
          <w:szCs w:val="22"/>
        </w:rPr>
        <w:t>清单报价的要求</w:t>
      </w:r>
      <w:r>
        <w:rPr>
          <w:rFonts w:hint="eastAsia" w:ascii="新宋体" w:hAnsi="新宋体" w:eastAsia="新宋体"/>
          <w:color w:val="auto"/>
          <w:sz w:val="22"/>
          <w:szCs w:val="22"/>
        </w:rPr>
        <w:t>：</w:t>
      </w:r>
    </w:p>
    <w:p w14:paraId="51E7C47A">
      <w:pPr>
        <w:spacing w:line="440" w:lineRule="exact"/>
        <w:rPr>
          <w:rFonts w:hint="eastAsia" w:ascii="宋体" w:hAnsi="宋体"/>
          <w:color w:val="auto"/>
          <w:sz w:val="22"/>
          <w:szCs w:val="22"/>
        </w:rPr>
      </w:pPr>
      <w:r>
        <w:rPr>
          <w:rFonts w:hint="eastAsia" w:ascii="宋体" w:hAnsi="宋体"/>
          <w:color w:val="auto"/>
          <w:sz w:val="22"/>
          <w:szCs w:val="22"/>
        </w:rPr>
        <w:t>（一）施工技术措施费：</w:t>
      </w:r>
    </w:p>
    <w:p w14:paraId="46C393F6">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（1）工程垂直运输费：是指本工程在报价工期内完成全部工作所需的垂直运输机械台班费用。磋商供应商可根据本工程实际情况和施工方案自行测算报价，该费用一次性包干，今后不予调整。</w:t>
      </w:r>
    </w:p>
    <w:p w14:paraId="60784BAF">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（2）脚手架费：是指完成本工程所可能发生的脚手架搭拆费用，各磋商供应商可根据工程实际情况自行报价，该费用一次性包干，今后不予调整。</w:t>
      </w:r>
    </w:p>
    <w:p w14:paraId="0D3309D7">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（3）其他施工技术措施费：是指磋商供应商根据本工程各专业、温州市及工程特点补充的技术措施费用项目。磋商供应商可根据本工程实际情况和施工方案自行测算报价，该费用一次性包干，今后不予调整。</w:t>
      </w:r>
    </w:p>
    <w:p w14:paraId="153FA654">
      <w:pPr>
        <w:spacing w:line="440" w:lineRule="exact"/>
        <w:rPr>
          <w:rFonts w:hint="eastAsia" w:ascii="宋体" w:hAnsi="宋体"/>
          <w:color w:val="auto"/>
          <w:sz w:val="22"/>
          <w:szCs w:val="22"/>
        </w:rPr>
      </w:pPr>
      <w:r>
        <w:rPr>
          <w:rFonts w:hint="eastAsia" w:ascii="宋体" w:hAnsi="宋体"/>
          <w:color w:val="auto"/>
          <w:sz w:val="22"/>
          <w:szCs w:val="22"/>
        </w:rPr>
        <w:t>（二）施工组织措施费</w:t>
      </w:r>
    </w:p>
    <w:p w14:paraId="5245F00D">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（1）安全文明施工费：安全文明施工费包括建设工程安全施工费、文明施工费、环境保护费、临时设施费等。安全生产费用实行资金单列到位、专户管理、专款专用，为不可竞争的费用，计入总造价。</w:t>
      </w:r>
    </w:p>
    <w:p w14:paraId="270D7DB9">
      <w:pPr>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（2）提前竣工增加费：是指因缩短工期要求发生的施工增加费，包括赶工所需发生的夜间施工增加费、周转材料加大投入量和资金、劳动力集中投入等所增加的费用等。</w:t>
      </w:r>
    </w:p>
    <w:p w14:paraId="68105424">
      <w:pPr>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（3）二次搬运费：是指因施工场地条件限制而发生的材料、构配件、半成品等一次运输不能到达堆放地点，必须进行二次或多次搬运所发生的费用。该费用一次性包干，今后不予调整。</w:t>
      </w:r>
    </w:p>
    <w:p w14:paraId="15A22EFE">
      <w:pPr>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（4）冬雨季施工增加费：是指在冬季或雨季施工需增加的临时设施、防滑、排除雨雪，人工及施工机械效率降低等费用。该费用一次性包干，今后不予调整。</w:t>
      </w:r>
    </w:p>
    <w:p w14:paraId="0FDD1881">
      <w:pPr>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（5）行车、行人干扰增加费：是指边施工边维持人与车辆通行的市政、城市轨道交通、园林绿化等市政基础设施工程及相应养护维修工程受行车、行人干扰影响而降低工效等所增加的费用。</w:t>
      </w:r>
    </w:p>
    <w:p w14:paraId="15ED1E3A">
      <w:pPr>
        <w:spacing w:line="440" w:lineRule="exact"/>
        <w:jc w:val="left"/>
        <w:rPr>
          <w:rFonts w:hint="eastAsia" w:ascii="宋体" w:hAnsi="宋体"/>
          <w:color w:val="auto"/>
          <w:sz w:val="22"/>
          <w:szCs w:val="22"/>
        </w:rPr>
      </w:pPr>
      <w:r>
        <w:rPr>
          <w:rFonts w:hint="eastAsia" w:ascii="宋体" w:hAnsi="宋体"/>
          <w:color w:val="auto"/>
          <w:sz w:val="22"/>
          <w:szCs w:val="22"/>
        </w:rPr>
        <w:t>（6）其他施工组织措施费：是指根据各专业工程特点补充的施工组织措施项目的费用。</w:t>
      </w:r>
    </w:p>
    <w:p w14:paraId="4EBB6698">
      <w:pPr>
        <w:spacing w:line="440" w:lineRule="exact"/>
        <w:rPr>
          <w:rFonts w:hint="eastAsia" w:ascii="宋体" w:hAnsi="宋体"/>
          <w:color w:val="auto"/>
          <w:sz w:val="22"/>
          <w:szCs w:val="22"/>
        </w:rPr>
      </w:pPr>
      <w:r>
        <w:rPr>
          <w:rFonts w:hint="eastAsia" w:ascii="宋体" w:hAnsi="宋体"/>
          <w:color w:val="auto"/>
          <w:sz w:val="22"/>
          <w:szCs w:val="22"/>
        </w:rPr>
        <w:t xml:space="preserve"> （三）其他措施费</w:t>
      </w:r>
    </w:p>
    <w:p w14:paraId="42EB0432">
      <w:pPr>
        <w:spacing w:line="440" w:lineRule="exact"/>
        <w:ind w:left="548" w:leftChars="104" w:hanging="330" w:hangingChars="150"/>
        <w:rPr>
          <w:rFonts w:hint="eastAsia" w:ascii="宋体" w:hAnsi="宋体"/>
          <w:color w:val="auto"/>
          <w:sz w:val="22"/>
          <w:szCs w:val="22"/>
        </w:rPr>
      </w:pPr>
      <w:r>
        <w:rPr>
          <w:rFonts w:hint="eastAsia" w:ascii="宋体" w:hAnsi="宋体"/>
          <w:color w:val="auto"/>
          <w:sz w:val="22"/>
          <w:szCs w:val="22"/>
        </w:rPr>
        <w:t>（1）其他施工组织措施费:是指磋商供应商根据本工程各专业、温州地区及工程特点补充的施工措施费用项目。磋商供应商可根据本工程现场实际情况和施工方案自行测算报价，该费用一次性包干，今后不予调整。</w:t>
      </w:r>
    </w:p>
    <w:p w14:paraId="55EEEAC3">
      <w:pPr>
        <w:tabs>
          <w:tab w:val="left" w:pos="720"/>
        </w:tabs>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A、  现场原有建筑物拆除及垃圾清运费：磋商供应商现场踏勘后，根据施工现场实际情况以及可能存在的风险，计算满足施工场地要求所需的施工场地清理及原有建筑物拆除及垃圾清运费、消纳，该费用一次性包干，今后不予调整。</w:t>
      </w:r>
    </w:p>
    <w:p w14:paraId="46E5334C">
      <w:pPr>
        <w:tabs>
          <w:tab w:val="left" w:pos="720"/>
        </w:tabs>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B、  本工程三通一平工作已完成，施工用水电已接入施工现场，但磋商单位需安装施工用水、用电专用总表及用于其他配套工程的分水、电表及线路等以供自身和其他配套工程单位施工所需，磋商单位可测算相应所需费用计入措施费用中，该费用一次性包干，今后不予调整。</w:t>
      </w:r>
    </w:p>
    <w:p w14:paraId="6ACAF77C">
      <w:pPr>
        <w:tabs>
          <w:tab w:val="left" w:pos="720"/>
        </w:tabs>
        <w:spacing w:line="440" w:lineRule="exact"/>
        <w:ind w:left="550" w:hanging="550" w:hangingChars="250"/>
        <w:rPr>
          <w:rFonts w:ascii="宋体" w:hAnsi="宋体"/>
          <w:color w:val="auto"/>
          <w:sz w:val="22"/>
          <w:szCs w:val="22"/>
        </w:rPr>
      </w:pPr>
      <w:r>
        <w:rPr>
          <w:rFonts w:hint="eastAsia" w:ascii="宋体" w:hAnsi="宋体"/>
          <w:color w:val="auto"/>
          <w:sz w:val="22"/>
          <w:szCs w:val="22"/>
        </w:rPr>
        <w:t>C、  施工期间，磋商单位每天施工完毕后，均须保证材料运输通道的畅通干净，工程施工完毕后，场地垃圾清运及清洗费用，由磋商供应商自行考虑，计入该报价，该费用一次性包干，今后不予调整。</w:t>
      </w:r>
    </w:p>
    <w:p w14:paraId="4A8B044C">
      <w:pPr>
        <w:tabs>
          <w:tab w:val="left" w:pos="720"/>
        </w:tabs>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 xml:space="preserve">D、 </w:t>
      </w:r>
      <w:r>
        <w:rPr>
          <w:rFonts w:ascii="宋体" w:hAnsi="宋体"/>
          <w:color w:val="auto"/>
          <w:sz w:val="22"/>
          <w:szCs w:val="22"/>
        </w:rPr>
        <w:t xml:space="preserve"> 施工中对地面保护</w:t>
      </w:r>
      <w:r>
        <w:rPr>
          <w:rFonts w:hint="eastAsia" w:ascii="宋体" w:hAnsi="宋体"/>
          <w:color w:val="auto"/>
          <w:sz w:val="22"/>
          <w:szCs w:val="22"/>
        </w:rPr>
        <w:t>、</w:t>
      </w:r>
      <w:r>
        <w:rPr>
          <w:rFonts w:ascii="宋体" w:hAnsi="宋体"/>
          <w:color w:val="auto"/>
          <w:sz w:val="22"/>
          <w:szCs w:val="22"/>
        </w:rPr>
        <w:t>窗户及周边设施保护等费用由磋商供应商自行测算报价</w:t>
      </w:r>
      <w:r>
        <w:rPr>
          <w:rFonts w:hint="eastAsia" w:ascii="宋体" w:hAnsi="宋体"/>
          <w:color w:val="auto"/>
          <w:sz w:val="22"/>
          <w:szCs w:val="22"/>
        </w:rPr>
        <w:t>，</w:t>
      </w:r>
      <w:r>
        <w:rPr>
          <w:rFonts w:ascii="宋体" w:hAnsi="宋体"/>
          <w:color w:val="auto"/>
          <w:sz w:val="22"/>
          <w:szCs w:val="22"/>
        </w:rPr>
        <w:t>今后不予调整</w:t>
      </w:r>
      <w:r>
        <w:rPr>
          <w:rFonts w:hint="eastAsia" w:ascii="宋体" w:hAnsi="宋体"/>
          <w:color w:val="auto"/>
          <w:sz w:val="22"/>
          <w:szCs w:val="22"/>
        </w:rPr>
        <w:t>。</w:t>
      </w:r>
    </w:p>
    <w:p w14:paraId="1BD6BC76">
      <w:pPr>
        <w:spacing w:line="440" w:lineRule="exact"/>
        <w:ind w:left="550" w:leftChars="262"/>
        <w:rPr>
          <w:rFonts w:hint="eastAsia" w:ascii="宋体" w:hAnsi="宋体"/>
          <w:color w:val="auto"/>
          <w:sz w:val="22"/>
          <w:szCs w:val="22"/>
        </w:rPr>
      </w:pPr>
      <w:r>
        <w:rPr>
          <w:rFonts w:hint="eastAsia" w:ascii="宋体" w:hAnsi="宋体"/>
          <w:color w:val="auto"/>
          <w:sz w:val="22"/>
          <w:szCs w:val="22"/>
        </w:rPr>
        <w:t>措施项目报价时有关表格中的序号、项目名称应按“措施项目”中的相应内容填写。磋商供应商可根据自己编制的施工组织设计，增加措施项目，但不得删除不发生的措施项目。磋商供应商增加的措施项目，应填写在相应的措施项目之后，并在“措施项目计价表”序号栏中以“增╳╳”示之，“╳╳为增加的措施序号，自01起顺序编制。</w:t>
      </w:r>
    </w:p>
    <w:p w14:paraId="22541F90">
      <w:pPr>
        <w:spacing w:line="440" w:lineRule="exact"/>
        <w:ind w:left="550" w:leftChars="262"/>
        <w:rPr>
          <w:rFonts w:hint="eastAsia" w:ascii="宋体" w:hAnsi="宋体"/>
          <w:color w:val="auto"/>
          <w:sz w:val="22"/>
          <w:szCs w:val="22"/>
        </w:rPr>
      </w:pPr>
      <w:r>
        <w:rPr>
          <w:rFonts w:hint="eastAsia" w:ascii="宋体" w:hAnsi="宋体"/>
          <w:color w:val="auto"/>
          <w:sz w:val="22"/>
          <w:szCs w:val="22"/>
        </w:rPr>
        <w:t>措施项目计价时，对于不发生的措施项目，金额一律以“</w:t>
      </w:r>
      <w:r>
        <w:rPr>
          <w:rFonts w:hint="eastAsia" w:ascii="宋体" w:hAnsi="宋体"/>
          <w:b/>
          <w:color w:val="auto"/>
          <w:sz w:val="22"/>
          <w:szCs w:val="22"/>
        </w:rPr>
        <w:t>0</w:t>
      </w:r>
      <w:r>
        <w:rPr>
          <w:rFonts w:hint="eastAsia" w:ascii="宋体" w:hAnsi="宋体"/>
          <w:color w:val="auto"/>
          <w:sz w:val="22"/>
          <w:szCs w:val="22"/>
        </w:rPr>
        <w:t>”计价。除以上提到的费用外，磋商供应商认为有必要，或者使用了不同的施工方案，其他措施费用中磋商供应商可以自行增加或减少，如磋商供应商不增加其他费用，则采购人认为报价已综合考虑了为完成本工程所需的全部费用。在报价表中，承包人必须单独列项，如没有此项费用，金额一律以“</w:t>
      </w:r>
      <w:r>
        <w:rPr>
          <w:rFonts w:hint="eastAsia" w:ascii="宋体" w:hAnsi="宋体"/>
          <w:b/>
          <w:color w:val="auto"/>
          <w:sz w:val="22"/>
          <w:szCs w:val="22"/>
        </w:rPr>
        <w:t>0</w:t>
      </w:r>
      <w:r>
        <w:rPr>
          <w:rFonts w:hint="eastAsia" w:ascii="宋体" w:hAnsi="宋体"/>
          <w:color w:val="auto"/>
          <w:sz w:val="22"/>
          <w:szCs w:val="22"/>
        </w:rPr>
        <w:t>”计价。</w:t>
      </w:r>
    </w:p>
    <w:p w14:paraId="439BCA9B">
      <w:pPr>
        <w:spacing w:line="440" w:lineRule="exact"/>
        <w:ind w:left="548" w:leftChars="261"/>
        <w:rPr>
          <w:rFonts w:hint="eastAsia" w:ascii="宋体" w:hAnsi="宋体"/>
          <w:color w:val="auto"/>
          <w:sz w:val="22"/>
          <w:szCs w:val="22"/>
        </w:rPr>
      </w:pPr>
      <w:r>
        <w:rPr>
          <w:rFonts w:hint="eastAsia" w:ascii="宋体" w:hAnsi="宋体"/>
          <w:color w:val="auto"/>
          <w:sz w:val="22"/>
          <w:szCs w:val="22"/>
        </w:rPr>
        <w:t>各磋商供应商应考虑在施工期间措施费用范围内可能变动的因素，各自估计风险计入报价，今后不论费用如何变动，成交造价均不再调整。</w:t>
      </w:r>
    </w:p>
    <w:p w14:paraId="137008E8">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6.7  其他项目费（清单）是为完成工程项目施工发生于建设工程施工前的施工预备和施工过程中的配合服务、完成零星项目等的费用，包括暂列金额、暂估价、计日工、总承包服务费等，其他项目费应按规定计价。</w:t>
      </w:r>
    </w:p>
    <w:p w14:paraId="5CF37B5F">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6.8  本项目的建筑装修装饰工程规费费率、安装工程规费费率为不可竞争费用，各磋商供应商应按规定填写；若磋商供应商没有填报，则认为装饰工程、安装工程规费已包括在综合单价内，并按规定将建筑装饰工程规费及安装工程规费从报价中扣除。</w:t>
      </w:r>
    </w:p>
    <w:p w14:paraId="5CA139A2">
      <w:pPr>
        <w:spacing w:line="440" w:lineRule="exact"/>
        <w:ind w:left="440" w:hanging="440" w:hangingChars="200"/>
        <w:rPr>
          <w:rFonts w:hint="eastAsia" w:ascii="宋体" w:hAnsi="宋体"/>
          <w:color w:val="auto"/>
          <w:sz w:val="22"/>
          <w:szCs w:val="22"/>
        </w:rPr>
      </w:pPr>
      <w:r>
        <w:rPr>
          <w:rFonts w:hint="eastAsia" w:ascii="宋体" w:hAnsi="宋体"/>
          <w:color w:val="auto"/>
          <w:sz w:val="22"/>
          <w:szCs w:val="22"/>
        </w:rPr>
        <w:t>6.9 本工程的税金为不可竞争费用，磋商供应商应按规定填写税金；若磋商供应商没有填报税金，则认为税金已包括在综合单价内，并按规定将税金从报价中扣除。</w:t>
      </w:r>
    </w:p>
    <w:p w14:paraId="51F5B3A5">
      <w:pPr>
        <w:widowControl/>
        <w:spacing w:line="440" w:lineRule="exact"/>
        <w:rPr>
          <w:rFonts w:hint="eastAsia" w:ascii="宋体" w:hAnsi="宋体"/>
          <w:b/>
          <w:color w:val="auto"/>
          <w:sz w:val="22"/>
          <w:szCs w:val="22"/>
        </w:rPr>
      </w:pPr>
      <w:r>
        <w:rPr>
          <w:rFonts w:hint="eastAsia" w:ascii="宋体" w:hAnsi="宋体"/>
          <w:b/>
          <w:color w:val="auto"/>
          <w:sz w:val="22"/>
          <w:szCs w:val="22"/>
        </w:rPr>
        <w:t>6.11合同价的调整</w:t>
      </w:r>
    </w:p>
    <w:p w14:paraId="1DC46A59">
      <w:pPr>
        <w:snapToGrid w:val="0"/>
        <w:spacing w:line="440" w:lineRule="exact"/>
        <w:ind w:firstLine="550" w:firstLineChars="250"/>
        <w:rPr>
          <w:rFonts w:hint="eastAsia" w:ascii="宋体" w:hAnsi="宋体"/>
          <w:bCs/>
          <w:color w:val="auto"/>
          <w:sz w:val="22"/>
          <w:szCs w:val="22"/>
        </w:rPr>
      </w:pPr>
      <w:r>
        <w:rPr>
          <w:rFonts w:hint="eastAsia" w:ascii="宋体" w:hAnsi="宋体"/>
          <w:bCs/>
          <w:color w:val="auto"/>
          <w:sz w:val="22"/>
          <w:szCs w:val="22"/>
        </w:rPr>
        <w:t>本工程合同价格调整按以下内容进行调整，其他将不再进行调整，按报价时的报价执行：</w:t>
      </w:r>
    </w:p>
    <w:p w14:paraId="73631155">
      <w:pPr>
        <w:snapToGrid w:val="0"/>
        <w:spacing w:line="440" w:lineRule="exact"/>
        <w:ind w:left="541" w:hanging="541" w:hangingChars="245"/>
        <w:rPr>
          <w:rFonts w:hint="eastAsia" w:ascii="宋体" w:hAnsi="宋体"/>
          <w:color w:val="auto"/>
          <w:sz w:val="22"/>
          <w:szCs w:val="22"/>
        </w:rPr>
      </w:pPr>
      <w:r>
        <w:rPr>
          <w:rFonts w:hint="eastAsia" w:ascii="宋体" w:hAnsi="宋体"/>
          <w:b/>
          <w:color w:val="auto"/>
          <w:sz w:val="22"/>
          <w:szCs w:val="22"/>
        </w:rPr>
        <w:t>6.11.1工程量误差的调整：</w:t>
      </w:r>
      <w:r>
        <w:rPr>
          <w:rFonts w:hint="eastAsia" w:ascii="宋体" w:hAnsi="宋体"/>
          <w:color w:val="auto"/>
          <w:sz w:val="22"/>
          <w:szCs w:val="22"/>
        </w:rPr>
        <w:t>本工程报价前，磋商供应商不得对采购人统一提供清单中的项目或数量进行改动。确定成交候选供应商后，第一成交候选供应商应根据《建设工程工程量清单计价规范》（GB50500-2013）中的工程量计算规则及《浙江省建设工程工程量清单计价指引》中的有关规定，按照采购人提供的施工图和相关资料，对采购人提供清单中的工程量进行核对。若有工程量误差，</w:t>
      </w:r>
      <w:r>
        <w:rPr>
          <w:rFonts w:hint="eastAsia" w:ascii="宋体" w:hAnsi="宋体"/>
          <w:color w:val="auto"/>
          <w:sz w:val="22"/>
          <w:szCs w:val="22"/>
          <w:u w:val="single"/>
        </w:rPr>
        <w:t>单项工程量差异绝对值≥</w:t>
      </w:r>
      <w:r>
        <w:rPr>
          <w:rFonts w:hint="eastAsia" w:ascii="宋体" w:hAnsi="宋体"/>
          <w:b/>
          <w:bCs/>
          <w:color w:val="auto"/>
          <w:sz w:val="22"/>
          <w:szCs w:val="22"/>
          <w:u w:val="single"/>
        </w:rPr>
        <w:t>5</w:t>
      </w:r>
      <w:r>
        <w:rPr>
          <w:rFonts w:hint="eastAsia" w:ascii="宋体" w:hAnsi="宋体"/>
          <w:color w:val="auto"/>
          <w:sz w:val="22"/>
          <w:szCs w:val="22"/>
          <w:u w:val="single"/>
        </w:rPr>
        <w:t>%的且各差异部分工程造价之和的绝对值≥成交造价</w:t>
      </w:r>
      <w:r>
        <w:rPr>
          <w:rFonts w:hint="eastAsia" w:ascii="宋体" w:hAnsi="宋体"/>
          <w:b/>
          <w:bCs/>
          <w:color w:val="auto"/>
          <w:sz w:val="22"/>
          <w:szCs w:val="22"/>
          <w:u w:val="single"/>
        </w:rPr>
        <w:t>1</w:t>
      </w:r>
      <w:r>
        <w:rPr>
          <w:rFonts w:hint="eastAsia" w:ascii="宋体" w:hAnsi="宋体"/>
          <w:color w:val="auto"/>
          <w:sz w:val="22"/>
          <w:szCs w:val="22"/>
          <w:u w:val="single"/>
        </w:rPr>
        <w:t>％的，</w:t>
      </w:r>
      <w:r>
        <w:rPr>
          <w:rFonts w:hint="eastAsia" w:ascii="宋体" w:hAnsi="宋体"/>
          <w:color w:val="auto"/>
          <w:sz w:val="22"/>
          <w:szCs w:val="22"/>
        </w:rPr>
        <w:t>在报价后的</w:t>
      </w:r>
      <w:r>
        <w:rPr>
          <w:rFonts w:hint="eastAsia" w:ascii="宋体" w:hAnsi="宋体"/>
          <w:b/>
          <w:bCs/>
          <w:color w:val="auto"/>
          <w:sz w:val="22"/>
          <w:szCs w:val="22"/>
        </w:rPr>
        <w:t>30个</w:t>
      </w:r>
      <w:r>
        <w:rPr>
          <w:rFonts w:hint="eastAsia" w:ascii="宋体" w:hAnsi="宋体"/>
          <w:color w:val="auto"/>
          <w:sz w:val="22"/>
          <w:szCs w:val="22"/>
        </w:rPr>
        <w:t>工作日内必须一次性向采购人提出正式书面核对要求（即《工程量清单核对反馈表》），双方对工程量进行核对，按报价时的所报项目综合单价，进行项目工程量和合同造价的调整；经认定后的工程量将作为签订合同和办理结算的有效依据之一，并报温州市财政部门备案。</w:t>
      </w:r>
    </w:p>
    <w:p w14:paraId="7D298A57">
      <w:pPr>
        <w:snapToGrid w:val="0"/>
        <w:spacing w:line="440" w:lineRule="exact"/>
        <w:ind w:left="548" w:leftChars="261"/>
        <w:rPr>
          <w:rFonts w:hint="eastAsia" w:ascii="宋体" w:hAnsi="宋体"/>
          <w:color w:val="auto"/>
          <w:sz w:val="22"/>
          <w:szCs w:val="22"/>
          <w:u w:val="single"/>
        </w:rPr>
      </w:pPr>
      <w:r>
        <w:rPr>
          <w:rFonts w:hint="eastAsia" w:ascii="宋体" w:hAnsi="宋体"/>
          <w:color w:val="auto"/>
          <w:sz w:val="22"/>
          <w:szCs w:val="22"/>
          <w:u w:val="single"/>
        </w:rPr>
        <w:t>若成交供应商在规定时间内未提出核对要求，或核对理由不充分，或经双方复核后，项目工程量单项差异绝对值小于5%或各差异部分工程造价之和的绝对值小于成交造价</w:t>
      </w:r>
      <w:r>
        <w:rPr>
          <w:rFonts w:hint="eastAsia" w:ascii="宋体" w:hAnsi="宋体"/>
          <w:b/>
          <w:bCs/>
          <w:color w:val="auto"/>
          <w:sz w:val="22"/>
          <w:szCs w:val="22"/>
          <w:u w:val="single"/>
        </w:rPr>
        <w:t>1</w:t>
      </w:r>
      <w:r>
        <w:rPr>
          <w:rFonts w:hint="eastAsia" w:ascii="宋体" w:hAnsi="宋体"/>
          <w:color w:val="auto"/>
          <w:sz w:val="22"/>
          <w:szCs w:val="22"/>
          <w:u w:val="single"/>
        </w:rPr>
        <w:t>％，则工程合同价格将不作调整。</w:t>
      </w:r>
    </w:p>
    <w:p w14:paraId="676CD306">
      <w:pPr>
        <w:snapToGrid w:val="0"/>
        <w:spacing w:line="440" w:lineRule="exact"/>
        <w:rPr>
          <w:rFonts w:hint="eastAsia" w:ascii="宋体" w:hAnsi="宋体"/>
          <w:b/>
          <w:color w:val="auto"/>
          <w:sz w:val="22"/>
          <w:szCs w:val="22"/>
        </w:rPr>
      </w:pPr>
      <w:r>
        <w:rPr>
          <w:rFonts w:hint="eastAsia" w:ascii="宋体" w:hAnsi="宋体"/>
          <w:b/>
          <w:color w:val="auto"/>
          <w:sz w:val="22"/>
          <w:szCs w:val="22"/>
        </w:rPr>
        <w:t>6.11.2分部分项工程量项目综合单价的确定</w:t>
      </w:r>
    </w:p>
    <w:p w14:paraId="5F020472">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（1）本</w:t>
      </w:r>
      <w:r>
        <w:rPr>
          <w:rFonts w:hint="eastAsia" w:ascii="宋体" w:hAnsi="宋体"/>
          <w:bCs/>
          <w:color w:val="auto"/>
          <w:sz w:val="22"/>
          <w:szCs w:val="22"/>
        </w:rPr>
        <w:t>工程施工过程中由于设计变更引起新的工程量项目</w:t>
      </w:r>
      <w:r>
        <w:rPr>
          <w:rFonts w:hint="eastAsia" w:ascii="宋体" w:hAnsi="宋体"/>
          <w:color w:val="auto"/>
          <w:sz w:val="22"/>
          <w:szCs w:val="22"/>
        </w:rPr>
        <w:t>，或采购人提供的工程量项目有漏项，其相应综合单价的确定方法为：</w:t>
      </w:r>
    </w:p>
    <w:p w14:paraId="571F64D6">
      <w:pPr>
        <w:widowControl/>
        <w:spacing w:line="440" w:lineRule="exact"/>
        <w:jc w:val="left"/>
        <w:rPr>
          <w:rFonts w:hint="eastAsia" w:ascii="宋体" w:hAnsi="宋体"/>
          <w:color w:val="auto"/>
          <w:sz w:val="22"/>
          <w:szCs w:val="22"/>
        </w:rPr>
      </w:pPr>
      <w:r>
        <w:rPr>
          <w:rFonts w:hint="eastAsia" w:ascii="宋体" w:hAnsi="宋体"/>
          <w:color w:val="auto"/>
          <w:sz w:val="22"/>
          <w:szCs w:val="22"/>
        </w:rPr>
        <w:t>A、  合同中有类似项目综合单价的，可以参照合同中类似项目的综合单价计算确定。</w:t>
      </w:r>
    </w:p>
    <w:p w14:paraId="0B574CAE">
      <w:pPr>
        <w:widowControl/>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B、  合同中没有类似项目综合单价的，按</w:t>
      </w:r>
      <w:r>
        <w:rPr>
          <w:rFonts w:hint="eastAsia" w:ascii="宋体" w:hAnsi="宋体"/>
          <w:b/>
          <w:bCs/>
          <w:color w:val="auto"/>
          <w:sz w:val="22"/>
          <w:szCs w:val="22"/>
        </w:rPr>
        <w:t>4.13.3</w:t>
      </w:r>
      <w:r>
        <w:rPr>
          <w:rFonts w:hint="eastAsia" w:ascii="宋体" w:hAnsi="宋体"/>
          <w:color w:val="auto"/>
          <w:sz w:val="22"/>
          <w:szCs w:val="22"/>
        </w:rPr>
        <w:t>工程预算定额、费用定额计算后结合</w:t>
      </w:r>
      <w:r>
        <w:rPr>
          <w:rFonts w:hint="eastAsia" w:ascii="宋体" w:hAnsi="宋体"/>
          <w:b/>
          <w:bCs/>
          <w:color w:val="auto"/>
          <w:sz w:val="22"/>
          <w:szCs w:val="22"/>
        </w:rPr>
        <w:t>成交下浮率</w:t>
      </w:r>
      <w:r>
        <w:rPr>
          <w:rFonts w:hint="eastAsia" w:ascii="宋体" w:hAnsi="宋体"/>
          <w:color w:val="auto"/>
          <w:sz w:val="22"/>
          <w:szCs w:val="22"/>
        </w:rPr>
        <w:t>计算。</w:t>
      </w:r>
    </w:p>
    <w:p w14:paraId="2F559B5A">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（2）由于项目中项目特征或工程内容发生部分变更的，应以原综合单价为基础，仅就变更部分相应定额子目调整综合单价。</w:t>
      </w:r>
    </w:p>
    <w:p w14:paraId="52007F76">
      <w:pPr>
        <w:snapToGrid w:val="0"/>
        <w:spacing w:line="440" w:lineRule="exact"/>
        <w:ind w:left="541" w:hanging="541" w:hangingChars="245"/>
        <w:rPr>
          <w:rFonts w:ascii="宋体" w:hAnsi="宋体"/>
          <w:color w:val="auto"/>
          <w:sz w:val="22"/>
          <w:szCs w:val="22"/>
        </w:rPr>
      </w:pPr>
      <w:r>
        <w:rPr>
          <w:rFonts w:hint="eastAsia" w:ascii="宋体" w:hAnsi="宋体"/>
          <w:b/>
          <w:bCs/>
          <w:color w:val="auto"/>
          <w:sz w:val="22"/>
          <w:szCs w:val="22"/>
        </w:rPr>
        <w:t>6.11.3</w:t>
      </w:r>
      <w:r>
        <w:rPr>
          <w:rFonts w:hint="eastAsia" w:ascii="宋体" w:hAnsi="宋体"/>
          <w:color w:val="auto"/>
          <w:sz w:val="22"/>
          <w:szCs w:val="22"/>
        </w:rPr>
        <w:t>根据《浙江省建设工程施工费用定额》（2010版）与有关造价政策的规定，经审定本工程取费标准见招标控制价。</w:t>
      </w:r>
    </w:p>
    <w:p w14:paraId="4FE5542E">
      <w:pPr>
        <w:snapToGrid w:val="0"/>
        <w:spacing w:line="440" w:lineRule="exact"/>
        <w:ind w:left="548" w:leftChars="261"/>
        <w:rPr>
          <w:rFonts w:hint="eastAsia" w:ascii="宋体" w:hAnsi="宋体"/>
          <w:bCs/>
          <w:color w:val="auto"/>
          <w:sz w:val="22"/>
          <w:szCs w:val="22"/>
        </w:rPr>
      </w:pPr>
      <w:r>
        <w:rPr>
          <w:rFonts w:hint="eastAsia" w:ascii="宋体" w:hAnsi="宋体"/>
          <w:bCs/>
          <w:color w:val="auto"/>
          <w:sz w:val="22"/>
          <w:szCs w:val="22"/>
        </w:rPr>
        <w:t>工程量清单中未提供的新增项目的工程造价按上述规定计算后,再按磋商供应商的成交造价相对招标控制价的下浮率{(招标控制价—成交造价)÷招标控制价*100%}进行结算。</w:t>
      </w:r>
    </w:p>
    <w:p w14:paraId="4D09EF5E">
      <w:pPr>
        <w:snapToGrid w:val="0"/>
        <w:spacing w:line="440" w:lineRule="exact"/>
        <w:rPr>
          <w:rFonts w:hint="eastAsia" w:ascii="宋体" w:hAnsi="宋体"/>
          <w:color w:val="auto"/>
          <w:sz w:val="22"/>
          <w:szCs w:val="22"/>
        </w:rPr>
      </w:pPr>
      <w:r>
        <w:rPr>
          <w:rFonts w:hint="eastAsia" w:ascii="宋体" w:hAnsi="宋体"/>
          <w:b/>
          <w:bCs/>
          <w:color w:val="auto"/>
          <w:sz w:val="22"/>
          <w:szCs w:val="22"/>
        </w:rPr>
        <w:t>6.11.4</w:t>
      </w:r>
      <w:r>
        <w:rPr>
          <w:rFonts w:hint="eastAsia" w:ascii="宋体" w:hAnsi="宋体"/>
          <w:bCs/>
          <w:color w:val="auto"/>
          <w:sz w:val="22"/>
          <w:szCs w:val="22"/>
        </w:rPr>
        <w:t>主要价格波动引起的合同价格的调整</w:t>
      </w:r>
    </w:p>
    <w:p w14:paraId="1A639A4D">
      <w:pPr>
        <w:snapToGrid w:val="0"/>
        <w:spacing w:line="440" w:lineRule="exact"/>
        <w:ind w:left="548" w:leftChars="261"/>
        <w:rPr>
          <w:rFonts w:hint="eastAsia" w:ascii="宋体" w:hAnsi="宋体"/>
          <w:color w:val="auto"/>
          <w:sz w:val="22"/>
          <w:szCs w:val="22"/>
          <w:u w:val="single"/>
        </w:rPr>
      </w:pPr>
      <w:r>
        <w:rPr>
          <w:rFonts w:hint="eastAsia" w:ascii="宋体" w:hAnsi="宋体"/>
          <w:color w:val="auto"/>
          <w:sz w:val="22"/>
          <w:szCs w:val="22"/>
        </w:rPr>
        <w:t>所有暂定价材料中的材料均须由成交施工单位按采购人提供的“</w:t>
      </w:r>
      <w:r>
        <w:rPr>
          <w:rFonts w:hint="eastAsia" w:ascii="宋体" w:hAnsi="宋体"/>
          <w:b/>
          <w:color w:val="auto"/>
          <w:sz w:val="22"/>
          <w:szCs w:val="22"/>
        </w:rPr>
        <w:t>材料询价单”提出并填写材料样品、品质、色彩、型号、规格、单价等详细数据签字盖印后交由采购人询价确认</w:t>
      </w:r>
      <w:r>
        <w:rPr>
          <w:rFonts w:hint="eastAsia" w:ascii="宋体" w:hAnsi="宋体"/>
          <w:color w:val="auto"/>
          <w:sz w:val="22"/>
          <w:szCs w:val="22"/>
        </w:rPr>
        <w:t>，经采购单位询价确认签证的由成交供应商组织解决的材料，按采购人提供的材料询价单上的签字盖印签证认可的询定内容进行调整；暂定价子目调整由采购单位有权根据实际情况变更和可以通过采购或委托成交供应商组织解决。委托成交供应商组织解决的，经采购人和监理单位签字盖印签证确认同意使用，竣工结算时按采购人签字盖印签证认可的询定内容进行结算。</w:t>
      </w:r>
    </w:p>
    <w:p w14:paraId="2BEB8BF4">
      <w:pPr>
        <w:tabs>
          <w:tab w:val="left" w:pos="0"/>
        </w:tabs>
        <w:snapToGrid w:val="0"/>
        <w:spacing w:line="440" w:lineRule="exact"/>
        <w:ind w:left="541" w:hanging="541" w:hangingChars="245"/>
        <w:rPr>
          <w:rFonts w:hint="eastAsia" w:ascii="宋体" w:hAnsi="宋体"/>
          <w:bCs/>
          <w:color w:val="auto"/>
          <w:sz w:val="22"/>
          <w:szCs w:val="22"/>
        </w:rPr>
      </w:pPr>
      <w:r>
        <w:rPr>
          <w:rFonts w:hint="eastAsia" w:ascii="宋体" w:hAnsi="宋体"/>
          <w:b/>
          <w:bCs/>
          <w:color w:val="auto"/>
          <w:sz w:val="22"/>
          <w:szCs w:val="22"/>
        </w:rPr>
        <w:t>6.11.5</w:t>
      </w:r>
      <w:r>
        <w:rPr>
          <w:rFonts w:hint="eastAsia" w:ascii="宋体" w:hAnsi="宋体"/>
          <w:bCs/>
          <w:color w:val="auto"/>
          <w:sz w:val="22"/>
          <w:szCs w:val="22"/>
        </w:rPr>
        <w:t>其他项目中“报价人部分”的零星工作项目费，按承包人实际完成并经采购人和其委托的监理单位工程师共同签证的数量进行结算调整，综合单价不变。</w:t>
      </w:r>
    </w:p>
    <w:p w14:paraId="3EF1FD7F">
      <w:pPr>
        <w:tabs>
          <w:tab w:val="left" w:pos="0"/>
        </w:tabs>
        <w:snapToGrid w:val="0"/>
        <w:spacing w:line="440" w:lineRule="exact"/>
        <w:ind w:left="541" w:hanging="541" w:hangingChars="245"/>
        <w:rPr>
          <w:rFonts w:hint="eastAsia" w:ascii="宋体" w:hAnsi="宋体"/>
          <w:bCs/>
          <w:color w:val="auto"/>
          <w:sz w:val="22"/>
          <w:szCs w:val="22"/>
        </w:rPr>
      </w:pPr>
      <w:r>
        <w:rPr>
          <w:rFonts w:hint="eastAsia" w:ascii="宋体" w:hAnsi="宋体"/>
          <w:b/>
          <w:bCs/>
          <w:color w:val="auto"/>
          <w:sz w:val="22"/>
          <w:szCs w:val="22"/>
        </w:rPr>
        <w:t>6.11.6</w:t>
      </w:r>
      <w:r>
        <w:rPr>
          <w:rFonts w:hint="eastAsia" w:ascii="宋体" w:hAnsi="宋体"/>
          <w:bCs/>
          <w:color w:val="auto"/>
          <w:sz w:val="22"/>
          <w:szCs w:val="22"/>
        </w:rPr>
        <w:t>由于分部分项工程量项目或工程数量的调整，引起措施项目或其他方面费用的损失，措施项目在报价文件中明确一次性包死的将不再调整，其他方面费用的损失由报价人在风险费用中考虑，不再进行调整。</w:t>
      </w:r>
    </w:p>
    <w:p w14:paraId="75144EF7">
      <w:pPr>
        <w:tabs>
          <w:tab w:val="left" w:pos="0"/>
        </w:tabs>
        <w:snapToGrid w:val="0"/>
        <w:spacing w:line="440" w:lineRule="exact"/>
        <w:rPr>
          <w:rFonts w:hint="eastAsia" w:ascii="宋体" w:hAnsi="宋体"/>
          <w:b/>
          <w:bCs/>
          <w:color w:val="auto"/>
          <w:sz w:val="22"/>
          <w:szCs w:val="22"/>
        </w:rPr>
      </w:pPr>
      <w:r>
        <w:rPr>
          <w:rFonts w:hint="eastAsia" w:ascii="宋体" w:hAnsi="宋体"/>
          <w:b/>
          <w:color w:val="auto"/>
          <w:sz w:val="22"/>
          <w:szCs w:val="22"/>
        </w:rPr>
        <w:t xml:space="preserve">6.12 </w:t>
      </w:r>
      <w:r>
        <w:rPr>
          <w:rFonts w:hint="eastAsia" w:ascii="宋体" w:hAnsi="宋体"/>
          <w:color w:val="auto"/>
          <w:sz w:val="22"/>
          <w:szCs w:val="22"/>
        </w:rPr>
        <w:t>材料、设备供应办法</w:t>
      </w:r>
    </w:p>
    <w:p w14:paraId="1199D1CC">
      <w:pPr>
        <w:tabs>
          <w:tab w:val="left" w:pos="0"/>
        </w:tabs>
        <w:snapToGrid w:val="0"/>
        <w:spacing w:line="440" w:lineRule="exact"/>
        <w:ind w:left="541" w:hanging="541" w:hangingChars="245"/>
        <w:rPr>
          <w:rFonts w:hint="eastAsia" w:ascii="宋体" w:hAnsi="宋体"/>
          <w:b/>
          <w:bCs/>
          <w:color w:val="auto"/>
          <w:sz w:val="22"/>
          <w:szCs w:val="22"/>
        </w:rPr>
      </w:pPr>
      <w:r>
        <w:rPr>
          <w:rFonts w:hint="eastAsia" w:ascii="宋体" w:hAnsi="宋体"/>
          <w:b/>
          <w:color w:val="auto"/>
          <w:sz w:val="22"/>
          <w:szCs w:val="22"/>
        </w:rPr>
        <w:t>6.12.1</w:t>
      </w:r>
      <w:r>
        <w:rPr>
          <w:rFonts w:hint="eastAsia" w:ascii="宋体" w:hAnsi="宋体"/>
          <w:color w:val="auto"/>
          <w:sz w:val="22"/>
          <w:szCs w:val="22"/>
        </w:rPr>
        <w:t>本工程所需材料设备等原则上由成交供应商组织采购供应，成交供应商须按采购人提供的“材料询价单”提出并填写材料样品、品质、色彩、型号、规格、单价等详细数据签字盖印后交由采购人询价确认后由成交供应商按采购人询定内容组织采购供货、运输并办理竣工结算，所供设备材料均须为国家规定的最高等级（材料设备等的消防等级须符合温州市消防部门规定的B1级及以上等级），设备材料到货后须经采购人和其委托的监理工程师按规定审核同意并经采购人和监理人备案后才能进场使用，进场后的保管责任由成交供应商自行负责。</w:t>
      </w:r>
    </w:p>
    <w:p w14:paraId="478D6136">
      <w:pPr>
        <w:tabs>
          <w:tab w:val="left" w:pos="0"/>
        </w:tabs>
        <w:snapToGrid w:val="0"/>
        <w:spacing w:line="440" w:lineRule="exact"/>
        <w:ind w:left="541" w:hanging="541" w:hangingChars="245"/>
        <w:rPr>
          <w:rFonts w:hint="eastAsia" w:ascii="宋体" w:hAnsi="宋体"/>
          <w:b/>
          <w:bCs/>
          <w:color w:val="auto"/>
          <w:sz w:val="22"/>
          <w:szCs w:val="22"/>
        </w:rPr>
      </w:pPr>
      <w:r>
        <w:rPr>
          <w:rFonts w:hint="eastAsia" w:ascii="宋体" w:hAnsi="宋体"/>
          <w:b/>
          <w:bCs/>
          <w:color w:val="auto"/>
          <w:sz w:val="22"/>
          <w:szCs w:val="22"/>
        </w:rPr>
        <w:t>6.12.2</w:t>
      </w:r>
      <w:r>
        <w:rPr>
          <w:rFonts w:hint="eastAsia" w:ascii="宋体" w:hAnsi="宋体"/>
          <w:b/>
          <w:color w:val="auto"/>
          <w:sz w:val="22"/>
          <w:szCs w:val="22"/>
        </w:rPr>
        <w:t>由采购单位委托成交供应商组织解决的包含暂定价的项目原则上以暂定材料价或暂定综合价为基准进行退价，若成交供应商磋商报价中该部分报价高于采购单位提供的暂定价或暂定综合价时，则按成交供应商的磋商报价退价，若发现成交供应商磋商报价中该部分报价低于采购单位提供的暂定价的或暂定综合价时，则按采购单位提供的暂定价或暂定综合价退价。</w:t>
      </w:r>
    </w:p>
    <w:p w14:paraId="04FC47EF">
      <w:pPr>
        <w:pStyle w:val="32"/>
        <w:spacing w:before="0" w:after="0" w:line="440" w:lineRule="exact"/>
        <w:ind w:left="541" w:hanging="541" w:hangingChars="245"/>
        <w:jc w:val="both"/>
        <w:rPr>
          <w:rFonts w:hint="eastAsia"/>
          <w:color w:val="auto"/>
          <w:sz w:val="22"/>
          <w:szCs w:val="22"/>
        </w:rPr>
      </w:pPr>
      <w:r>
        <w:rPr>
          <w:rFonts w:hint="eastAsia"/>
          <w:b/>
          <w:bCs/>
          <w:color w:val="auto"/>
          <w:sz w:val="22"/>
          <w:szCs w:val="22"/>
        </w:rPr>
        <w:t>6.12.3</w:t>
      </w:r>
      <w:r>
        <w:rPr>
          <w:rFonts w:hint="eastAsia"/>
          <w:color w:val="auto"/>
          <w:sz w:val="22"/>
          <w:szCs w:val="22"/>
        </w:rPr>
        <w:t>本工程材料指标按照工程量中提供的指标，以备进行换算。今后材料市场价均以</w:t>
      </w:r>
      <w:r>
        <w:rPr>
          <w:rFonts w:hint="eastAsia"/>
          <w:b/>
          <w:color w:val="auto"/>
          <w:sz w:val="22"/>
          <w:szCs w:val="22"/>
          <w:highlight w:val="yellow"/>
          <w:u w:val="single"/>
        </w:rPr>
        <w:t>202</w:t>
      </w:r>
      <w:r>
        <w:rPr>
          <w:rFonts w:hint="eastAsia"/>
          <w:b/>
          <w:color w:val="auto"/>
          <w:sz w:val="22"/>
          <w:szCs w:val="22"/>
          <w:highlight w:val="yellow"/>
          <w:u w:val="single"/>
          <w:lang w:val="en-US" w:eastAsia="zh-CN"/>
        </w:rPr>
        <w:t>4</w:t>
      </w:r>
      <w:r>
        <w:rPr>
          <w:rFonts w:hint="eastAsia"/>
          <w:b/>
          <w:color w:val="auto"/>
          <w:sz w:val="22"/>
          <w:szCs w:val="22"/>
          <w:highlight w:val="yellow"/>
          <w:u w:val="single"/>
        </w:rPr>
        <w:t>年第</w:t>
      </w:r>
      <w:r>
        <w:rPr>
          <w:rFonts w:hint="eastAsia"/>
          <w:b/>
          <w:color w:val="auto"/>
          <w:sz w:val="22"/>
          <w:szCs w:val="22"/>
          <w:highlight w:val="yellow"/>
          <w:u w:val="single"/>
          <w:lang w:val="en-US" w:eastAsia="zh-CN"/>
        </w:rPr>
        <w:t>6</w:t>
      </w:r>
      <w:r>
        <w:rPr>
          <w:rFonts w:hint="eastAsia"/>
          <w:b/>
          <w:color w:val="auto"/>
          <w:sz w:val="22"/>
          <w:szCs w:val="22"/>
          <w:highlight w:val="yellow"/>
          <w:u w:val="single"/>
        </w:rPr>
        <w:t>期</w:t>
      </w:r>
      <w:r>
        <w:rPr>
          <w:rFonts w:hint="eastAsia"/>
          <w:b/>
          <w:color w:val="auto"/>
          <w:sz w:val="22"/>
          <w:szCs w:val="22"/>
          <w:highlight w:val="yellow"/>
        </w:rPr>
        <w:t>《温州工程造价信息》</w:t>
      </w:r>
      <w:r>
        <w:rPr>
          <w:rFonts w:hint="eastAsia"/>
          <w:color w:val="auto"/>
          <w:sz w:val="22"/>
          <w:szCs w:val="22"/>
        </w:rPr>
        <w:t>市场价格为基准，若其中无内容的以建设单位的询定内容为准。</w:t>
      </w:r>
    </w:p>
    <w:p w14:paraId="5032EF4B">
      <w:pPr>
        <w:pStyle w:val="32"/>
        <w:spacing w:before="0" w:after="0" w:line="440" w:lineRule="exact"/>
        <w:ind w:left="539" w:hanging="539" w:hangingChars="245"/>
        <w:jc w:val="both"/>
        <w:rPr>
          <w:rFonts w:hint="eastAsia"/>
          <w:color w:val="auto"/>
          <w:sz w:val="22"/>
          <w:szCs w:val="22"/>
        </w:rPr>
      </w:pPr>
      <w:r>
        <w:rPr>
          <w:rFonts w:hint="eastAsia"/>
          <w:color w:val="auto"/>
          <w:sz w:val="22"/>
          <w:szCs w:val="22"/>
        </w:rPr>
        <w:t>6.12.4根据国家发展改革委等七部27号令《工程建设项目货物招标投标办法》的规定，工程建设项目报价实行承包报价，以材料设备暂定价形式总承包范围内的单价合同金额超过</w:t>
      </w:r>
      <w:r>
        <w:rPr>
          <w:color w:val="auto"/>
          <w:sz w:val="22"/>
          <w:szCs w:val="22"/>
        </w:rPr>
        <w:t>10</w:t>
      </w:r>
      <w:r>
        <w:rPr>
          <w:rFonts w:hint="eastAsia"/>
          <w:color w:val="auto"/>
          <w:sz w:val="22"/>
          <w:szCs w:val="22"/>
        </w:rPr>
        <w:t>0万材料设备，应当由总承包成交供应商和工程建设项目招标采购单位共同依法组织采购，双方当事人的风险和责任承担具体在合同中约定。</w:t>
      </w:r>
    </w:p>
    <w:p w14:paraId="447F5266">
      <w:pPr>
        <w:spacing w:line="440" w:lineRule="exact"/>
        <w:ind w:left="-4"/>
        <w:rPr>
          <w:rFonts w:hint="eastAsia" w:ascii="宋体" w:hAnsi="宋体"/>
          <w:b/>
          <w:bCs/>
          <w:color w:val="auto"/>
          <w:sz w:val="22"/>
          <w:szCs w:val="22"/>
        </w:rPr>
      </w:pPr>
      <w:r>
        <w:rPr>
          <w:rFonts w:hint="eastAsia" w:ascii="宋体" w:hAnsi="宋体"/>
          <w:bCs/>
          <w:color w:val="auto"/>
          <w:sz w:val="22"/>
          <w:szCs w:val="22"/>
        </w:rPr>
        <w:t>7</w:t>
      </w:r>
      <w:r>
        <w:rPr>
          <w:rFonts w:hint="eastAsia" w:ascii="宋体" w:hAnsi="宋体"/>
          <w:b/>
          <w:bCs/>
          <w:color w:val="auto"/>
          <w:sz w:val="22"/>
          <w:szCs w:val="22"/>
        </w:rPr>
        <w:t>．  磋商有效期</w:t>
      </w:r>
    </w:p>
    <w:p w14:paraId="45AB8ECE">
      <w:pPr>
        <w:spacing w:line="440" w:lineRule="exact"/>
        <w:rPr>
          <w:rFonts w:hint="eastAsia" w:ascii="宋体" w:hAnsi="宋体"/>
          <w:color w:val="auto"/>
          <w:sz w:val="22"/>
          <w:szCs w:val="22"/>
        </w:rPr>
      </w:pPr>
      <w:r>
        <w:rPr>
          <w:rFonts w:hint="eastAsia" w:ascii="宋体" w:hAnsi="宋体"/>
          <w:color w:val="auto"/>
          <w:sz w:val="22"/>
          <w:szCs w:val="22"/>
        </w:rPr>
        <w:t>7.1</w:t>
      </w:r>
      <w:r>
        <w:rPr>
          <w:rFonts w:hint="eastAsia"/>
          <w:b/>
          <w:color w:val="auto"/>
          <w:szCs w:val="21"/>
        </w:rPr>
        <w:t>▲</w:t>
      </w:r>
      <w:r>
        <w:rPr>
          <w:rFonts w:hint="eastAsia" w:ascii="宋体" w:hAnsi="宋体"/>
          <w:b/>
          <w:color w:val="auto"/>
          <w:sz w:val="22"/>
          <w:szCs w:val="22"/>
          <w:highlight w:val="yellow"/>
          <w:u w:val="single"/>
        </w:rPr>
        <w:t>自开标之日起</w:t>
      </w:r>
      <w:r>
        <w:rPr>
          <w:rFonts w:hint="eastAsia" w:ascii="宋体" w:hAnsi="宋体"/>
          <w:b/>
          <w:bCs/>
          <w:color w:val="auto"/>
          <w:sz w:val="22"/>
          <w:szCs w:val="22"/>
          <w:highlight w:val="yellow"/>
          <w:u w:val="single"/>
        </w:rPr>
        <w:t>60</w:t>
      </w:r>
      <w:r>
        <w:rPr>
          <w:rFonts w:hint="eastAsia" w:ascii="宋体" w:hAnsi="宋体"/>
          <w:b/>
          <w:color w:val="auto"/>
          <w:sz w:val="22"/>
          <w:szCs w:val="22"/>
          <w:highlight w:val="yellow"/>
          <w:u w:val="single"/>
        </w:rPr>
        <w:t>日历日内磋商应保持有效，有效期短于该期限的磋商将会被拒绝。</w:t>
      </w:r>
    </w:p>
    <w:p w14:paraId="4DDE7803">
      <w:pPr>
        <w:spacing w:line="440" w:lineRule="exact"/>
        <w:ind w:left="563" w:leftChars="6" w:hanging="550" w:hangingChars="250"/>
        <w:rPr>
          <w:rFonts w:hint="eastAsia" w:ascii="宋体" w:hAnsi="宋体"/>
          <w:color w:val="auto"/>
          <w:sz w:val="22"/>
          <w:szCs w:val="22"/>
        </w:rPr>
      </w:pPr>
      <w:r>
        <w:rPr>
          <w:rFonts w:hint="eastAsia" w:ascii="宋体" w:hAnsi="宋体"/>
          <w:color w:val="auto"/>
          <w:sz w:val="22"/>
          <w:szCs w:val="22"/>
        </w:rPr>
        <w:t>7.2  在特殊情况下，招标采购单位可与磋商供应商协商延长磋商有效期，这种要求和答复均以书面形式进行。</w:t>
      </w:r>
    </w:p>
    <w:p w14:paraId="5913671A">
      <w:pPr>
        <w:tabs>
          <w:tab w:val="left" w:pos="180"/>
        </w:tabs>
        <w:spacing w:line="440" w:lineRule="exact"/>
        <w:ind w:left="565" w:leftChars="7" w:hanging="550" w:hangingChars="250"/>
        <w:rPr>
          <w:rFonts w:hint="eastAsia" w:ascii="宋体" w:hAnsi="宋体"/>
          <w:color w:val="auto"/>
          <w:sz w:val="22"/>
          <w:szCs w:val="22"/>
        </w:rPr>
      </w:pPr>
      <w:r>
        <w:rPr>
          <w:rFonts w:hint="eastAsia" w:ascii="宋体" w:hAnsi="宋体"/>
          <w:color w:val="auto"/>
          <w:sz w:val="22"/>
          <w:szCs w:val="22"/>
        </w:rPr>
        <w:t>7.3  磋商供应商可拒绝接受延期要求。同意延长磋商有效期的磋商供应商不能修改磋商响应文件。</w:t>
      </w:r>
    </w:p>
    <w:p w14:paraId="4353D1CD">
      <w:pPr>
        <w:spacing w:line="440" w:lineRule="exact"/>
        <w:ind w:left="470" w:hanging="470" w:hangingChars="213"/>
        <w:rPr>
          <w:rFonts w:hint="eastAsia" w:ascii="宋体" w:hAnsi="宋体"/>
          <w:b/>
          <w:bCs/>
          <w:color w:val="auto"/>
          <w:sz w:val="22"/>
          <w:szCs w:val="22"/>
        </w:rPr>
      </w:pPr>
      <w:r>
        <w:rPr>
          <w:rFonts w:hint="eastAsia" w:ascii="宋体" w:hAnsi="宋体"/>
          <w:b/>
          <w:bCs/>
          <w:color w:val="auto"/>
          <w:sz w:val="22"/>
          <w:szCs w:val="22"/>
        </w:rPr>
        <w:t>8．  磋商响应文件的签署和规定</w:t>
      </w:r>
    </w:p>
    <w:p w14:paraId="4E1DD0E1">
      <w:pPr>
        <w:spacing w:line="440" w:lineRule="exact"/>
        <w:ind w:left="550" w:hanging="550" w:hangingChars="250"/>
        <w:rPr>
          <w:rFonts w:hint="eastAsia"/>
          <w:color w:val="auto"/>
        </w:rPr>
      </w:pPr>
      <w:r>
        <w:rPr>
          <w:rFonts w:hint="eastAsia" w:ascii="宋体" w:hAnsi="宋体"/>
          <w:color w:val="auto"/>
          <w:sz w:val="22"/>
          <w:szCs w:val="22"/>
        </w:rPr>
        <w:t xml:space="preserve">8.1  </w:t>
      </w:r>
      <w:r>
        <w:rPr>
          <w:rFonts w:hint="eastAsia" w:ascii="宋体" w:hAnsi="宋体"/>
          <w:b/>
          <w:color w:val="auto"/>
          <w:sz w:val="22"/>
          <w:szCs w:val="22"/>
          <w:u w:val="single"/>
        </w:rPr>
        <w:t>磋商供应商应根据磋商文件的规定对磋商响应文件进行电子盖章及签署</w:t>
      </w:r>
      <w:r>
        <w:rPr>
          <w:rFonts w:hint="eastAsia" w:ascii="宋体" w:hAnsi="宋体"/>
          <w:color w:val="auto"/>
          <w:sz w:val="22"/>
          <w:szCs w:val="22"/>
        </w:rPr>
        <w:t>。</w:t>
      </w:r>
    </w:p>
    <w:p w14:paraId="3C9E1B93">
      <w:pPr>
        <w:pStyle w:val="3"/>
        <w:spacing w:line="480" w:lineRule="exact"/>
        <w:jc w:val="center"/>
        <w:rPr>
          <w:rFonts w:hint="eastAsia" w:ascii="宋体" w:hAnsi="宋体" w:eastAsia="宋体"/>
          <w:color w:val="auto"/>
          <w:sz w:val="28"/>
          <w:szCs w:val="28"/>
        </w:rPr>
      </w:pPr>
      <w:bookmarkStart w:id="18" w:name="_Toc768"/>
      <w:bookmarkStart w:id="19" w:name="_Toc5571"/>
      <w:r>
        <w:rPr>
          <w:rFonts w:hint="eastAsia" w:ascii="宋体" w:hAnsi="宋体" w:eastAsia="宋体"/>
          <w:color w:val="auto"/>
          <w:sz w:val="28"/>
          <w:szCs w:val="28"/>
        </w:rPr>
        <w:t>四、 磋商响应文件的递交</w:t>
      </w:r>
      <w:bookmarkEnd w:id="18"/>
      <w:bookmarkEnd w:id="19"/>
    </w:p>
    <w:p w14:paraId="1BA30597">
      <w:pPr>
        <w:spacing w:line="440" w:lineRule="exact"/>
        <w:rPr>
          <w:rFonts w:hint="eastAsia" w:ascii="宋体" w:hAnsi="宋体" w:cs="宋体"/>
          <w:b/>
          <w:color w:val="auto"/>
          <w:sz w:val="22"/>
          <w:szCs w:val="22"/>
        </w:rPr>
      </w:pPr>
      <w:r>
        <w:rPr>
          <w:rFonts w:hint="eastAsia" w:ascii="宋体" w:hAnsi="宋体" w:cs="宋体"/>
          <w:b/>
          <w:color w:val="auto"/>
          <w:sz w:val="22"/>
          <w:szCs w:val="22"/>
        </w:rPr>
        <w:t>1.   磋商响应文件的递交</w:t>
      </w:r>
    </w:p>
    <w:p w14:paraId="1DCFE0FC">
      <w:pPr>
        <w:spacing w:line="440" w:lineRule="exact"/>
        <w:ind w:left="550" w:hanging="550" w:hangingChars="250"/>
        <w:rPr>
          <w:rFonts w:ascii="宋体" w:hAnsi="宋体" w:cs="宋体"/>
          <w:bCs/>
          <w:color w:val="auto"/>
          <w:sz w:val="22"/>
          <w:szCs w:val="22"/>
        </w:rPr>
      </w:pPr>
      <w:r>
        <w:rPr>
          <w:rFonts w:ascii="宋体" w:hAnsi="宋体" w:cs="宋体"/>
          <w:bCs/>
          <w:color w:val="auto"/>
          <w:sz w:val="22"/>
          <w:szCs w:val="22"/>
        </w:rPr>
        <w:t xml:space="preserve">  </w:t>
      </w:r>
      <w:r>
        <w:rPr>
          <w:rFonts w:hint="eastAsia" w:ascii="宋体" w:hAnsi="宋体" w:cs="宋体"/>
          <w:bCs/>
          <w:color w:val="auto"/>
          <w:sz w:val="22"/>
          <w:szCs w:val="22"/>
        </w:rPr>
        <w:t xml:space="preserve"> </w:t>
      </w:r>
      <w:r>
        <w:rPr>
          <w:rFonts w:ascii="宋体" w:hAnsi="宋体" w:cs="宋体"/>
          <w:bCs/>
          <w:color w:val="auto"/>
          <w:sz w:val="22"/>
          <w:szCs w:val="22"/>
        </w:rPr>
        <w:t xml:space="preserve">  </w:t>
      </w:r>
      <w:r>
        <w:rPr>
          <w:rFonts w:hint="eastAsia" w:ascii="宋体" w:hAnsi="宋体" w:cs="宋体"/>
          <w:bCs/>
          <w:color w:val="auto"/>
          <w:sz w:val="22"/>
          <w:szCs w:val="22"/>
        </w:rPr>
        <w:t>磋商响应文件必须在磋商文件规定的磋商响应文件截止时间前完成电子磋商响应文件的传输递交。磋商截止时间前未完成传输的，视为撤回磋商响应文件。磋商截止时间后送达的磋商响应文件，将被政采云平台拒收。</w:t>
      </w:r>
    </w:p>
    <w:p w14:paraId="24EAF965">
      <w:pPr>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2</w:t>
      </w:r>
      <w:r>
        <w:rPr>
          <w:rFonts w:hint="eastAsia" w:ascii="宋体" w:hAnsi="宋体" w:cs="宋体"/>
          <w:b/>
          <w:color w:val="auto"/>
          <w:sz w:val="22"/>
          <w:szCs w:val="22"/>
        </w:rPr>
        <w:t>.   磋商响应文件的补充、修改和撤回</w:t>
      </w:r>
    </w:p>
    <w:p w14:paraId="68FDC6FA">
      <w:pPr>
        <w:spacing w:line="440" w:lineRule="exact"/>
        <w:ind w:left="550" w:hanging="550" w:hangingChars="250"/>
        <w:rPr>
          <w:rFonts w:hint="eastAsia"/>
          <w:bCs/>
          <w:color w:val="auto"/>
        </w:rPr>
      </w:pPr>
      <w:r>
        <w:rPr>
          <w:rFonts w:hint="eastAsia" w:ascii="宋体" w:hAnsi="宋体" w:cs="宋体"/>
          <w:bCs/>
          <w:color w:val="auto"/>
          <w:sz w:val="22"/>
          <w:szCs w:val="22"/>
        </w:rPr>
        <w:t xml:space="preserve"> </w:t>
      </w:r>
      <w:r>
        <w:rPr>
          <w:rFonts w:ascii="宋体" w:hAnsi="宋体" w:cs="宋体"/>
          <w:bCs/>
          <w:color w:val="auto"/>
          <w:sz w:val="22"/>
          <w:szCs w:val="22"/>
        </w:rPr>
        <w:t xml:space="preserve">    </w:t>
      </w:r>
      <w:r>
        <w:rPr>
          <w:rFonts w:hint="eastAsia" w:ascii="宋体" w:hAnsi="宋体" w:cs="宋体"/>
          <w:bCs/>
          <w:color w:val="auto"/>
          <w:sz w:val="22"/>
          <w:szCs w:val="22"/>
        </w:rPr>
        <w:t>磋商供应商在磋商截止时间前，可以补充、修改或者撤回电子磋商响应文件。补充或者修改电子磋商响应文件的，应当先行撤回原文件，补充、修改后重新传输递交。</w:t>
      </w:r>
    </w:p>
    <w:p w14:paraId="6D7D3913">
      <w:pPr>
        <w:pStyle w:val="3"/>
        <w:spacing w:line="480" w:lineRule="exact"/>
        <w:jc w:val="center"/>
        <w:rPr>
          <w:rFonts w:hint="eastAsia"/>
          <w:color w:val="auto"/>
          <w:sz w:val="28"/>
          <w:szCs w:val="28"/>
        </w:rPr>
      </w:pPr>
      <w:bookmarkStart w:id="20" w:name="_Toc11350"/>
      <w:bookmarkStart w:id="21" w:name="_Toc17833"/>
      <w:r>
        <w:rPr>
          <w:rFonts w:hint="eastAsia"/>
          <w:color w:val="auto"/>
          <w:sz w:val="28"/>
          <w:szCs w:val="28"/>
        </w:rPr>
        <w:t>五、 开标、评审和定标</w:t>
      </w:r>
      <w:bookmarkEnd w:id="20"/>
      <w:bookmarkEnd w:id="21"/>
    </w:p>
    <w:p w14:paraId="6FC48CB3">
      <w:pPr>
        <w:spacing w:line="440" w:lineRule="exact"/>
        <w:ind w:left="331" w:hanging="331" w:hangingChars="150"/>
        <w:rPr>
          <w:rFonts w:hint="eastAsia" w:ascii="宋体" w:hAnsi="宋体"/>
          <w:color w:val="auto"/>
          <w:sz w:val="22"/>
          <w:szCs w:val="22"/>
        </w:rPr>
      </w:pPr>
      <w:r>
        <w:rPr>
          <w:rFonts w:hint="eastAsia" w:ascii="宋体" w:hAnsi="宋体"/>
          <w:b/>
          <w:color w:val="auto"/>
          <w:sz w:val="22"/>
          <w:szCs w:val="22"/>
        </w:rPr>
        <w:t>1．  磋商小组</w:t>
      </w:r>
    </w:p>
    <w:p w14:paraId="52A1FAF0">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1.1  招标采购单位依法组建磋商小组。磋商小组由3人（含）以上的单数组成，负责对响应文件进行审查、质疑、评估和比较并与响应供应商进行磋商。</w:t>
      </w:r>
      <w:r>
        <w:rPr>
          <w:rFonts w:hint="eastAsia" w:ascii="宋体" w:hAnsi="宋体"/>
          <w:color w:val="auto"/>
          <w:sz w:val="22"/>
        </w:rPr>
        <w:t>磋商小组成员在磋商过程中必须严格遵守《中华人民共和国政府采购法》等有关法律、法规的规定。</w:t>
      </w:r>
    </w:p>
    <w:p w14:paraId="47AACAB2">
      <w:pPr>
        <w:spacing w:line="440" w:lineRule="exact"/>
        <w:rPr>
          <w:rFonts w:hint="eastAsia" w:ascii="宋体" w:hAnsi="宋体"/>
          <w:b/>
          <w:color w:val="auto"/>
          <w:sz w:val="22"/>
        </w:rPr>
      </w:pPr>
      <w:r>
        <w:rPr>
          <w:rFonts w:hint="eastAsia" w:ascii="宋体" w:hAnsi="宋体"/>
          <w:b/>
          <w:color w:val="auto"/>
          <w:sz w:val="22"/>
          <w:szCs w:val="22"/>
        </w:rPr>
        <w:t xml:space="preserve">2．  </w:t>
      </w:r>
      <w:r>
        <w:rPr>
          <w:rFonts w:hint="eastAsia" w:ascii="宋体" w:hAnsi="宋体"/>
          <w:b/>
          <w:color w:val="auto"/>
          <w:sz w:val="22"/>
        </w:rPr>
        <w:t>评审过程的保密性</w:t>
      </w:r>
    </w:p>
    <w:p w14:paraId="37FC3AA5">
      <w:pPr>
        <w:spacing w:line="440" w:lineRule="exact"/>
        <w:ind w:left="548" w:leftChars="261"/>
        <w:rPr>
          <w:rFonts w:hint="eastAsia" w:ascii="宋体" w:hAnsi="宋体"/>
          <w:b/>
          <w:color w:val="auto"/>
          <w:sz w:val="22"/>
        </w:rPr>
      </w:pPr>
      <w:r>
        <w:rPr>
          <w:rFonts w:hint="eastAsia" w:ascii="宋体" w:hAnsi="宋体"/>
          <w:b/>
          <w:color w:val="auto"/>
          <w:sz w:val="22"/>
        </w:rPr>
        <w:t>磋商开始后直至向成交供应商授予合同时止，凡与磋商有关的资料均不得向磋商供应商及与磋商无关人员透露。如果磋商供应商在磋商过程中试图向招标采购单位和磋商小组成员施加影响，或扰乱磋商和评审秩序，其响应将被拒绝。</w:t>
      </w:r>
    </w:p>
    <w:p w14:paraId="000D03D4">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磋商前准备</w:t>
      </w:r>
    </w:p>
    <w:p w14:paraId="693110DD">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磋商响应文件签收及解密：由采购代理机构开始签收并开始解密磋商响应文件。</w:t>
      </w:r>
    </w:p>
    <w:p w14:paraId="4914A1D4">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磋商响应文件解密：磋商响应文件递交截止时间后，磋商供应商登录政采云平台，用“项目采购-开标评标”功能对电子磋商响应文件进行在线解密。在线解密电子磋商响应文件时间为开标时间起半个小时内。磋商响应</w:t>
      </w:r>
      <w:r>
        <w:rPr>
          <w:rFonts w:ascii="宋体" w:hAnsi="宋体" w:cs="宋体"/>
          <w:bCs/>
          <w:color w:val="auto"/>
          <w:sz w:val="22"/>
          <w:szCs w:val="22"/>
        </w:rPr>
        <w:t>文件未按时解密，</w:t>
      </w:r>
      <w:r>
        <w:rPr>
          <w:rFonts w:hint="eastAsia" w:ascii="宋体" w:hAnsi="宋体" w:cs="宋体"/>
          <w:bCs/>
          <w:color w:val="auto"/>
          <w:sz w:val="22"/>
          <w:szCs w:val="22"/>
        </w:rPr>
        <w:t>磋商供应商</w:t>
      </w:r>
      <w:r>
        <w:rPr>
          <w:rFonts w:ascii="宋体" w:hAnsi="宋体" w:cs="宋体"/>
          <w:bCs/>
          <w:color w:val="auto"/>
          <w:sz w:val="22"/>
          <w:szCs w:val="22"/>
        </w:rPr>
        <w:t>提供了备份</w:t>
      </w:r>
      <w:r>
        <w:rPr>
          <w:rFonts w:hint="eastAsia" w:ascii="宋体" w:hAnsi="宋体" w:cs="宋体"/>
          <w:bCs/>
          <w:color w:val="auto"/>
          <w:sz w:val="22"/>
          <w:szCs w:val="22"/>
        </w:rPr>
        <w:t>磋商响应</w:t>
      </w:r>
      <w:r>
        <w:rPr>
          <w:rFonts w:ascii="宋体" w:hAnsi="宋体" w:cs="宋体"/>
          <w:bCs/>
          <w:color w:val="auto"/>
          <w:sz w:val="22"/>
          <w:szCs w:val="22"/>
        </w:rPr>
        <w:t>文件的，以备份</w:t>
      </w:r>
      <w:r>
        <w:rPr>
          <w:rFonts w:hint="eastAsia" w:ascii="宋体" w:hAnsi="宋体" w:cs="宋体"/>
          <w:bCs/>
          <w:color w:val="auto"/>
          <w:sz w:val="22"/>
          <w:szCs w:val="22"/>
        </w:rPr>
        <w:t>磋商响应</w:t>
      </w:r>
      <w:r>
        <w:rPr>
          <w:rFonts w:ascii="宋体" w:hAnsi="宋体" w:cs="宋体"/>
          <w:bCs/>
          <w:color w:val="auto"/>
          <w:sz w:val="22"/>
          <w:szCs w:val="22"/>
        </w:rPr>
        <w:t>文件作为依据，否则视为</w:t>
      </w:r>
      <w:r>
        <w:rPr>
          <w:rFonts w:hint="eastAsia" w:ascii="宋体" w:hAnsi="宋体" w:cs="宋体"/>
          <w:bCs/>
          <w:color w:val="auto"/>
          <w:sz w:val="22"/>
          <w:szCs w:val="22"/>
        </w:rPr>
        <w:t>磋商响应</w:t>
      </w:r>
      <w:r>
        <w:rPr>
          <w:rFonts w:ascii="宋体" w:hAnsi="宋体" w:cs="宋体"/>
          <w:bCs/>
          <w:color w:val="auto"/>
          <w:sz w:val="22"/>
          <w:szCs w:val="22"/>
        </w:rPr>
        <w:t>文件撤回。</w:t>
      </w:r>
      <w:r>
        <w:rPr>
          <w:rFonts w:hint="eastAsia" w:ascii="宋体" w:hAnsi="宋体" w:cs="宋体"/>
          <w:bCs/>
          <w:color w:val="auto"/>
          <w:sz w:val="22"/>
          <w:szCs w:val="22"/>
        </w:rPr>
        <w:t>磋商响应</w:t>
      </w:r>
      <w:r>
        <w:rPr>
          <w:rFonts w:ascii="宋体" w:hAnsi="宋体" w:cs="宋体"/>
          <w:bCs/>
          <w:color w:val="auto"/>
          <w:sz w:val="22"/>
          <w:szCs w:val="22"/>
        </w:rPr>
        <w:t>文件已按时解密的，备份</w:t>
      </w:r>
      <w:r>
        <w:rPr>
          <w:rFonts w:hint="eastAsia" w:ascii="宋体" w:hAnsi="宋体" w:cs="宋体"/>
          <w:bCs/>
          <w:color w:val="auto"/>
          <w:sz w:val="22"/>
          <w:szCs w:val="22"/>
        </w:rPr>
        <w:t>磋商响应</w:t>
      </w:r>
      <w:r>
        <w:rPr>
          <w:rFonts w:ascii="宋体" w:hAnsi="宋体" w:cs="宋体"/>
          <w:bCs/>
          <w:color w:val="auto"/>
          <w:sz w:val="22"/>
          <w:szCs w:val="22"/>
        </w:rPr>
        <w:t>文件自动失效。</w:t>
      </w:r>
    </w:p>
    <w:p w14:paraId="309FDCA8">
      <w:pPr>
        <w:spacing w:line="440" w:lineRule="exact"/>
        <w:ind w:left="558" w:leftChars="4" w:hanging="550" w:hangingChars="250"/>
        <w:rPr>
          <w:rFonts w:hint="eastAsia"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磋商响应文件解密结束。磋商供应商在线解密磋商响应文件完毕后，由采购代理机构结束解密磋商响应文件。</w:t>
      </w:r>
    </w:p>
    <w:p w14:paraId="7375F299">
      <w:pPr>
        <w:spacing w:line="440" w:lineRule="exact"/>
        <w:ind w:left="552" w:hanging="552" w:hangingChars="250"/>
        <w:rPr>
          <w:rFonts w:hint="eastAsia" w:ascii="宋体" w:hAnsi="宋体"/>
          <w:color w:val="auto"/>
          <w:sz w:val="22"/>
          <w:szCs w:val="22"/>
        </w:rPr>
      </w:pPr>
      <w:r>
        <w:rPr>
          <w:rFonts w:hint="eastAsia" w:ascii="宋体" w:hAnsi="宋体"/>
          <w:b/>
          <w:color w:val="auto"/>
          <w:sz w:val="22"/>
          <w:szCs w:val="22"/>
        </w:rPr>
        <w:t>4    磋商和评审</w:t>
      </w:r>
    </w:p>
    <w:p w14:paraId="6DEF3022">
      <w:pPr>
        <w:spacing w:line="440" w:lineRule="exact"/>
        <w:ind w:left="552" w:hanging="552" w:hangingChars="250"/>
        <w:rPr>
          <w:rFonts w:hint="eastAsia" w:ascii="宋体" w:hAnsi="宋体"/>
          <w:color w:val="auto"/>
          <w:sz w:val="22"/>
          <w:szCs w:val="22"/>
        </w:rPr>
      </w:pPr>
      <w:r>
        <w:rPr>
          <w:rFonts w:hint="eastAsia" w:ascii="宋体" w:hAnsi="宋体"/>
          <w:b/>
          <w:color w:val="auto"/>
          <w:sz w:val="22"/>
          <w:szCs w:val="22"/>
        </w:rPr>
        <w:t>4.</w:t>
      </w:r>
      <w:r>
        <w:rPr>
          <w:rFonts w:ascii="宋体" w:hAnsi="宋体"/>
          <w:b/>
          <w:color w:val="auto"/>
          <w:sz w:val="22"/>
          <w:szCs w:val="22"/>
        </w:rPr>
        <w:t>1</w:t>
      </w:r>
      <w:r>
        <w:rPr>
          <w:rFonts w:hint="eastAsia" w:ascii="宋体" w:hAnsi="宋体"/>
          <w:b/>
          <w:color w:val="auto"/>
          <w:sz w:val="22"/>
          <w:szCs w:val="22"/>
        </w:rPr>
        <w:t xml:space="preserve">  磋商资格审查</w:t>
      </w:r>
    </w:p>
    <w:p w14:paraId="2D21CFA8">
      <w:pPr>
        <w:spacing w:line="440" w:lineRule="exact"/>
        <w:ind w:left="533" w:leftChars="254"/>
        <w:rPr>
          <w:rFonts w:hint="eastAsia" w:ascii="宋体" w:hAnsi="宋体" w:cs="宋体"/>
          <w:bCs/>
          <w:color w:val="auto"/>
          <w:sz w:val="22"/>
          <w:szCs w:val="22"/>
        </w:rPr>
      </w:pPr>
      <w:r>
        <w:rPr>
          <w:rFonts w:hint="eastAsia" w:ascii="宋体" w:hAnsi="宋体" w:cs="宋体"/>
          <w:bCs/>
          <w:color w:val="auto"/>
          <w:sz w:val="22"/>
          <w:szCs w:val="22"/>
        </w:rPr>
        <w:t>采购人或采购代理机构依据法律、法规和磋商文件的规定，对各磋商响应文件中的资格证明在线进行审查，以确定是否具备磋商资格。</w:t>
      </w:r>
      <w:r>
        <w:rPr>
          <w:rFonts w:hint="eastAsia" w:ascii="宋体" w:hAnsi="宋体" w:cs="宋体"/>
          <w:b/>
          <w:color w:val="auto"/>
          <w:sz w:val="22"/>
          <w:szCs w:val="22"/>
        </w:rPr>
        <w:t>▲</w:t>
      </w:r>
      <w:r>
        <w:rPr>
          <w:rFonts w:hint="eastAsia" w:ascii="宋体" w:hAnsi="宋体" w:cs="宋体"/>
          <w:bCs/>
          <w:color w:val="auto"/>
          <w:sz w:val="22"/>
          <w:szCs w:val="22"/>
          <w:u w:val="single"/>
        </w:rPr>
        <w:t>只要有一项审查不合格，则该磋商供应商的资格审查不合格，审查不合格的磋商响应文件将不予评审。</w:t>
      </w:r>
    </w:p>
    <w:p w14:paraId="0954AFC2">
      <w:pPr>
        <w:spacing w:line="440" w:lineRule="exact"/>
        <w:ind w:left="552" w:hanging="552" w:hangingChars="250"/>
        <w:rPr>
          <w:rFonts w:hint="eastAsia" w:ascii="宋体" w:hAnsi="宋体"/>
          <w:color w:val="auto"/>
          <w:sz w:val="22"/>
          <w:szCs w:val="22"/>
        </w:rPr>
      </w:pPr>
      <w:r>
        <w:rPr>
          <w:rFonts w:hint="eastAsia" w:ascii="宋体" w:hAnsi="宋体"/>
          <w:b/>
          <w:color w:val="auto"/>
          <w:sz w:val="22"/>
          <w:szCs w:val="22"/>
        </w:rPr>
        <w:t>4.</w:t>
      </w:r>
      <w:r>
        <w:rPr>
          <w:rFonts w:ascii="宋体" w:hAnsi="宋体"/>
          <w:b/>
          <w:color w:val="auto"/>
          <w:sz w:val="22"/>
          <w:szCs w:val="22"/>
        </w:rPr>
        <w:t>2</w:t>
      </w:r>
      <w:r>
        <w:rPr>
          <w:rFonts w:hint="eastAsia" w:ascii="宋体" w:hAnsi="宋体"/>
          <w:b/>
          <w:color w:val="auto"/>
          <w:sz w:val="22"/>
          <w:szCs w:val="22"/>
        </w:rPr>
        <w:t xml:space="preserve">  响应文件的评审</w:t>
      </w:r>
    </w:p>
    <w:p w14:paraId="7C4F89E6">
      <w:pPr>
        <w:spacing w:line="440" w:lineRule="exact"/>
        <w:ind w:left="548" w:leftChars="261"/>
        <w:rPr>
          <w:rFonts w:hint="eastAsia" w:ascii="宋体" w:hAnsi="宋体"/>
          <w:color w:val="auto"/>
          <w:sz w:val="22"/>
          <w:szCs w:val="22"/>
        </w:rPr>
      </w:pPr>
      <w:r>
        <w:rPr>
          <w:rFonts w:hint="eastAsia" w:ascii="宋体" w:hAnsi="宋体"/>
          <w:color w:val="auto"/>
          <w:sz w:val="22"/>
          <w:szCs w:val="22"/>
        </w:rPr>
        <w:t>磋商小组根据竞争性磋商文件的规定，对响应文件的有效性、完整性和对竞争性磋商文件的响应程度进行审查，以确定其是否对磋商文件作出了实质性响应。实质上没有响应磋商文件要求的响应按无效处理。磋商小组对响应文件是否实质上响应磋商文件的要求是根据响应文件本身而不是依据外部证明。</w:t>
      </w:r>
    </w:p>
    <w:p w14:paraId="1010F96D">
      <w:pPr>
        <w:spacing w:line="440" w:lineRule="exact"/>
        <w:ind w:left="554" w:leftChars="1" w:hanging="552" w:hangingChars="250"/>
        <w:rPr>
          <w:rFonts w:hint="eastAsia" w:ascii="宋体" w:hAnsi="宋体"/>
          <w:color w:val="auto"/>
          <w:sz w:val="22"/>
          <w:szCs w:val="22"/>
        </w:rPr>
      </w:pPr>
      <w:r>
        <w:rPr>
          <w:rFonts w:hint="eastAsia" w:ascii="宋体" w:hAnsi="宋体"/>
          <w:b/>
          <w:color w:val="auto"/>
          <w:sz w:val="22"/>
          <w:szCs w:val="22"/>
        </w:rPr>
        <w:t>4.</w:t>
      </w:r>
      <w:r>
        <w:rPr>
          <w:rFonts w:ascii="宋体" w:hAnsi="宋体"/>
          <w:b/>
          <w:color w:val="auto"/>
          <w:sz w:val="22"/>
          <w:szCs w:val="22"/>
        </w:rPr>
        <w:t>3</w:t>
      </w:r>
      <w:r>
        <w:rPr>
          <w:rFonts w:hint="eastAsia" w:ascii="宋体" w:hAnsi="宋体"/>
          <w:b/>
          <w:color w:val="auto"/>
          <w:sz w:val="22"/>
          <w:szCs w:val="22"/>
        </w:rPr>
        <w:t xml:space="preserve">  竞争性磋商</w:t>
      </w:r>
    </w:p>
    <w:p w14:paraId="04C880C5">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（1）磋商小组所有成员根据磋商文件规定的程序、评定成交标准等事项与实质性响应磋商文件要求的供应商进行在线磋商。</w:t>
      </w:r>
    </w:p>
    <w:p w14:paraId="5D745C44">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2）磋商小组将遵循公平、公正的原则，采用相同的程序和标准，集中与单一供应商分别进行磋商。磋商主要针对磋商供应商提供货物或服务的价格、技术性能、质量水平和保证措施、交货时间、安装实施方案、售后服务及承诺、培训计划、履约能力、付款方式等方面进行磋商和综合分析考评。</w:t>
      </w:r>
    </w:p>
    <w:p w14:paraId="7CEA3596">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（3）在磋商过程中，磋商的任何一方都不得透露与磋商有关的其他供应商的技术资料、价格和其他信息。</w:t>
      </w:r>
    </w:p>
    <w:p w14:paraId="1C4047CF">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（4）在磋商过程中，磋商小组可以根据磋商文件和响应情况实质性变动采购需求中的技术、服务要求以及合同草案条款，但不得变动磋商文件的其他内容。实质性变动的内容，须经采购人代表确认。</w:t>
      </w:r>
    </w:p>
    <w:p w14:paraId="0CB1B3EE">
      <w:pPr>
        <w:spacing w:line="440" w:lineRule="exact"/>
        <w:ind w:left="550" w:hanging="550" w:hangingChars="250"/>
        <w:rPr>
          <w:rFonts w:hint="eastAsia" w:ascii="宋体" w:hAnsi="宋体"/>
          <w:color w:val="auto"/>
          <w:sz w:val="22"/>
          <w:szCs w:val="22"/>
        </w:rPr>
      </w:pPr>
      <w:r>
        <w:rPr>
          <w:rFonts w:hint="eastAsia" w:ascii="宋体" w:hAnsi="宋体"/>
          <w:color w:val="auto"/>
          <w:sz w:val="22"/>
          <w:szCs w:val="22"/>
        </w:rPr>
        <w:t>（5）对磋商文件作出的实质性变动是磋商文件的有效组成部分，磋商小组应及时以书面形式通知所有参加磋商的供应商。</w:t>
      </w:r>
    </w:p>
    <w:p w14:paraId="55E79660">
      <w:pPr>
        <w:spacing w:line="440" w:lineRule="exact"/>
        <w:ind w:left="550" w:hanging="550" w:hangingChars="250"/>
        <w:rPr>
          <w:rFonts w:hint="eastAsia" w:ascii="宋体" w:hAnsi="宋体" w:cs="Arial"/>
          <w:color w:val="auto"/>
          <w:kern w:val="0"/>
          <w:sz w:val="22"/>
          <w:szCs w:val="22"/>
        </w:rPr>
      </w:pPr>
      <w:r>
        <w:rPr>
          <w:rFonts w:hint="eastAsia" w:ascii="宋体" w:hAnsi="宋体"/>
          <w:color w:val="auto"/>
          <w:sz w:val="22"/>
          <w:szCs w:val="22"/>
        </w:rPr>
        <w:t>（6）</w:t>
      </w:r>
      <w:r>
        <w:rPr>
          <w:rFonts w:ascii="宋体" w:hAnsi="宋体" w:cs="Arial"/>
          <w:color w:val="auto"/>
          <w:kern w:val="0"/>
          <w:sz w:val="22"/>
          <w:szCs w:val="22"/>
        </w:rPr>
        <w:t>供应商应当按照磋商文件的变动情况和磋商小组的要求重新提交响应文件，并</w:t>
      </w:r>
      <w:r>
        <w:rPr>
          <w:rFonts w:hint="eastAsia" w:ascii="宋体" w:hAnsi="宋体" w:cs="Arial"/>
          <w:color w:val="auto"/>
          <w:kern w:val="0"/>
          <w:sz w:val="22"/>
          <w:szCs w:val="22"/>
        </w:rPr>
        <w:t>根据磋商文件的规定对磋商响应文件进行电子盖章及签署</w:t>
      </w:r>
      <w:r>
        <w:rPr>
          <w:rFonts w:ascii="宋体" w:hAnsi="宋体" w:cs="Arial"/>
          <w:color w:val="auto"/>
          <w:kern w:val="0"/>
          <w:sz w:val="22"/>
          <w:szCs w:val="22"/>
        </w:rPr>
        <w:t>。</w:t>
      </w:r>
    </w:p>
    <w:p w14:paraId="35DF7CDC">
      <w:pPr>
        <w:widowControl/>
        <w:spacing w:line="440" w:lineRule="exact"/>
        <w:ind w:left="552" w:hanging="552" w:hangingChars="250"/>
        <w:jc w:val="left"/>
        <w:rPr>
          <w:rFonts w:hint="eastAsia" w:ascii="宋体" w:hAnsi="宋体" w:cs="Arial"/>
          <w:color w:val="auto"/>
          <w:kern w:val="0"/>
          <w:sz w:val="22"/>
          <w:szCs w:val="22"/>
        </w:rPr>
      </w:pPr>
      <w:r>
        <w:rPr>
          <w:rFonts w:hint="eastAsia" w:ascii="宋体" w:hAnsi="宋体"/>
          <w:b/>
          <w:color w:val="auto"/>
          <w:sz w:val="22"/>
          <w:szCs w:val="22"/>
        </w:rPr>
        <w:t>4.</w:t>
      </w:r>
      <w:r>
        <w:rPr>
          <w:rFonts w:ascii="宋体" w:hAnsi="宋体"/>
          <w:b/>
          <w:color w:val="auto"/>
          <w:sz w:val="22"/>
          <w:szCs w:val="22"/>
        </w:rPr>
        <w:t>4</w:t>
      </w:r>
      <w:r>
        <w:rPr>
          <w:rFonts w:hint="eastAsia" w:ascii="宋体" w:hAnsi="宋体"/>
          <w:b/>
          <w:color w:val="auto"/>
          <w:sz w:val="22"/>
          <w:szCs w:val="22"/>
        </w:rPr>
        <w:t xml:space="preserve">  </w:t>
      </w:r>
      <w:r>
        <w:rPr>
          <w:rFonts w:hint="eastAsia" w:ascii="宋体" w:hAnsi="宋体" w:cs="Arial"/>
          <w:b/>
          <w:color w:val="auto"/>
          <w:kern w:val="0"/>
          <w:sz w:val="22"/>
          <w:szCs w:val="22"/>
        </w:rPr>
        <w:t>最后报价</w:t>
      </w:r>
    </w:p>
    <w:p w14:paraId="6968C336">
      <w:pPr>
        <w:widowControl/>
        <w:spacing w:line="440" w:lineRule="exact"/>
        <w:ind w:left="550" w:hanging="550" w:hangingChars="250"/>
        <w:jc w:val="left"/>
        <w:rPr>
          <w:rFonts w:ascii="宋体" w:hAnsi="宋体"/>
          <w:color w:val="auto"/>
          <w:sz w:val="22"/>
          <w:szCs w:val="22"/>
        </w:rPr>
      </w:pPr>
      <w:r>
        <w:rPr>
          <w:rFonts w:hint="eastAsia" w:ascii="宋体" w:hAnsi="宋体"/>
          <w:color w:val="auto"/>
          <w:sz w:val="22"/>
          <w:szCs w:val="22"/>
        </w:rPr>
        <w:t>（1）磋商文件能够详细列明采购标的的技术、服务要求的，磋商结束后，磋商小组应当要求所有实质性响应的供应商在规定时间内提交最后报价，提交最后报价的供应商不得少于</w:t>
      </w:r>
      <w:r>
        <w:rPr>
          <w:rFonts w:ascii="宋体" w:hAnsi="宋体"/>
          <w:color w:val="auto"/>
          <w:sz w:val="22"/>
          <w:szCs w:val="22"/>
        </w:rPr>
        <w:t>3</w:t>
      </w:r>
      <w:r>
        <w:rPr>
          <w:rFonts w:hint="eastAsia" w:ascii="宋体" w:hAnsi="宋体"/>
          <w:color w:val="auto"/>
          <w:sz w:val="22"/>
          <w:szCs w:val="22"/>
        </w:rPr>
        <w:t>家。</w:t>
      </w:r>
    </w:p>
    <w:p w14:paraId="721F2762">
      <w:pPr>
        <w:widowControl/>
        <w:spacing w:line="440" w:lineRule="exact"/>
        <w:ind w:left="550" w:hanging="550" w:hangingChars="250"/>
        <w:jc w:val="left"/>
        <w:rPr>
          <w:rFonts w:ascii="宋体" w:hAnsi="宋体"/>
          <w:color w:val="auto"/>
          <w:sz w:val="22"/>
          <w:szCs w:val="22"/>
        </w:rPr>
      </w:pPr>
      <w:r>
        <w:rPr>
          <w:rFonts w:hint="eastAsia" w:ascii="宋体" w:hAnsi="宋体"/>
          <w:color w:val="auto"/>
          <w:sz w:val="22"/>
          <w:szCs w:val="22"/>
        </w:rPr>
        <w:t>（2）磋商文件不能详细列明采购标的的技术、服务要求，需经磋商由供应商提供最终设计方案或解决方案的，磋商结束后，磋商小组应当按照少数服从多数的原则投票推荐</w:t>
      </w:r>
      <w:r>
        <w:rPr>
          <w:rFonts w:ascii="宋体" w:hAnsi="宋体"/>
          <w:color w:val="auto"/>
          <w:sz w:val="22"/>
          <w:szCs w:val="22"/>
        </w:rPr>
        <w:t>3</w:t>
      </w:r>
      <w:r>
        <w:rPr>
          <w:rFonts w:hint="eastAsia" w:ascii="宋体" w:hAnsi="宋体"/>
          <w:color w:val="auto"/>
          <w:sz w:val="22"/>
          <w:szCs w:val="22"/>
        </w:rPr>
        <w:t>家以上供应商的设计方案或者解决方案，并要求其在规定时间内提交最后报价。</w:t>
      </w:r>
    </w:p>
    <w:p w14:paraId="1CFAFC3A">
      <w:pPr>
        <w:widowControl/>
        <w:spacing w:line="440" w:lineRule="exact"/>
        <w:ind w:left="550" w:hanging="550" w:hangingChars="250"/>
        <w:jc w:val="left"/>
        <w:rPr>
          <w:rFonts w:ascii="宋体" w:hAnsi="宋体" w:cs="Arial"/>
          <w:color w:val="auto"/>
          <w:kern w:val="0"/>
          <w:sz w:val="22"/>
          <w:szCs w:val="22"/>
        </w:rPr>
      </w:pPr>
      <w:r>
        <w:rPr>
          <w:rFonts w:hint="eastAsia" w:ascii="宋体" w:hAnsi="宋体" w:cs="Arial"/>
          <w:color w:val="auto"/>
          <w:kern w:val="0"/>
          <w:sz w:val="22"/>
          <w:szCs w:val="22"/>
        </w:rPr>
        <w:t>（3）</w:t>
      </w:r>
      <w:r>
        <w:rPr>
          <w:rFonts w:ascii="宋体" w:hAnsi="宋体" w:cs="Arial"/>
          <w:color w:val="auto"/>
          <w:kern w:val="0"/>
          <w:sz w:val="22"/>
          <w:szCs w:val="22"/>
        </w:rPr>
        <w:t>已提交响应文件的供应商，在提交最后报价之前，可以根据磋商情况退出磋商。</w:t>
      </w:r>
    </w:p>
    <w:p w14:paraId="580D842B">
      <w:pPr>
        <w:spacing w:line="440" w:lineRule="exact"/>
        <w:ind w:left="552" w:hanging="552" w:hangingChars="250"/>
        <w:rPr>
          <w:rFonts w:hint="eastAsia" w:ascii="宋体" w:hAnsi="宋体" w:cs="Arial"/>
          <w:b/>
          <w:color w:val="auto"/>
          <w:kern w:val="0"/>
          <w:sz w:val="22"/>
          <w:szCs w:val="22"/>
        </w:rPr>
      </w:pPr>
      <w:r>
        <w:rPr>
          <w:rFonts w:hint="eastAsia" w:ascii="宋体" w:hAnsi="宋体" w:cs="Arial"/>
          <w:b/>
          <w:color w:val="auto"/>
          <w:kern w:val="0"/>
          <w:sz w:val="22"/>
          <w:szCs w:val="22"/>
        </w:rPr>
        <w:t>4.</w:t>
      </w:r>
      <w:r>
        <w:rPr>
          <w:rFonts w:ascii="宋体" w:hAnsi="宋体" w:cs="Arial"/>
          <w:b/>
          <w:color w:val="auto"/>
          <w:kern w:val="0"/>
          <w:sz w:val="22"/>
          <w:szCs w:val="22"/>
        </w:rPr>
        <w:t>5</w:t>
      </w:r>
      <w:r>
        <w:rPr>
          <w:rFonts w:hint="eastAsia" w:ascii="宋体" w:hAnsi="宋体" w:cs="Arial"/>
          <w:b/>
          <w:color w:val="auto"/>
          <w:kern w:val="0"/>
          <w:sz w:val="22"/>
          <w:szCs w:val="22"/>
        </w:rPr>
        <w:t xml:space="preserve">  综合评分</w:t>
      </w:r>
    </w:p>
    <w:p w14:paraId="6EFA8173">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（1）经磋商确定最终采购需求和提交最后报价的供应商后，由磋商小组采用综合评分法对提交最后报价的供应商的响应文件和最后报价进行综合评分。</w:t>
      </w:r>
    </w:p>
    <w:p w14:paraId="5E0CAA46">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（2）综合评分法，是指响应文件满足磋商文件全部实质性要求且按评审因素的量化指标评审得分最高的供应商为成交候选供应商的评审方法。</w:t>
      </w:r>
    </w:p>
    <w:p w14:paraId="5E9444A0">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（3）综合评分法评审标准中的分值设置应当与评审因素的量化指标相对应。磋商文件中没有规定的评审标准不得作为评审依据。</w:t>
      </w:r>
    </w:p>
    <w:p w14:paraId="6E694B0F">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（4）评审时，磋商小组各成员应当独立对每个有效响应的文件进行评价、打分，然后汇总每个供应商每项评分因素的得分。</w:t>
      </w:r>
    </w:p>
    <w:p w14:paraId="736AE40B">
      <w:pPr>
        <w:spacing w:line="440" w:lineRule="exact"/>
        <w:rPr>
          <w:rFonts w:hint="eastAsia" w:ascii="宋体" w:hAnsi="宋体"/>
          <w:color w:val="auto"/>
          <w:sz w:val="22"/>
          <w:szCs w:val="22"/>
        </w:rPr>
      </w:pPr>
      <w:r>
        <w:rPr>
          <w:rFonts w:hint="eastAsia" w:ascii="宋体" w:hAnsi="宋体"/>
          <w:color w:val="auto"/>
          <w:sz w:val="22"/>
        </w:rPr>
        <w:t xml:space="preserve">5．  </w:t>
      </w:r>
      <w:r>
        <w:rPr>
          <w:rFonts w:hint="eastAsia" w:ascii="宋体" w:hAnsi="宋体"/>
          <w:b/>
          <w:color w:val="auto"/>
          <w:sz w:val="22"/>
        </w:rPr>
        <w:t>响应文件的澄清</w:t>
      </w:r>
    </w:p>
    <w:p w14:paraId="563CA3BC">
      <w:pPr>
        <w:tabs>
          <w:tab w:val="left" w:pos="1365"/>
        </w:tabs>
        <w:spacing w:line="440" w:lineRule="exact"/>
        <w:ind w:left="558" w:leftChars="4" w:hanging="550" w:hangingChars="250"/>
        <w:rPr>
          <w:rFonts w:hint="eastAsia" w:ascii="宋体" w:hAnsi="宋体" w:cs="Arial"/>
          <w:color w:val="auto"/>
          <w:kern w:val="0"/>
          <w:sz w:val="22"/>
          <w:szCs w:val="22"/>
        </w:rPr>
      </w:pPr>
      <w:r>
        <w:rPr>
          <w:rFonts w:hint="eastAsia" w:ascii="宋体" w:hAnsi="宋体"/>
          <w:color w:val="auto"/>
          <w:sz w:val="22"/>
        </w:rPr>
        <w:t xml:space="preserve">5.1  </w:t>
      </w:r>
      <w:r>
        <w:rPr>
          <w:rFonts w:ascii="宋体" w:hAnsi="宋体" w:cs="Arial"/>
          <w:color w:val="auto"/>
          <w:kern w:val="0"/>
          <w:sz w:val="22"/>
          <w:szCs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olor w:val="auto"/>
          <w:sz w:val="22"/>
        </w:rPr>
        <w:t>拒不按要求对其响应文件进行澄清，说明或更正的磋商供应商，磋商小组可以认定其响应文件无效。</w:t>
      </w:r>
    </w:p>
    <w:p w14:paraId="0971F8DC">
      <w:pPr>
        <w:tabs>
          <w:tab w:val="left" w:pos="1365"/>
        </w:tabs>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 xml:space="preserve">5.2  </w:t>
      </w:r>
      <w:r>
        <w:rPr>
          <w:rFonts w:hint="eastAsia" w:ascii="宋体" w:hAnsi="宋体" w:cs="宋体"/>
          <w:color w:val="auto"/>
          <w:sz w:val="22"/>
          <w:szCs w:val="22"/>
        </w:rPr>
        <w:t>磋商供应商的澄清、说明或者补正应当采用电子传输形式。磋商供应商的澄清、说明或者补正不得超出磋商响应文件的范围或者改变磋商响应文件的实质性内容。</w:t>
      </w:r>
    </w:p>
    <w:p w14:paraId="31396B16">
      <w:pPr>
        <w:tabs>
          <w:tab w:val="left" w:pos="1365"/>
        </w:tabs>
        <w:spacing w:line="440" w:lineRule="exact"/>
        <w:ind w:left="558" w:leftChars="4" w:hanging="550" w:hangingChars="250"/>
        <w:rPr>
          <w:rFonts w:hint="eastAsia" w:ascii="宋体" w:hAnsi="宋体"/>
          <w:color w:val="auto"/>
          <w:sz w:val="22"/>
        </w:rPr>
      </w:pPr>
      <w:r>
        <w:rPr>
          <w:rFonts w:hint="eastAsia" w:ascii="宋体" w:hAnsi="宋体"/>
          <w:color w:val="auto"/>
          <w:sz w:val="22"/>
        </w:rPr>
        <w:t xml:space="preserve">5.3  </w:t>
      </w:r>
      <w:r>
        <w:rPr>
          <w:rFonts w:hint="eastAsia" w:ascii="宋体" w:hAnsi="宋体"/>
          <w:b/>
          <w:color w:val="auto"/>
          <w:sz w:val="22"/>
        </w:rPr>
        <w:t>经澄清后，若偏差仍存在，且不可接受，响应文件则被认为是“没有实质性响应磋商文件要求”，不进入下一步评审。</w:t>
      </w:r>
    </w:p>
    <w:p w14:paraId="031EBD14">
      <w:pPr>
        <w:tabs>
          <w:tab w:val="left" w:pos="1365"/>
        </w:tabs>
        <w:spacing w:line="440" w:lineRule="exact"/>
        <w:ind w:left="549" w:leftChars="4" w:hanging="541" w:hangingChars="245"/>
        <w:rPr>
          <w:rFonts w:hint="eastAsia" w:ascii="宋体" w:hAnsi="宋体"/>
          <w:color w:val="auto"/>
          <w:sz w:val="22"/>
        </w:rPr>
      </w:pPr>
      <w:r>
        <w:rPr>
          <w:rFonts w:hint="eastAsia" w:ascii="宋体" w:hAnsi="宋体"/>
          <w:b/>
          <w:color w:val="auto"/>
          <w:sz w:val="22"/>
        </w:rPr>
        <w:t xml:space="preserve">6. </w:t>
      </w:r>
      <w:r>
        <w:rPr>
          <w:rFonts w:hint="eastAsia" w:ascii="宋体" w:hAnsi="宋体"/>
          <w:b/>
          <w:bCs/>
          <w:color w:val="auto"/>
          <w:sz w:val="22"/>
          <w:szCs w:val="22"/>
        </w:rPr>
        <w:t>▲</w:t>
      </w:r>
      <w:r>
        <w:rPr>
          <w:rFonts w:hint="eastAsia" w:ascii="宋体" w:hAnsi="宋体"/>
          <w:b/>
          <w:color w:val="auto"/>
          <w:sz w:val="22"/>
          <w:u w:val="single"/>
        </w:rPr>
        <w:t>在对各磋商供应商的响应文件进行评审时，响应文件有下列情况之一的，经磋商小组认定后按无效响应文件处理</w:t>
      </w:r>
      <w:r>
        <w:rPr>
          <w:rFonts w:hint="eastAsia" w:ascii="宋体" w:hAnsi="宋体"/>
          <w:b/>
          <w:color w:val="auto"/>
          <w:sz w:val="22"/>
        </w:rPr>
        <w:t>：</w:t>
      </w:r>
    </w:p>
    <w:p w14:paraId="241C1710">
      <w:pPr>
        <w:spacing w:line="440" w:lineRule="exact"/>
        <w:ind w:left="648" w:leftChars="51" w:hanging="541" w:hangingChars="245"/>
        <w:rPr>
          <w:rFonts w:hint="eastAsia" w:ascii="宋体" w:hAnsi="宋体"/>
          <w:b/>
          <w:color w:val="auto"/>
          <w:sz w:val="22"/>
        </w:rPr>
      </w:pPr>
      <w:r>
        <w:rPr>
          <w:rFonts w:hint="eastAsia" w:ascii="宋体" w:hAnsi="宋体"/>
          <w:b/>
          <w:color w:val="auto"/>
          <w:sz w:val="22"/>
        </w:rPr>
        <w:t>（1）</w:t>
      </w:r>
      <w:r>
        <w:rPr>
          <w:rFonts w:hint="eastAsia" w:ascii="宋体" w:hAnsi="宋体"/>
          <w:b/>
          <w:color w:val="auto"/>
          <w:sz w:val="22"/>
          <w:u w:val="single"/>
        </w:rPr>
        <w:t>响应文件未按磋商文件要求签署、盖章的</w:t>
      </w:r>
      <w:r>
        <w:rPr>
          <w:rFonts w:hint="eastAsia" w:ascii="宋体" w:hAnsi="宋体"/>
          <w:b/>
          <w:color w:val="auto"/>
          <w:sz w:val="22"/>
        </w:rPr>
        <w:t>；</w:t>
      </w:r>
    </w:p>
    <w:p w14:paraId="0983B994">
      <w:pPr>
        <w:spacing w:line="440" w:lineRule="exact"/>
        <w:ind w:firstLine="108" w:firstLineChars="49"/>
        <w:rPr>
          <w:rFonts w:hint="eastAsia" w:ascii="宋体" w:hAnsi="宋体"/>
          <w:b/>
          <w:color w:val="auto"/>
          <w:sz w:val="22"/>
        </w:rPr>
      </w:pPr>
      <w:r>
        <w:rPr>
          <w:rFonts w:hint="eastAsia" w:ascii="宋体" w:hAnsi="宋体"/>
          <w:b/>
          <w:color w:val="auto"/>
          <w:sz w:val="22"/>
        </w:rPr>
        <w:t>（2）</w:t>
      </w:r>
      <w:r>
        <w:rPr>
          <w:rFonts w:hint="eastAsia" w:ascii="宋体" w:hAnsi="宋体"/>
          <w:b/>
          <w:color w:val="auto"/>
          <w:sz w:val="22"/>
          <w:u w:val="single"/>
        </w:rPr>
        <w:t>明显不符合磋商文件中主要技术要求的</w:t>
      </w:r>
      <w:r>
        <w:rPr>
          <w:rFonts w:hint="eastAsia" w:ascii="宋体" w:hAnsi="宋体"/>
          <w:b/>
          <w:color w:val="auto"/>
          <w:sz w:val="22"/>
        </w:rPr>
        <w:t>；</w:t>
      </w:r>
    </w:p>
    <w:p w14:paraId="0BFCD9B7">
      <w:pPr>
        <w:spacing w:line="440" w:lineRule="exact"/>
        <w:ind w:firstLine="108" w:firstLineChars="49"/>
        <w:rPr>
          <w:rFonts w:hint="eastAsia" w:ascii="宋体" w:hAnsi="宋体"/>
          <w:b/>
          <w:color w:val="auto"/>
          <w:sz w:val="22"/>
        </w:rPr>
      </w:pPr>
      <w:r>
        <w:rPr>
          <w:rFonts w:hint="eastAsia" w:ascii="宋体" w:hAnsi="宋体"/>
          <w:b/>
          <w:color w:val="auto"/>
          <w:sz w:val="22"/>
        </w:rPr>
        <w:t>（3）</w:t>
      </w:r>
      <w:r>
        <w:rPr>
          <w:rFonts w:hint="eastAsia" w:ascii="宋体" w:hAnsi="宋体"/>
          <w:b/>
          <w:color w:val="auto"/>
          <w:sz w:val="22"/>
          <w:u w:val="single"/>
        </w:rPr>
        <w:t>响应文件内容不全或关键字迹模糊无法辨认或未做好节点关联导致关键内容缺失的</w:t>
      </w:r>
      <w:r>
        <w:rPr>
          <w:rFonts w:hint="eastAsia" w:ascii="宋体" w:hAnsi="宋体"/>
          <w:b/>
          <w:color w:val="auto"/>
          <w:sz w:val="22"/>
        </w:rPr>
        <w:t>；</w:t>
      </w:r>
    </w:p>
    <w:p w14:paraId="3DB780D6">
      <w:pPr>
        <w:spacing w:line="440" w:lineRule="exact"/>
        <w:ind w:firstLine="108" w:firstLineChars="49"/>
        <w:rPr>
          <w:rFonts w:hint="eastAsia" w:ascii="宋体" w:hAnsi="宋体"/>
          <w:b/>
          <w:color w:val="auto"/>
          <w:sz w:val="22"/>
        </w:rPr>
      </w:pPr>
      <w:r>
        <w:rPr>
          <w:rFonts w:hint="eastAsia" w:ascii="宋体" w:hAnsi="宋体"/>
          <w:b/>
          <w:color w:val="auto"/>
          <w:sz w:val="22"/>
        </w:rPr>
        <w:t>（4）</w:t>
      </w:r>
      <w:r>
        <w:rPr>
          <w:rFonts w:hint="eastAsia" w:ascii="宋体" w:hAnsi="宋体"/>
          <w:b/>
          <w:color w:val="auto"/>
          <w:sz w:val="22"/>
          <w:u w:val="single"/>
        </w:rPr>
        <w:t>响应文件附有采购人不能接受的条件的</w:t>
      </w:r>
      <w:r>
        <w:rPr>
          <w:rFonts w:hint="eastAsia" w:ascii="宋体" w:hAnsi="宋体"/>
          <w:b/>
          <w:color w:val="auto"/>
          <w:sz w:val="22"/>
        </w:rPr>
        <w:t>；</w:t>
      </w:r>
    </w:p>
    <w:p w14:paraId="708B7D8E">
      <w:pPr>
        <w:spacing w:line="440" w:lineRule="exact"/>
        <w:ind w:firstLine="108" w:firstLineChars="49"/>
        <w:rPr>
          <w:rFonts w:hint="eastAsia" w:ascii="宋体" w:hAnsi="宋体"/>
          <w:b/>
          <w:color w:val="auto"/>
          <w:sz w:val="22"/>
        </w:rPr>
      </w:pPr>
      <w:r>
        <w:rPr>
          <w:rFonts w:hint="eastAsia" w:ascii="宋体" w:hAnsi="宋体"/>
          <w:b/>
          <w:color w:val="auto"/>
          <w:sz w:val="22"/>
        </w:rPr>
        <w:t>（5）</w:t>
      </w:r>
      <w:r>
        <w:rPr>
          <w:rFonts w:hint="eastAsia" w:ascii="宋体" w:hAnsi="宋体"/>
          <w:b/>
          <w:color w:val="auto"/>
          <w:sz w:val="22"/>
          <w:u w:val="single"/>
        </w:rPr>
        <w:t>磋商供应商代表没有法定代表人合法、有效委托的</w:t>
      </w:r>
      <w:r>
        <w:rPr>
          <w:rFonts w:hint="eastAsia" w:ascii="宋体" w:hAnsi="宋体"/>
          <w:b/>
          <w:color w:val="auto"/>
          <w:sz w:val="22"/>
        </w:rPr>
        <w:t>；</w:t>
      </w:r>
    </w:p>
    <w:p w14:paraId="0739ADF4">
      <w:pPr>
        <w:spacing w:line="440" w:lineRule="exact"/>
        <w:ind w:firstLine="108" w:firstLineChars="49"/>
        <w:rPr>
          <w:rFonts w:hint="eastAsia" w:ascii="宋体" w:hAnsi="宋体"/>
          <w:b/>
          <w:color w:val="auto"/>
          <w:sz w:val="22"/>
        </w:rPr>
      </w:pPr>
      <w:r>
        <w:rPr>
          <w:rFonts w:hint="eastAsia" w:ascii="宋体" w:hAnsi="宋体"/>
          <w:b/>
          <w:color w:val="auto"/>
          <w:sz w:val="22"/>
        </w:rPr>
        <w:t>（6）</w:t>
      </w:r>
      <w:r>
        <w:rPr>
          <w:rFonts w:hint="eastAsia" w:ascii="宋体" w:hAnsi="宋体"/>
          <w:b/>
          <w:color w:val="auto"/>
          <w:sz w:val="22"/>
          <w:u w:val="single"/>
        </w:rPr>
        <w:t>仅提交备份磋商响应文件的</w:t>
      </w:r>
      <w:r>
        <w:rPr>
          <w:rFonts w:hint="eastAsia" w:ascii="宋体" w:hAnsi="宋体"/>
          <w:b/>
          <w:color w:val="auto"/>
          <w:sz w:val="22"/>
        </w:rPr>
        <w:t>；</w:t>
      </w:r>
    </w:p>
    <w:p w14:paraId="7302556F">
      <w:pPr>
        <w:spacing w:line="440" w:lineRule="exact"/>
        <w:ind w:firstLine="108" w:firstLineChars="49"/>
        <w:rPr>
          <w:rFonts w:hint="eastAsia" w:ascii="宋体" w:hAnsi="宋体"/>
          <w:color w:val="auto"/>
          <w:sz w:val="22"/>
          <w:szCs w:val="22"/>
        </w:rPr>
      </w:pPr>
      <w:r>
        <w:rPr>
          <w:rFonts w:hint="eastAsia" w:ascii="宋体" w:hAnsi="宋体"/>
          <w:b/>
          <w:color w:val="auto"/>
          <w:sz w:val="22"/>
        </w:rPr>
        <w:t>（7）</w:t>
      </w:r>
      <w:r>
        <w:rPr>
          <w:rFonts w:hint="eastAsia" w:ascii="宋体" w:hAnsi="宋体"/>
          <w:b/>
          <w:color w:val="auto"/>
          <w:sz w:val="22"/>
          <w:u w:val="single"/>
        </w:rPr>
        <w:t>磋商小组认定不符合法律、法规和磋商文件中规定的其他实质性要求的</w:t>
      </w:r>
      <w:r>
        <w:rPr>
          <w:rFonts w:hint="eastAsia" w:ascii="宋体" w:hAnsi="宋体"/>
          <w:b/>
          <w:color w:val="auto"/>
          <w:sz w:val="22"/>
        </w:rPr>
        <w:t>。</w:t>
      </w:r>
    </w:p>
    <w:p w14:paraId="7EBAE007">
      <w:pPr>
        <w:tabs>
          <w:tab w:val="left" w:pos="1365"/>
        </w:tabs>
        <w:spacing w:line="440" w:lineRule="exact"/>
        <w:ind w:left="560" w:leftChars="4" w:hanging="552" w:hangingChars="250"/>
        <w:rPr>
          <w:rFonts w:hint="eastAsia" w:ascii="宋体" w:hAnsi="宋体"/>
          <w:b/>
          <w:color w:val="auto"/>
          <w:sz w:val="22"/>
        </w:rPr>
      </w:pPr>
      <w:r>
        <w:rPr>
          <w:rFonts w:ascii="宋体" w:hAnsi="宋体"/>
          <w:b/>
          <w:color w:val="auto"/>
          <w:sz w:val="22"/>
        </w:rPr>
        <w:t xml:space="preserve">7. </w:t>
      </w:r>
      <w:r>
        <w:rPr>
          <w:rFonts w:hint="eastAsia" w:ascii="宋体" w:hAnsi="宋体"/>
          <w:b/>
          <w:color w:val="auto"/>
          <w:sz w:val="22"/>
        </w:rPr>
        <w:t xml:space="preserve">  评审过程中遇到特殊情况，由磋商小组遵循公开、公正原则，采取记名投票方式按照少数服从多数原则决定。磋商文件内容违反国家有关强制性规定的，磋商小组应当停止评审并向采购人或者采购代理机构说明情况。</w:t>
      </w:r>
    </w:p>
    <w:p w14:paraId="7148BB3E">
      <w:pPr>
        <w:spacing w:line="440" w:lineRule="exact"/>
        <w:ind w:left="550" w:hanging="550" w:hangingChars="250"/>
        <w:rPr>
          <w:rFonts w:hint="eastAsia" w:ascii="宋体" w:hAnsi="宋体"/>
          <w:color w:val="auto"/>
          <w:sz w:val="22"/>
        </w:rPr>
      </w:pPr>
      <w:r>
        <w:rPr>
          <w:rFonts w:ascii="宋体" w:hAnsi="宋体"/>
          <w:color w:val="auto"/>
          <w:sz w:val="22"/>
          <w:szCs w:val="22"/>
        </w:rPr>
        <w:t>8</w:t>
      </w:r>
      <w:r>
        <w:rPr>
          <w:rFonts w:hint="eastAsia" w:ascii="宋体" w:hAnsi="宋体"/>
          <w:color w:val="auto"/>
          <w:sz w:val="22"/>
          <w:szCs w:val="22"/>
        </w:rPr>
        <w:t xml:space="preserve">    </w:t>
      </w:r>
      <w:r>
        <w:rPr>
          <w:rFonts w:hint="eastAsia" w:ascii="宋体" w:hAnsi="宋体"/>
          <w:b/>
          <w:color w:val="auto"/>
          <w:sz w:val="22"/>
        </w:rPr>
        <w:t>确定成交供应商</w:t>
      </w:r>
    </w:p>
    <w:p w14:paraId="5A31347F">
      <w:pPr>
        <w:widowControl/>
        <w:spacing w:line="440" w:lineRule="exact"/>
        <w:ind w:left="550" w:hanging="550" w:hangingChars="250"/>
        <w:jc w:val="left"/>
        <w:rPr>
          <w:rFonts w:ascii="宋体" w:hAnsi="宋体" w:cs="Arial"/>
          <w:color w:val="auto"/>
          <w:kern w:val="0"/>
          <w:sz w:val="22"/>
          <w:szCs w:val="22"/>
        </w:rPr>
      </w:pPr>
      <w:r>
        <w:rPr>
          <w:rFonts w:ascii="宋体" w:hAnsi="宋体" w:cs="Arial"/>
          <w:color w:val="auto"/>
          <w:kern w:val="0"/>
          <w:sz w:val="22"/>
          <w:szCs w:val="22"/>
        </w:rPr>
        <w:t>8</w:t>
      </w:r>
      <w:r>
        <w:rPr>
          <w:rFonts w:hint="eastAsia" w:ascii="宋体" w:hAnsi="宋体" w:cs="Arial"/>
          <w:color w:val="auto"/>
          <w:kern w:val="0"/>
          <w:sz w:val="22"/>
          <w:szCs w:val="22"/>
        </w:rPr>
        <w:t>.1  磋商小组应当根据综合评分情况，按照综合得分由高到低顺序推荐</w:t>
      </w:r>
      <w:r>
        <w:rPr>
          <w:rFonts w:ascii="宋体" w:hAnsi="宋体" w:cs="Arial"/>
          <w:color w:val="auto"/>
          <w:kern w:val="0"/>
          <w:sz w:val="22"/>
          <w:szCs w:val="22"/>
        </w:rPr>
        <w:t>3</w:t>
      </w:r>
      <w:r>
        <w:rPr>
          <w:rFonts w:hint="eastAsia" w:ascii="宋体" w:hAnsi="宋体" w:cs="Arial"/>
          <w:color w:val="auto"/>
          <w:kern w:val="0"/>
          <w:sz w:val="22"/>
          <w:szCs w:val="22"/>
        </w:rPr>
        <w:t>名以上成交候选供应商，并编写评审报告。综合得分相同的，按照最后报价由低到高的顺序推荐。评审得分且最后报价相同的，按照技术指标优劣顺序推荐。</w:t>
      </w:r>
    </w:p>
    <w:p w14:paraId="004E0A7C">
      <w:pPr>
        <w:spacing w:line="440" w:lineRule="exact"/>
        <w:ind w:left="550" w:hanging="550" w:hangingChars="250"/>
        <w:rPr>
          <w:rFonts w:ascii="宋体" w:hAnsi="宋体"/>
          <w:color w:val="auto"/>
          <w:sz w:val="22"/>
        </w:rPr>
      </w:pPr>
      <w:r>
        <w:rPr>
          <w:rFonts w:ascii="宋体" w:hAnsi="宋体"/>
          <w:color w:val="auto"/>
          <w:sz w:val="22"/>
          <w:szCs w:val="22"/>
        </w:rPr>
        <w:t>8</w:t>
      </w:r>
      <w:r>
        <w:rPr>
          <w:rFonts w:hint="eastAsia" w:ascii="宋体" w:hAnsi="宋体"/>
          <w:color w:val="auto"/>
          <w:sz w:val="22"/>
          <w:szCs w:val="22"/>
        </w:rPr>
        <w:t xml:space="preserve">.2  </w:t>
      </w:r>
      <w:r>
        <w:rPr>
          <w:rFonts w:hint="eastAsia" w:ascii="宋体" w:hAnsi="宋体"/>
          <w:color w:val="auto"/>
          <w:sz w:val="22"/>
        </w:rPr>
        <w:t>排名第一的成交候选供应商放弃成交；或因不可抗力提出不能履行合同；或未能在规定时间内与采购人签订合同的；或经质疑，采购组织机构审查确因排名第一的候选供应商在本次采购活动中存在违法违规行为或其他原因使质疑成立的，采购人可以直接确定排名第二的候选供应商为成交供应商，以此类推至第三名。</w:t>
      </w:r>
    </w:p>
    <w:p w14:paraId="6D01B7FC">
      <w:pPr>
        <w:spacing w:line="440" w:lineRule="exact"/>
        <w:ind w:left="550" w:hanging="550" w:hangingChars="250"/>
        <w:rPr>
          <w:rFonts w:hint="eastAsia" w:ascii="宋体" w:hAnsi="宋体"/>
          <w:color w:val="auto"/>
          <w:sz w:val="22"/>
          <w:szCs w:val="22"/>
        </w:rPr>
      </w:pPr>
      <w:r>
        <w:rPr>
          <w:rFonts w:hint="eastAsia" w:ascii="宋体" w:hAnsi="宋体"/>
          <w:color w:val="auto"/>
          <w:sz w:val="22"/>
        </w:rPr>
        <w:t xml:space="preserve">9.  </w:t>
      </w:r>
      <w:r>
        <w:rPr>
          <w:rFonts w:hint="eastAsia" w:ascii="宋体" w:hAnsi="宋体"/>
          <w:b/>
          <w:bCs/>
          <w:color w:val="auto"/>
          <w:sz w:val="22"/>
          <w:szCs w:val="22"/>
        </w:rPr>
        <w:t>其他未尽事宜遵循相关法律法规及规范性文件执行。</w:t>
      </w:r>
    </w:p>
    <w:p w14:paraId="0D4903E0">
      <w:pPr>
        <w:pStyle w:val="3"/>
        <w:spacing w:line="480" w:lineRule="exact"/>
        <w:jc w:val="center"/>
        <w:rPr>
          <w:rFonts w:hint="eastAsia"/>
          <w:color w:val="auto"/>
          <w:sz w:val="28"/>
          <w:szCs w:val="28"/>
        </w:rPr>
      </w:pPr>
      <w:bookmarkStart w:id="22" w:name="_Toc26929"/>
      <w:bookmarkStart w:id="23" w:name="_Toc6916"/>
      <w:r>
        <w:rPr>
          <w:rFonts w:hint="eastAsia"/>
          <w:color w:val="auto"/>
          <w:sz w:val="28"/>
          <w:szCs w:val="28"/>
        </w:rPr>
        <w:t>六、 授予合同</w:t>
      </w:r>
      <w:bookmarkEnd w:id="22"/>
      <w:bookmarkEnd w:id="23"/>
    </w:p>
    <w:p w14:paraId="30DF1979">
      <w:pPr>
        <w:tabs>
          <w:tab w:val="left" w:pos="1365"/>
        </w:tabs>
        <w:spacing w:line="440" w:lineRule="exact"/>
        <w:ind w:left="552" w:hanging="552" w:hangingChars="250"/>
        <w:rPr>
          <w:rFonts w:hint="eastAsia" w:ascii="宋体" w:hAnsi="宋体" w:cs="宋体"/>
          <w:b/>
          <w:color w:val="auto"/>
          <w:sz w:val="22"/>
          <w:szCs w:val="22"/>
        </w:rPr>
      </w:pPr>
      <w:r>
        <w:rPr>
          <w:rFonts w:hint="eastAsia" w:ascii="宋体" w:hAnsi="宋体" w:cs="宋体"/>
          <w:b/>
          <w:color w:val="auto"/>
          <w:sz w:val="22"/>
          <w:szCs w:val="22"/>
        </w:rPr>
        <w:t>1.   确定成交供应商</w:t>
      </w:r>
    </w:p>
    <w:p w14:paraId="70B1C2A8">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1.1  采购代理机构应当在评审结束后2个工作日内将评审报告送采购人。</w:t>
      </w:r>
    </w:p>
    <w:p w14:paraId="7E5037DB">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1.2  采购人应当自收到评评审告之日起5个工作日内，从评审报告提出的成交候选供应商中，按照排序由高到低的原则确定的成交供应商，也可以书面授权磋商小组直接确定成交供应商。采购人逾期未确定成交供应商且不提出异议的，视为确定评审报告提出的排序第一的供应商为成交供应商。</w:t>
      </w:r>
    </w:p>
    <w:p w14:paraId="475111B1">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1.3  成交候选供应商并列的，由采购人采取随机抽取的方式确定。</w:t>
      </w:r>
    </w:p>
    <w:p w14:paraId="1FE62986">
      <w:pPr>
        <w:spacing w:line="440" w:lineRule="exact"/>
        <w:rPr>
          <w:rFonts w:hint="eastAsia"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成交公告</w:t>
      </w:r>
    </w:p>
    <w:p w14:paraId="618DDF46">
      <w:pPr>
        <w:spacing w:line="440" w:lineRule="exact"/>
        <w:ind w:left="550" w:hanging="550" w:hangingChars="250"/>
        <w:rPr>
          <w:rFonts w:hint="eastAsia" w:ascii="宋体" w:hAnsi="宋体" w:cs="宋体"/>
          <w:b/>
          <w:bCs/>
          <w:color w:val="auto"/>
          <w:sz w:val="22"/>
          <w:szCs w:val="22"/>
        </w:rPr>
      </w:pPr>
      <w:r>
        <w:rPr>
          <w:rFonts w:hint="eastAsia" w:ascii="宋体" w:hAnsi="宋体" w:cs="宋体"/>
          <w:bCs/>
          <w:color w:val="auto"/>
          <w:sz w:val="22"/>
          <w:szCs w:val="22"/>
        </w:rPr>
        <w:t>2.1  采购人或者采购代理机构应当自成交供应商确定之日起2个工作日内，在省级以上财政部门指定的媒体上公告成交结果，磋商文件应当随成交结果同时公告。</w:t>
      </w:r>
    </w:p>
    <w:p w14:paraId="5F6014BB">
      <w:pPr>
        <w:spacing w:line="440" w:lineRule="exact"/>
        <w:rPr>
          <w:rFonts w:hint="eastAsia" w:ascii="宋体" w:hAnsi="宋体" w:cs="宋体"/>
          <w:bCs/>
          <w:color w:val="auto"/>
          <w:sz w:val="22"/>
          <w:szCs w:val="22"/>
        </w:rPr>
      </w:pPr>
      <w:r>
        <w:rPr>
          <w:rFonts w:hint="eastAsia" w:ascii="宋体" w:hAnsi="宋体" w:cs="宋体"/>
          <w:b/>
          <w:bCs/>
          <w:color w:val="auto"/>
          <w:sz w:val="22"/>
          <w:szCs w:val="22"/>
        </w:rPr>
        <w:t xml:space="preserve">3． </w:t>
      </w:r>
      <w:r>
        <w:rPr>
          <w:rFonts w:hint="eastAsia" w:ascii="宋体" w:hAnsi="宋体" w:cs="宋体"/>
          <w:bCs/>
          <w:color w:val="auto"/>
          <w:sz w:val="22"/>
          <w:szCs w:val="22"/>
        </w:rPr>
        <w:t xml:space="preserve"> </w:t>
      </w:r>
      <w:r>
        <w:rPr>
          <w:rFonts w:hint="eastAsia" w:ascii="宋体" w:hAnsi="宋体" w:cs="宋体"/>
          <w:b/>
          <w:bCs/>
          <w:color w:val="auto"/>
          <w:sz w:val="22"/>
          <w:szCs w:val="22"/>
        </w:rPr>
        <w:t>成交通知书</w:t>
      </w:r>
    </w:p>
    <w:p w14:paraId="07946B17">
      <w:pPr>
        <w:spacing w:line="440" w:lineRule="exact"/>
        <w:rPr>
          <w:rFonts w:hint="eastAsia" w:ascii="宋体" w:hAnsi="宋体" w:cs="宋体"/>
          <w:bCs/>
          <w:color w:val="auto"/>
          <w:sz w:val="22"/>
          <w:szCs w:val="22"/>
        </w:rPr>
      </w:pPr>
      <w:r>
        <w:rPr>
          <w:rFonts w:hint="eastAsia" w:ascii="宋体" w:hAnsi="宋体" w:cs="宋体"/>
          <w:b/>
          <w:bCs/>
          <w:color w:val="auto"/>
          <w:sz w:val="22"/>
          <w:szCs w:val="22"/>
        </w:rPr>
        <w:t xml:space="preserve">3.1  </w:t>
      </w:r>
      <w:r>
        <w:rPr>
          <w:rFonts w:hint="eastAsia" w:ascii="宋体" w:hAnsi="宋体" w:cs="宋体"/>
          <w:color w:val="auto"/>
          <w:sz w:val="22"/>
          <w:szCs w:val="22"/>
        </w:rPr>
        <w:t>在发布成交公告的同时向成交供应商发出成交通知书。</w:t>
      </w:r>
    </w:p>
    <w:p w14:paraId="58AA1881">
      <w:pPr>
        <w:spacing w:line="440" w:lineRule="exact"/>
        <w:rPr>
          <w:rFonts w:hint="eastAsia" w:ascii="宋体" w:hAnsi="宋体" w:cs="宋体"/>
          <w:bCs/>
          <w:color w:val="auto"/>
          <w:sz w:val="22"/>
          <w:szCs w:val="22"/>
        </w:rPr>
      </w:pPr>
      <w:r>
        <w:rPr>
          <w:rFonts w:hint="eastAsia" w:ascii="宋体" w:hAnsi="宋体" w:cs="宋体"/>
          <w:b/>
          <w:bCs/>
          <w:color w:val="auto"/>
          <w:sz w:val="22"/>
          <w:szCs w:val="22"/>
        </w:rPr>
        <w:t xml:space="preserve">3.2  </w:t>
      </w:r>
      <w:r>
        <w:rPr>
          <w:rFonts w:hint="eastAsia" w:ascii="宋体" w:hAnsi="宋体" w:cs="宋体"/>
          <w:color w:val="auto"/>
          <w:sz w:val="22"/>
          <w:szCs w:val="22"/>
        </w:rPr>
        <w:t>成交通知书是合同的一个组成部分,对采购人和成交供应商均具有同等法律效力。</w:t>
      </w:r>
    </w:p>
    <w:p w14:paraId="573D161F">
      <w:pPr>
        <w:spacing w:line="440" w:lineRule="exact"/>
        <w:rPr>
          <w:rFonts w:hint="eastAsia" w:ascii="宋体" w:hAnsi="宋体" w:cs="宋体"/>
          <w:b/>
          <w:bCs/>
          <w:color w:val="auto"/>
          <w:sz w:val="22"/>
          <w:szCs w:val="22"/>
        </w:rPr>
      </w:pPr>
      <w:r>
        <w:rPr>
          <w:rFonts w:hint="eastAsia" w:ascii="宋体" w:hAnsi="宋体" w:cs="宋体"/>
          <w:b/>
          <w:bCs/>
          <w:color w:val="auto"/>
          <w:sz w:val="22"/>
          <w:szCs w:val="22"/>
        </w:rPr>
        <w:t>4．  签订合同</w:t>
      </w:r>
    </w:p>
    <w:p w14:paraId="107699B8">
      <w:pPr>
        <w:spacing w:line="440" w:lineRule="exact"/>
        <w:ind w:left="550" w:hanging="550" w:hangingChars="250"/>
        <w:rPr>
          <w:rFonts w:hint="eastAsia" w:ascii="宋体" w:hAnsi="宋体" w:cs="宋体"/>
          <w:bCs/>
          <w:color w:val="auto"/>
          <w:sz w:val="22"/>
          <w:szCs w:val="22"/>
        </w:rPr>
      </w:pPr>
      <w:r>
        <w:rPr>
          <w:rFonts w:hint="eastAsia" w:ascii="宋体" w:hAnsi="宋体" w:cs="宋体"/>
          <w:bCs/>
          <w:color w:val="auto"/>
          <w:sz w:val="22"/>
          <w:szCs w:val="22"/>
        </w:rPr>
        <w:t>4.1  成交供应商应按成交通知书规定的时间、地点以及其他内容与采购人签订合同，同时提交履约保证金。</w:t>
      </w:r>
    </w:p>
    <w:p w14:paraId="23E0BE10">
      <w:pPr>
        <w:spacing w:line="440" w:lineRule="exact"/>
        <w:ind w:left="550" w:hanging="550" w:hangingChars="250"/>
        <w:rPr>
          <w:rFonts w:hint="eastAsia"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b/>
          <w:color w:val="auto"/>
          <w:spacing w:val="6"/>
          <w:sz w:val="22"/>
          <w:szCs w:val="22"/>
        </w:rPr>
        <w:t>在签订合同前，采购人有权在成交总价不变的前提下要求成交供应商对商务报价中的不平衡报价和缺漏项进行调整，如果成交供应商无合理理由拒绝调整，其成交资格将被取消，且将导致其它进一步的赔偿和处罚。</w:t>
      </w:r>
    </w:p>
    <w:p w14:paraId="13B6BDFA">
      <w:pPr>
        <w:spacing w:line="440" w:lineRule="exact"/>
        <w:ind w:left="550" w:hanging="550" w:hangingChars="250"/>
        <w:rPr>
          <w:rFonts w:hint="eastAsia" w:ascii="宋体" w:hAnsi="宋体" w:cs="宋体"/>
          <w:bCs/>
          <w:color w:val="auto"/>
          <w:sz w:val="22"/>
          <w:szCs w:val="22"/>
        </w:rPr>
      </w:pPr>
      <w:r>
        <w:rPr>
          <w:rFonts w:hint="eastAsia" w:ascii="宋体" w:hAnsi="宋体" w:cs="宋体"/>
          <w:color w:val="auto"/>
          <w:sz w:val="22"/>
          <w:szCs w:val="22"/>
        </w:rPr>
        <w:t>4.3  竞争性磋商文件、成交供应商的响应文件、响应修改文件、评审过程中有关澄清文件及经磋商供应商和磋商小组双方签字的磋商纪要和成交通知书均作为合同附件。</w:t>
      </w:r>
    </w:p>
    <w:p w14:paraId="030102C6">
      <w:pPr>
        <w:spacing w:line="440" w:lineRule="exact"/>
        <w:ind w:left="550" w:hanging="550" w:hangingChars="250"/>
        <w:rPr>
          <w:rFonts w:hint="eastAsia" w:ascii="宋体" w:hAnsi="宋体" w:cs="宋体"/>
          <w:bCs/>
          <w:color w:val="auto"/>
          <w:sz w:val="22"/>
          <w:szCs w:val="22"/>
        </w:rPr>
      </w:pPr>
      <w:r>
        <w:rPr>
          <w:rFonts w:hint="eastAsia" w:ascii="宋体" w:hAnsi="宋体" w:cs="宋体"/>
          <w:color w:val="auto"/>
          <w:sz w:val="22"/>
          <w:szCs w:val="22"/>
        </w:rPr>
        <w:t>4.4  拒签合同的违约责任</w:t>
      </w:r>
    </w:p>
    <w:p w14:paraId="0081CC0E">
      <w:pPr>
        <w:spacing w:line="440" w:lineRule="exact"/>
        <w:ind w:left="565" w:leftChars="269"/>
        <w:rPr>
          <w:rFonts w:hint="eastAsia" w:ascii="宋体" w:hAnsi="宋体" w:cs="宋体"/>
          <w:b/>
          <w:color w:val="auto"/>
          <w:spacing w:val="6"/>
          <w:sz w:val="22"/>
          <w:szCs w:val="22"/>
        </w:rPr>
      </w:pPr>
      <w:r>
        <w:rPr>
          <w:rFonts w:hint="eastAsia" w:ascii="宋体" w:hAnsi="宋体" w:cs="宋体"/>
          <w:b/>
          <w:color w:val="auto"/>
          <w:spacing w:val="6"/>
          <w:sz w:val="22"/>
          <w:szCs w:val="22"/>
        </w:rPr>
        <w:t>成交供应商接到成交通知书后，在规定时间内借故否认已经承诺的条件而拒签合同的，报采购监管部门处理。</w:t>
      </w:r>
    </w:p>
    <w:p w14:paraId="5D0479DB">
      <w:pPr>
        <w:spacing w:line="440" w:lineRule="exact"/>
        <w:ind w:left="571" w:hanging="571" w:hangingChars="245"/>
        <w:rPr>
          <w:rFonts w:hint="eastAsia" w:ascii="宋体" w:hAnsi="宋体" w:cs="宋体"/>
          <w:b/>
          <w:color w:val="auto"/>
          <w:spacing w:val="6"/>
          <w:sz w:val="22"/>
          <w:szCs w:val="22"/>
          <w:highlight w:val="none"/>
        </w:rPr>
      </w:pPr>
      <w:r>
        <w:rPr>
          <w:rFonts w:hint="eastAsia" w:ascii="宋体" w:hAnsi="宋体" w:cs="宋体"/>
          <w:b/>
          <w:color w:val="auto"/>
          <w:spacing w:val="6"/>
          <w:sz w:val="22"/>
          <w:szCs w:val="22"/>
        </w:rPr>
        <w:t>4.5  合同一式五</w:t>
      </w:r>
      <w:r>
        <w:rPr>
          <w:rFonts w:hint="eastAsia" w:ascii="宋体" w:hAnsi="宋体" w:cs="宋体"/>
          <w:b/>
          <w:color w:val="auto"/>
          <w:spacing w:val="6"/>
          <w:sz w:val="22"/>
          <w:szCs w:val="22"/>
          <w:highlight w:val="none"/>
        </w:rPr>
        <w:t>份，其中采购人二份，成交供应商二份，采购代理机构备案一份。成交供应商在采购合同签订后应及时提交壹份交采购代理机构备案，</w:t>
      </w:r>
      <w:r>
        <w:rPr>
          <w:rFonts w:hint="eastAsia" w:ascii="宋体" w:hAnsi="宋体" w:cs="宋体"/>
          <w:b/>
          <w:color w:val="auto"/>
          <w:spacing w:val="6"/>
          <w:sz w:val="22"/>
          <w:szCs w:val="22"/>
          <w:highlight w:val="none"/>
          <w:u w:val="single"/>
          <w:shd w:val="pct10" w:color="auto" w:fill="FFFFFF"/>
        </w:rPr>
        <w:t>同时提交贰份纸质磋商响应文件（正本壹份，副本壹份）供采购人备案用。</w:t>
      </w:r>
    </w:p>
    <w:p w14:paraId="39286E47">
      <w:pPr>
        <w:spacing w:line="44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5.   合同履行时更改采购数量的权利</w:t>
      </w:r>
    </w:p>
    <w:p w14:paraId="47C19042">
      <w:pPr>
        <w:spacing w:line="440" w:lineRule="exact"/>
        <w:ind w:left="571" w:hanging="571" w:hangingChars="245"/>
        <w:rPr>
          <w:rFonts w:hint="eastAsia" w:ascii="宋体" w:hAnsi="宋体" w:cs="宋体"/>
          <w:b/>
          <w:color w:val="auto"/>
          <w:spacing w:val="6"/>
          <w:sz w:val="22"/>
          <w:szCs w:val="22"/>
        </w:rPr>
      </w:pPr>
      <w:r>
        <w:rPr>
          <w:rFonts w:hint="eastAsia" w:ascii="宋体" w:hAnsi="宋体" w:cs="宋体"/>
          <w:b/>
          <w:color w:val="auto"/>
          <w:spacing w:val="6"/>
          <w:sz w:val="22"/>
          <w:szCs w:val="22"/>
        </w:rPr>
        <w:t>5.1  在合同履行中，采购人需追加与合同标的相同的货物、工程或者服务的，在不改变合同其他条款的前提下，可以与供应商协商签订补充合同，但所有补充合同的采购金额不得超过原采购合同金额的百分之十。</w:t>
      </w:r>
    </w:p>
    <w:p w14:paraId="79611D4A">
      <w:pPr>
        <w:spacing w:line="440" w:lineRule="exact"/>
        <w:ind w:left="21" w:leftChars="10"/>
        <w:rPr>
          <w:rFonts w:hint="eastAsia" w:ascii="宋体" w:hAnsi="宋体"/>
          <w:b/>
          <w:bCs/>
          <w:color w:val="auto"/>
          <w:sz w:val="22"/>
          <w:szCs w:val="22"/>
        </w:rPr>
      </w:pPr>
      <w:r>
        <w:rPr>
          <w:rFonts w:ascii="宋体" w:hAnsi="宋体"/>
          <w:b/>
          <w:bCs/>
          <w:color w:val="auto"/>
          <w:sz w:val="22"/>
          <w:szCs w:val="22"/>
        </w:rPr>
        <w:t>6</w:t>
      </w:r>
      <w:r>
        <w:rPr>
          <w:rFonts w:hint="eastAsia" w:ascii="宋体" w:hAnsi="宋体"/>
          <w:b/>
          <w:bCs/>
          <w:color w:val="auto"/>
          <w:sz w:val="22"/>
          <w:szCs w:val="22"/>
        </w:rPr>
        <w:t>．  履约保证金</w:t>
      </w:r>
    </w:p>
    <w:p w14:paraId="517C69EC">
      <w:pPr>
        <w:spacing w:line="440" w:lineRule="exact"/>
        <w:ind w:left="571" w:leftChars="10" w:hanging="550" w:hangingChars="250"/>
        <w:rPr>
          <w:rFonts w:hint="eastAsia" w:ascii="宋体" w:hAnsi="宋体"/>
          <w:color w:val="auto"/>
          <w:sz w:val="22"/>
          <w:szCs w:val="22"/>
        </w:rPr>
      </w:pPr>
      <w:r>
        <w:rPr>
          <w:rFonts w:ascii="宋体" w:hAnsi="宋体"/>
          <w:color w:val="auto"/>
          <w:sz w:val="22"/>
          <w:szCs w:val="22"/>
        </w:rPr>
        <w:t>6</w:t>
      </w:r>
      <w:r>
        <w:rPr>
          <w:rFonts w:hint="eastAsia" w:ascii="宋体" w:hAnsi="宋体"/>
          <w:color w:val="auto"/>
          <w:sz w:val="22"/>
          <w:szCs w:val="22"/>
        </w:rPr>
        <w:t xml:space="preserve">.1  </w:t>
      </w:r>
      <w:r>
        <w:rPr>
          <w:rFonts w:hint="eastAsia" w:ascii="宋体" w:hAnsi="宋体" w:cs="宋体"/>
          <w:color w:val="auto"/>
          <w:sz w:val="22"/>
          <w:szCs w:val="22"/>
        </w:rPr>
        <w:t>成交供应商在收到成交通知书并合同签订后</w:t>
      </w:r>
      <w:r>
        <w:rPr>
          <w:rFonts w:hint="eastAsia" w:ascii="宋体" w:hAnsi="宋体" w:cs="宋体"/>
          <w:color w:val="auto"/>
          <w:sz w:val="22"/>
          <w:szCs w:val="22"/>
          <w:lang w:val="en-US" w:eastAsia="zh-CN"/>
        </w:rPr>
        <w:t>5</w:t>
      </w:r>
      <w:r>
        <w:rPr>
          <w:rFonts w:hint="eastAsia" w:ascii="宋体" w:hAnsi="宋体" w:cs="宋体"/>
          <w:color w:val="auto"/>
          <w:sz w:val="22"/>
          <w:szCs w:val="22"/>
        </w:rPr>
        <w:t>个工作日内，成交供应商须向采购人提交履约保证</w:t>
      </w:r>
      <w:r>
        <w:rPr>
          <w:rFonts w:hint="eastAsia" w:ascii="宋体" w:hAnsi="宋体"/>
          <w:color w:val="auto"/>
          <w:sz w:val="22"/>
          <w:szCs w:val="22"/>
        </w:rPr>
        <w:t xml:space="preserve">。 </w:t>
      </w:r>
    </w:p>
    <w:p w14:paraId="5B5AC762">
      <w:pPr>
        <w:spacing w:line="440" w:lineRule="exact"/>
        <w:ind w:left="571" w:leftChars="10" w:hanging="550" w:hangingChars="250"/>
        <w:rPr>
          <w:rFonts w:hint="eastAsia" w:ascii="宋体" w:hAnsi="宋体" w:cs="宋体"/>
          <w:color w:val="auto"/>
          <w:sz w:val="22"/>
          <w:szCs w:val="22"/>
        </w:rPr>
      </w:pPr>
      <w:r>
        <w:rPr>
          <w:rFonts w:ascii="宋体" w:hAnsi="宋体" w:cs="宋体"/>
          <w:color w:val="auto"/>
          <w:sz w:val="22"/>
          <w:szCs w:val="22"/>
        </w:rPr>
        <w:t>6</w:t>
      </w:r>
      <w:r>
        <w:rPr>
          <w:rFonts w:hint="eastAsia" w:ascii="宋体" w:hAnsi="宋体" w:cs="宋体"/>
          <w:color w:val="auto"/>
          <w:sz w:val="22"/>
          <w:szCs w:val="22"/>
        </w:rPr>
        <w:t xml:space="preserve">.2  </w:t>
      </w:r>
      <w:r>
        <w:rPr>
          <w:rFonts w:hint="eastAsia" w:ascii="宋体" w:hAnsi="宋体"/>
          <w:color w:val="auto"/>
          <w:sz w:val="22"/>
          <w:szCs w:val="22"/>
        </w:rPr>
        <w:t>履约保证金</w:t>
      </w:r>
      <w:r>
        <w:rPr>
          <w:rFonts w:hint="eastAsia" w:ascii="宋体" w:hAnsi="宋体"/>
          <w:bCs/>
          <w:color w:val="auto"/>
          <w:sz w:val="22"/>
          <w:szCs w:val="22"/>
        </w:rPr>
        <w:t>用于补偿</w:t>
      </w:r>
      <w:r>
        <w:rPr>
          <w:rFonts w:hint="eastAsia" w:ascii="宋体" w:hAnsi="宋体"/>
          <w:color w:val="auto"/>
          <w:sz w:val="22"/>
          <w:szCs w:val="22"/>
        </w:rPr>
        <w:t>采购人</w:t>
      </w:r>
      <w:r>
        <w:rPr>
          <w:rFonts w:hint="eastAsia" w:ascii="宋体" w:hAnsi="宋体"/>
          <w:bCs/>
          <w:color w:val="auto"/>
          <w:sz w:val="22"/>
          <w:szCs w:val="22"/>
        </w:rPr>
        <w:t>因</w:t>
      </w:r>
      <w:r>
        <w:rPr>
          <w:rFonts w:hint="eastAsia" w:ascii="宋体" w:hAnsi="宋体"/>
          <w:color w:val="auto"/>
          <w:sz w:val="22"/>
          <w:szCs w:val="22"/>
        </w:rPr>
        <w:t>成交供应商</w:t>
      </w:r>
      <w:r>
        <w:rPr>
          <w:rFonts w:hint="eastAsia" w:ascii="宋体" w:hAnsi="宋体"/>
          <w:bCs/>
          <w:color w:val="auto"/>
          <w:sz w:val="22"/>
          <w:szCs w:val="22"/>
        </w:rPr>
        <w:t>不能完成其合同义务而蒙受的损失。</w:t>
      </w:r>
      <w:r>
        <w:rPr>
          <w:rFonts w:hint="eastAsia" w:ascii="宋体" w:hAnsi="宋体" w:cs="宋体"/>
          <w:color w:val="auto"/>
          <w:sz w:val="22"/>
          <w:szCs w:val="22"/>
        </w:rPr>
        <w:t>其中，成交供应商施工项目班子承诺的三大员到位履约担保占成交供应商履约保证金总额的30%，工程</w:t>
      </w:r>
      <w:r>
        <w:rPr>
          <w:rFonts w:hint="eastAsia" w:ascii="宋体" w:hAnsi="宋体" w:cs="宋体"/>
          <w:color w:val="auto"/>
          <w:spacing w:val="-4"/>
          <w:sz w:val="22"/>
          <w:szCs w:val="22"/>
        </w:rPr>
        <w:t>质量履约担保占成交供应商履约保证金的30%，工程工期履约担保占成交供应商履约保证金的30</w:t>
      </w:r>
      <w:r>
        <w:rPr>
          <w:rFonts w:hint="eastAsia" w:ascii="宋体" w:hAnsi="宋体" w:cs="宋体"/>
          <w:color w:val="auto"/>
          <w:sz w:val="22"/>
          <w:szCs w:val="22"/>
        </w:rPr>
        <w:t>%，工程安全文明施工履约担保占成交供应商履约保证金的10％。</w:t>
      </w:r>
    </w:p>
    <w:p w14:paraId="6F187F69">
      <w:pPr>
        <w:spacing w:line="440" w:lineRule="exact"/>
        <w:ind w:left="550" w:hanging="550" w:hangingChars="250"/>
        <w:rPr>
          <w:rFonts w:hint="eastAsia" w:ascii="宋体" w:hAnsi="宋体"/>
          <w:color w:val="auto"/>
          <w:sz w:val="22"/>
          <w:szCs w:val="22"/>
        </w:rPr>
      </w:pPr>
      <w:r>
        <w:rPr>
          <w:rFonts w:ascii="宋体" w:hAnsi="宋体"/>
          <w:color w:val="auto"/>
          <w:sz w:val="22"/>
          <w:szCs w:val="22"/>
        </w:rPr>
        <w:t>6</w:t>
      </w:r>
      <w:r>
        <w:rPr>
          <w:rFonts w:hint="eastAsia" w:ascii="宋体" w:hAnsi="宋体"/>
          <w:color w:val="auto"/>
          <w:sz w:val="22"/>
          <w:szCs w:val="22"/>
        </w:rPr>
        <w:t>.3  履约保证金自合同签订之日起至工程完成并通过最终验收之日止有效。有效期满后，采购人及时将履约保证金无息退还给成交供应商。</w:t>
      </w:r>
    </w:p>
    <w:p w14:paraId="5F7592E6">
      <w:pPr>
        <w:spacing w:line="440" w:lineRule="exact"/>
        <w:ind w:left="571" w:leftChars="10" w:hanging="550" w:hangingChars="250"/>
        <w:rPr>
          <w:rFonts w:hint="eastAsia" w:ascii="宋体" w:hAnsi="宋体"/>
          <w:color w:val="auto"/>
          <w:sz w:val="22"/>
          <w:szCs w:val="22"/>
        </w:rPr>
      </w:pPr>
      <w:r>
        <w:rPr>
          <w:rFonts w:ascii="宋体" w:hAnsi="宋体"/>
          <w:color w:val="auto"/>
          <w:sz w:val="22"/>
          <w:szCs w:val="22"/>
        </w:rPr>
        <w:t>6</w:t>
      </w:r>
      <w:r>
        <w:rPr>
          <w:rFonts w:hint="eastAsia" w:ascii="宋体" w:hAnsi="宋体"/>
          <w:color w:val="auto"/>
          <w:sz w:val="22"/>
          <w:szCs w:val="22"/>
        </w:rPr>
        <w:t>.4  工程质量保修及担保金：本工程质量保修期规定为本招标工程竣工验收通过之日起两年，到期无问题即退还（不计息）。</w:t>
      </w:r>
    </w:p>
    <w:p w14:paraId="39B1256F">
      <w:pPr>
        <w:pStyle w:val="3"/>
        <w:spacing w:line="480" w:lineRule="exact"/>
        <w:jc w:val="center"/>
        <w:rPr>
          <w:rFonts w:hint="eastAsia"/>
          <w:color w:val="auto"/>
          <w:sz w:val="28"/>
          <w:szCs w:val="28"/>
        </w:rPr>
      </w:pPr>
      <w:bookmarkStart w:id="24" w:name="_Toc30075"/>
      <w:bookmarkStart w:id="25" w:name="_Toc3774"/>
      <w:r>
        <w:rPr>
          <w:rFonts w:hint="eastAsia"/>
          <w:color w:val="auto"/>
          <w:sz w:val="28"/>
          <w:szCs w:val="28"/>
        </w:rPr>
        <w:t>七、 其他注意事项</w:t>
      </w:r>
      <w:bookmarkEnd w:id="24"/>
      <w:bookmarkEnd w:id="25"/>
    </w:p>
    <w:p w14:paraId="64235213">
      <w:pPr>
        <w:pStyle w:val="20"/>
        <w:spacing w:line="440" w:lineRule="exact"/>
        <w:ind w:left="550" w:hanging="550" w:hangingChars="250"/>
        <w:rPr>
          <w:rFonts w:hint="eastAsia" w:hAnsi="宋体" w:cs="宋体"/>
          <w:color w:val="auto"/>
          <w:sz w:val="22"/>
          <w:szCs w:val="22"/>
        </w:rPr>
      </w:pPr>
      <w:r>
        <w:rPr>
          <w:rFonts w:hint="eastAsia" w:hAnsi="宋体" w:cs="宋体"/>
          <w:color w:val="auto"/>
          <w:sz w:val="22"/>
          <w:szCs w:val="22"/>
        </w:rPr>
        <w:t>1.   所有工程量的增或减而导致的工程价款的按磋商文件规定而产生的增或减均留至本招标工程竣工结算审计时计取。</w:t>
      </w:r>
    </w:p>
    <w:p w14:paraId="2ACFAB37">
      <w:pPr>
        <w:pStyle w:val="20"/>
        <w:spacing w:line="440" w:lineRule="exact"/>
        <w:ind w:left="550" w:hanging="550" w:hangingChars="250"/>
        <w:rPr>
          <w:rFonts w:hint="eastAsia" w:hAnsi="宋体" w:cs="宋体"/>
          <w:color w:val="auto"/>
          <w:sz w:val="22"/>
          <w:szCs w:val="22"/>
        </w:rPr>
      </w:pPr>
      <w:r>
        <w:rPr>
          <w:rFonts w:hint="eastAsia" w:hAnsi="宋体" w:cs="宋体"/>
          <w:color w:val="auto"/>
          <w:sz w:val="22"/>
          <w:szCs w:val="22"/>
        </w:rPr>
        <w:t>2.   本招标工程的竣工审计将在工程竣工及按本招标书及合同规定标准通过验收后30天内由成交供应商提交工程竣工结算资料并交采购单位认可的审计单位进行审计，并按其审定结果办理工程结算手续。</w:t>
      </w:r>
    </w:p>
    <w:p w14:paraId="7E1AF727">
      <w:pPr>
        <w:pStyle w:val="20"/>
        <w:spacing w:line="440" w:lineRule="exact"/>
        <w:ind w:left="220" w:hanging="220" w:hangingChars="100"/>
        <w:rPr>
          <w:rFonts w:hint="eastAsia" w:hAnsi="宋体" w:cs="宋体"/>
          <w:color w:val="auto"/>
          <w:sz w:val="22"/>
          <w:szCs w:val="22"/>
        </w:rPr>
      </w:pPr>
      <w:r>
        <w:rPr>
          <w:rFonts w:hint="eastAsia" w:hAnsi="宋体" w:cs="宋体"/>
          <w:color w:val="auto"/>
          <w:sz w:val="22"/>
          <w:szCs w:val="22"/>
        </w:rPr>
        <w:t>3.   质量等级：</w:t>
      </w:r>
      <w:r>
        <w:rPr>
          <w:rFonts w:hint="eastAsia" w:ascii="宋体" w:hAnsi="宋体"/>
          <w:b/>
          <w:bCs/>
          <w:color w:val="auto"/>
          <w:sz w:val="22"/>
          <w:szCs w:val="22"/>
          <w:u w:val="single"/>
          <w:lang w:val="en-US" w:eastAsia="zh-CN"/>
        </w:rPr>
        <w:t>供电部门验收</w:t>
      </w:r>
      <w:r>
        <w:rPr>
          <w:rFonts w:hint="eastAsia" w:ascii="宋体" w:hAnsi="宋体"/>
          <w:b/>
          <w:bCs/>
          <w:color w:val="auto"/>
          <w:sz w:val="22"/>
          <w:szCs w:val="22"/>
          <w:u w:val="single"/>
        </w:rPr>
        <w:t>合格</w:t>
      </w:r>
      <w:r>
        <w:rPr>
          <w:rFonts w:hint="eastAsia" w:ascii="宋体" w:hAnsi="宋体"/>
          <w:b/>
          <w:bCs/>
          <w:color w:val="auto"/>
          <w:sz w:val="22"/>
          <w:szCs w:val="22"/>
          <w:u w:val="single"/>
          <w:lang w:val="en-US" w:eastAsia="zh-CN"/>
        </w:rPr>
        <w:t>并通电</w:t>
      </w:r>
      <w:r>
        <w:rPr>
          <w:rFonts w:hint="eastAsia" w:hAnsi="宋体" w:cs="宋体"/>
          <w:color w:val="auto"/>
          <w:sz w:val="22"/>
          <w:szCs w:val="22"/>
        </w:rPr>
        <w:t>。竣工验收时如果达不到合格标准，将被扣除质量担保。</w:t>
      </w:r>
    </w:p>
    <w:p w14:paraId="2EBC1E8C">
      <w:pPr>
        <w:pStyle w:val="20"/>
        <w:spacing w:line="440" w:lineRule="exact"/>
        <w:ind w:left="550" w:hanging="550" w:hangingChars="250"/>
        <w:rPr>
          <w:rFonts w:hint="eastAsia" w:hAnsi="宋体" w:cs="宋体"/>
          <w:color w:val="auto"/>
          <w:sz w:val="22"/>
          <w:szCs w:val="22"/>
        </w:rPr>
      </w:pPr>
      <w:r>
        <w:rPr>
          <w:rFonts w:hint="eastAsia" w:hAnsi="宋体" w:cs="宋体"/>
          <w:color w:val="auto"/>
          <w:sz w:val="22"/>
          <w:szCs w:val="22"/>
        </w:rPr>
        <w:t>4.   验收标准；执行</w:t>
      </w:r>
      <w:r>
        <w:rPr>
          <w:rFonts w:hint="eastAsia" w:hAnsi="宋体"/>
          <w:color w:val="auto"/>
          <w:sz w:val="22"/>
          <w:szCs w:val="22"/>
        </w:rPr>
        <w:t>《建筑工程施工与质量验收标准》</w:t>
      </w:r>
      <w:r>
        <w:rPr>
          <w:rFonts w:hint="eastAsia" w:hAnsi="宋体" w:cs="宋体"/>
          <w:color w:val="auto"/>
          <w:sz w:val="22"/>
          <w:szCs w:val="22"/>
        </w:rPr>
        <w:t>，竣工后严格以上述规范标准为依据，经有关部门检查验收，工程质量达到合格等级。</w:t>
      </w:r>
    </w:p>
    <w:p w14:paraId="054325A9">
      <w:pPr>
        <w:pStyle w:val="20"/>
        <w:spacing w:line="440" w:lineRule="exact"/>
        <w:ind w:left="220" w:hanging="220" w:hangingChars="100"/>
        <w:rPr>
          <w:rFonts w:hint="eastAsia" w:hAnsi="宋体" w:cs="宋体"/>
          <w:color w:val="auto"/>
          <w:sz w:val="22"/>
          <w:szCs w:val="22"/>
        </w:rPr>
      </w:pPr>
      <w:r>
        <w:rPr>
          <w:rFonts w:hint="eastAsia" w:hAnsi="宋体" w:cs="宋体"/>
          <w:color w:val="auto"/>
          <w:sz w:val="22"/>
          <w:szCs w:val="22"/>
        </w:rPr>
        <w:t>5.   工程总价：按合同价一次包定，除按磋商文件规定外不再调整。</w:t>
      </w:r>
    </w:p>
    <w:p w14:paraId="0CE5C46C">
      <w:pPr>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6.   采购人提供的技术文件，图纸及有关资料：</w:t>
      </w:r>
    </w:p>
    <w:p w14:paraId="02C5F2BC">
      <w:pPr>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6.1  磋商文件；</w:t>
      </w:r>
    </w:p>
    <w:p w14:paraId="2364EB8B">
      <w:pPr>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6.2  工程量清单；</w:t>
      </w:r>
    </w:p>
    <w:p w14:paraId="765C016B">
      <w:pPr>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6.3  图纸和技术资料；</w:t>
      </w:r>
    </w:p>
    <w:p w14:paraId="2A5AD4D0">
      <w:pPr>
        <w:spacing w:line="440" w:lineRule="exact"/>
        <w:rPr>
          <w:rFonts w:ascii="宋体" w:hAnsi="宋体" w:cs="宋体"/>
          <w:color w:val="auto"/>
          <w:kern w:val="0"/>
          <w:sz w:val="22"/>
          <w:szCs w:val="22"/>
        </w:rPr>
      </w:pPr>
      <w:r>
        <w:rPr>
          <w:rFonts w:hint="eastAsia" w:ascii="宋体" w:hAnsi="宋体" w:cs="宋体"/>
          <w:color w:val="auto"/>
          <w:kern w:val="0"/>
          <w:sz w:val="22"/>
          <w:szCs w:val="22"/>
        </w:rPr>
        <w:t xml:space="preserve">     工程量清单及图纸以书面形式发布的为准。</w:t>
      </w:r>
    </w:p>
    <w:p w14:paraId="389EF0A6">
      <w:pPr>
        <w:pStyle w:val="3"/>
        <w:spacing w:line="480" w:lineRule="exact"/>
        <w:jc w:val="center"/>
        <w:rPr>
          <w:rFonts w:hint="eastAsia"/>
          <w:color w:val="auto"/>
          <w:sz w:val="28"/>
          <w:szCs w:val="28"/>
        </w:rPr>
      </w:pPr>
      <w:bookmarkStart w:id="26" w:name="_Toc77410345"/>
      <w:bookmarkStart w:id="27" w:name="_Toc99389644"/>
      <w:bookmarkStart w:id="28" w:name="_Toc95395551"/>
      <w:bookmarkStart w:id="29" w:name="_Toc32702"/>
      <w:bookmarkStart w:id="30" w:name="_Toc12125"/>
      <w:bookmarkStart w:id="31" w:name="_Toc77407760"/>
      <w:bookmarkStart w:id="32" w:name="_Hlk99786429"/>
      <w:r>
        <w:rPr>
          <w:rFonts w:hint="eastAsia"/>
          <w:color w:val="auto"/>
          <w:sz w:val="28"/>
          <w:szCs w:val="28"/>
        </w:rPr>
        <w:t>八、 可中止电子交易活动的情形</w:t>
      </w:r>
      <w:bookmarkEnd w:id="26"/>
      <w:bookmarkEnd w:id="27"/>
      <w:bookmarkEnd w:id="28"/>
      <w:bookmarkEnd w:id="29"/>
      <w:bookmarkEnd w:id="30"/>
      <w:bookmarkEnd w:id="31"/>
    </w:p>
    <w:p w14:paraId="20074BB6">
      <w:pPr>
        <w:tabs>
          <w:tab w:val="left" w:pos="1365"/>
        </w:tabs>
        <w:spacing w:line="440" w:lineRule="exact"/>
        <w:ind w:firstLine="440" w:firstLineChars="200"/>
        <w:rPr>
          <w:rFonts w:hint="eastAsia" w:ascii="宋体" w:hAnsi="宋体" w:cs="宋体"/>
          <w:color w:val="auto"/>
          <w:sz w:val="22"/>
        </w:rPr>
      </w:pPr>
      <w:r>
        <w:rPr>
          <w:rFonts w:hint="eastAsia" w:ascii="宋体" w:hAnsi="宋体" w:cs="宋体"/>
          <w:color w:val="auto"/>
          <w:sz w:val="22"/>
        </w:rPr>
        <w:t>采购过程中出现以下情形，导致电子交易平台无法正常运行，或者无法保证电子交易的公平、公正和安全时，采购代理机构可中止电子交易活动：</w:t>
      </w:r>
    </w:p>
    <w:p w14:paraId="5FB2D205">
      <w:pPr>
        <w:tabs>
          <w:tab w:val="left" w:pos="1365"/>
        </w:tabs>
        <w:spacing w:line="440" w:lineRule="exact"/>
        <w:ind w:left="550" w:hanging="550" w:hangingChars="250"/>
        <w:rPr>
          <w:rFonts w:hint="eastAsia" w:ascii="宋体" w:hAnsi="宋体" w:cs="宋体"/>
          <w:color w:val="auto"/>
          <w:sz w:val="22"/>
        </w:rPr>
      </w:pPr>
      <w:r>
        <w:rPr>
          <w:rFonts w:ascii="宋体" w:hAnsi="宋体" w:cs="宋体"/>
          <w:color w:val="auto"/>
          <w:sz w:val="22"/>
        </w:rPr>
        <w:t xml:space="preserve">1.   </w:t>
      </w:r>
      <w:r>
        <w:rPr>
          <w:rFonts w:hint="eastAsia" w:ascii="宋体" w:hAnsi="宋体" w:cs="宋体"/>
          <w:color w:val="auto"/>
          <w:sz w:val="22"/>
        </w:rPr>
        <w:t>电子交易平台发生故障而无法登录访问的；</w:t>
      </w:r>
    </w:p>
    <w:p w14:paraId="501DF182">
      <w:pPr>
        <w:tabs>
          <w:tab w:val="left" w:pos="1365"/>
        </w:tabs>
        <w:spacing w:line="440" w:lineRule="exact"/>
        <w:ind w:left="550" w:hanging="550" w:hangingChars="250"/>
        <w:rPr>
          <w:rFonts w:hint="eastAsia" w:ascii="宋体" w:hAnsi="宋体" w:cs="宋体"/>
          <w:color w:val="auto"/>
          <w:sz w:val="22"/>
        </w:rPr>
      </w:pPr>
      <w:r>
        <w:rPr>
          <w:rFonts w:ascii="宋体" w:hAnsi="宋体" w:cs="宋体"/>
          <w:color w:val="auto"/>
          <w:sz w:val="22"/>
        </w:rPr>
        <w:t xml:space="preserve">2.   </w:t>
      </w:r>
      <w:r>
        <w:rPr>
          <w:rFonts w:hint="eastAsia" w:ascii="宋体" w:hAnsi="宋体" w:cs="宋体"/>
          <w:color w:val="auto"/>
          <w:sz w:val="22"/>
        </w:rPr>
        <w:t>电子交易平台应用或数据库出现错误，不能进行正常操作的；</w:t>
      </w:r>
    </w:p>
    <w:p w14:paraId="288E99AB">
      <w:pPr>
        <w:tabs>
          <w:tab w:val="left" w:pos="1365"/>
        </w:tabs>
        <w:spacing w:line="440" w:lineRule="exact"/>
        <w:ind w:left="550" w:hanging="550" w:hangingChars="250"/>
        <w:rPr>
          <w:rFonts w:hint="eastAsia" w:ascii="宋体" w:hAnsi="宋体" w:cs="宋体"/>
          <w:color w:val="auto"/>
          <w:sz w:val="22"/>
        </w:rPr>
      </w:pPr>
      <w:r>
        <w:rPr>
          <w:rFonts w:ascii="宋体" w:hAnsi="宋体" w:cs="宋体"/>
          <w:color w:val="auto"/>
          <w:sz w:val="22"/>
        </w:rPr>
        <w:t xml:space="preserve">3.   </w:t>
      </w:r>
      <w:r>
        <w:rPr>
          <w:rFonts w:hint="eastAsia" w:ascii="宋体" w:hAnsi="宋体" w:cs="宋体"/>
          <w:color w:val="auto"/>
          <w:sz w:val="22"/>
        </w:rPr>
        <w:t>电子交易平台发现严重安全漏洞，有潜在泄密危险的；</w:t>
      </w:r>
    </w:p>
    <w:p w14:paraId="250AEC8C">
      <w:pPr>
        <w:tabs>
          <w:tab w:val="left" w:pos="1365"/>
        </w:tabs>
        <w:spacing w:line="440" w:lineRule="exact"/>
        <w:ind w:left="550" w:hanging="550" w:hangingChars="250"/>
        <w:rPr>
          <w:rFonts w:hint="eastAsia" w:ascii="宋体" w:hAnsi="宋体" w:cs="宋体"/>
          <w:color w:val="auto"/>
          <w:sz w:val="22"/>
        </w:rPr>
      </w:pPr>
      <w:r>
        <w:rPr>
          <w:rFonts w:ascii="宋体" w:hAnsi="宋体" w:cs="宋体"/>
          <w:color w:val="auto"/>
          <w:sz w:val="22"/>
        </w:rPr>
        <w:t xml:space="preserve">4.   </w:t>
      </w:r>
      <w:r>
        <w:rPr>
          <w:rFonts w:hint="eastAsia" w:ascii="宋体" w:hAnsi="宋体" w:cs="宋体"/>
          <w:color w:val="auto"/>
          <w:sz w:val="22"/>
        </w:rPr>
        <w:t>病毒发作导致不能进行正常操作的；</w:t>
      </w:r>
    </w:p>
    <w:p w14:paraId="55B4E15A">
      <w:pPr>
        <w:tabs>
          <w:tab w:val="left" w:pos="1365"/>
        </w:tabs>
        <w:spacing w:line="440" w:lineRule="exact"/>
        <w:ind w:left="550" w:hanging="550" w:hangingChars="250"/>
        <w:rPr>
          <w:rFonts w:hint="eastAsia" w:ascii="宋体" w:hAnsi="宋体" w:cs="宋体"/>
          <w:color w:val="auto"/>
          <w:sz w:val="22"/>
        </w:rPr>
      </w:pPr>
      <w:r>
        <w:rPr>
          <w:rFonts w:ascii="宋体" w:hAnsi="宋体" w:cs="宋体"/>
          <w:color w:val="auto"/>
          <w:sz w:val="22"/>
        </w:rPr>
        <w:t xml:space="preserve">5.   </w:t>
      </w:r>
      <w:r>
        <w:rPr>
          <w:rFonts w:hint="eastAsia" w:ascii="宋体" w:hAnsi="宋体" w:cs="宋体"/>
          <w:color w:val="auto"/>
          <w:sz w:val="22"/>
        </w:rPr>
        <w:t>其他无法保证电子交易的公平、公正和安全的情况。</w:t>
      </w:r>
    </w:p>
    <w:p w14:paraId="316BFD82">
      <w:pPr>
        <w:tabs>
          <w:tab w:val="left" w:pos="1365"/>
        </w:tabs>
        <w:spacing w:line="440" w:lineRule="exact"/>
        <w:ind w:left="420" w:leftChars="200" w:firstLine="110" w:firstLineChars="50"/>
        <w:rPr>
          <w:rFonts w:ascii="宋体" w:hAnsi="宋体" w:cs="宋体"/>
          <w:color w:val="auto"/>
          <w:sz w:val="22"/>
        </w:rPr>
      </w:pPr>
      <w:r>
        <w:rPr>
          <w:rFonts w:hint="eastAsia" w:ascii="宋体" w:hAnsi="宋体" w:cs="宋体"/>
          <w:color w:val="auto"/>
          <w:sz w:val="22"/>
        </w:rPr>
        <w:t>出现前款规定情形，不影响采购公平、公正性的，采购代理机构可以待上述情形消除后继续组织电子交易活动；影响或可能影响采购公平、公正性的，应当重新采购。</w:t>
      </w:r>
    </w:p>
    <w:bookmarkEnd w:id="32"/>
    <w:p w14:paraId="537A2F5D">
      <w:pPr>
        <w:spacing w:line="440" w:lineRule="exact"/>
        <w:rPr>
          <w:rFonts w:hint="eastAsia" w:ascii="宋体" w:hAnsi="宋体" w:cs="宋体"/>
          <w:color w:val="auto"/>
          <w:kern w:val="0"/>
          <w:sz w:val="22"/>
          <w:szCs w:val="22"/>
        </w:rPr>
      </w:pPr>
    </w:p>
    <w:p w14:paraId="65E66AC2">
      <w:pPr>
        <w:pStyle w:val="2"/>
        <w:spacing w:line="560" w:lineRule="exact"/>
        <w:jc w:val="center"/>
        <w:rPr>
          <w:rFonts w:hint="eastAsia" w:ascii="黑体" w:hAnsi="黑体" w:eastAsia="黑体"/>
          <w:color w:val="auto"/>
          <w:sz w:val="32"/>
          <w:szCs w:val="32"/>
        </w:rPr>
      </w:pPr>
      <w:r>
        <w:rPr>
          <w:rFonts w:ascii="黑体" w:eastAsia="黑体"/>
          <w:color w:val="auto"/>
          <w:sz w:val="32"/>
          <w:szCs w:val="32"/>
        </w:rPr>
        <w:br w:type="page"/>
      </w:r>
      <w:bookmarkStart w:id="33" w:name="_Toc5259"/>
      <w:bookmarkStart w:id="34" w:name="_Toc11391"/>
      <w:r>
        <w:rPr>
          <w:rFonts w:hint="eastAsia" w:ascii="黑体" w:hAnsi="黑体" w:eastAsia="黑体"/>
          <w:color w:val="auto"/>
          <w:sz w:val="32"/>
          <w:szCs w:val="32"/>
        </w:rPr>
        <w:t>第三部分  合同主要条款</w:t>
      </w:r>
      <w:bookmarkEnd w:id="33"/>
      <w:bookmarkEnd w:id="34"/>
    </w:p>
    <w:p w14:paraId="24E8A225">
      <w:pPr>
        <w:spacing w:line="400" w:lineRule="exact"/>
        <w:jc w:val="center"/>
        <w:rPr>
          <w:rFonts w:hint="eastAsia" w:ascii="宋体" w:hAnsi="宋体"/>
          <w:color w:val="auto"/>
          <w:sz w:val="24"/>
        </w:rPr>
      </w:pPr>
      <w:r>
        <w:rPr>
          <w:rFonts w:hint="eastAsia" w:ascii="宋体" w:hAnsi="宋体"/>
          <w:color w:val="auto"/>
          <w:sz w:val="24"/>
        </w:rPr>
        <w:t>附件：GF—2017—0201</w:t>
      </w:r>
    </w:p>
    <w:p w14:paraId="51E7589F">
      <w:pPr>
        <w:spacing w:line="400" w:lineRule="exact"/>
        <w:jc w:val="center"/>
        <w:rPr>
          <w:rFonts w:hint="eastAsia" w:ascii="宋体" w:hAnsi="宋体"/>
          <w:b/>
          <w:bCs/>
          <w:color w:val="auto"/>
          <w:sz w:val="24"/>
        </w:rPr>
      </w:pPr>
      <w:r>
        <w:rPr>
          <w:rFonts w:hint="eastAsia" w:ascii="宋体" w:hAnsi="宋体"/>
          <w:b/>
          <w:bCs/>
          <w:color w:val="auto"/>
          <w:sz w:val="24"/>
        </w:rPr>
        <w:t xml:space="preserve">   建 设 工 程 施 工 合 同</w:t>
      </w:r>
      <w:r>
        <w:rPr>
          <w:rFonts w:hint="eastAsia" w:ascii="宋体" w:hAnsi="宋体"/>
          <w:color w:val="auto"/>
          <w:sz w:val="24"/>
        </w:rPr>
        <w:t>（示范文本）</w:t>
      </w:r>
    </w:p>
    <w:p w14:paraId="5D7B9345">
      <w:pPr>
        <w:spacing w:line="400" w:lineRule="exact"/>
        <w:jc w:val="center"/>
        <w:rPr>
          <w:rFonts w:hint="eastAsia" w:ascii="宋体" w:hAnsi="宋体"/>
          <w:color w:val="auto"/>
          <w:sz w:val="24"/>
        </w:rPr>
      </w:pPr>
      <w:r>
        <w:rPr>
          <w:rFonts w:hint="eastAsia" w:ascii="宋体" w:hAnsi="宋体"/>
          <w:color w:val="auto"/>
          <w:sz w:val="24"/>
        </w:rPr>
        <w:t>中华人民共和国住房和城乡建设部、国家工商行政管理总局制定</w:t>
      </w:r>
    </w:p>
    <w:p w14:paraId="0C6FD220">
      <w:pPr>
        <w:pStyle w:val="22"/>
        <w:spacing w:line="400" w:lineRule="exact"/>
        <w:ind w:left="0" w:leftChars="0"/>
        <w:jc w:val="center"/>
        <w:rPr>
          <w:rFonts w:hint="eastAsia" w:ascii="宋体" w:hAnsi="宋体"/>
          <w:color w:val="auto"/>
          <w:sz w:val="24"/>
        </w:rPr>
      </w:pPr>
      <w:r>
        <w:rPr>
          <w:rFonts w:hint="eastAsia" w:ascii="宋体" w:hAnsi="宋体"/>
          <w:color w:val="auto"/>
          <w:sz w:val="24"/>
        </w:rPr>
        <w:t>二〇一七年六月</w:t>
      </w:r>
    </w:p>
    <w:p w14:paraId="7CF13D19">
      <w:pPr>
        <w:spacing w:line="400" w:lineRule="exact"/>
        <w:jc w:val="center"/>
        <w:rPr>
          <w:rFonts w:hint="eastAsia" w:ascii="宋体" w:hAnsi="宋体"/>
          <w:b/>
          <w:bCs/>
          <w:color w:val="auto"/>
          <w:sz w:val="30"/>
          <w:szCs w:val="30"/>
        </w:rPr>
      </w:pPr>
    </w:p>
    <w:p w14:paraId="1F75AA3E">
      <w:pPr>
        <w:pStyle w:val="3"/>
        <w:spacing w:line="480" w:lineRule="exact"/>
        <w:jc w:val="center"/>
        <w:rPr>
          <w:rFonts w:hint="eastAsia"/>
          <w:color w:val="auto"/>
          <w:sz w:val="28"/>
          <w:szCs w:val="28"/>
        </w:rPr>
      </w:pPr>
      <w:bookmarkStart w:id="35" w:name="_Toc8333"/>
      <w:bookmarkStart w:id="36" w:name="_Toc30921"/>
      <w:r>
        <w:rPr>
          <w:rFonts w:hint="eastAsia"/>
          <w:color w:val="auto"/>
          <w:sz w:val="28"/>
          <w:szCs w:val="28"/>
        </w:rPr>
        <w:t>（一）合同协议书</w:t>
      </w:r>
      <w:bookmarkEnd w:id="35"/>
      <w:bookmarkEnd w:id="36"/>
    </w:p>
    <w:p w14:paraId="667FB650">
      <w:pPr>
        <w:spacing w:line="400" w:lineRule="exact"/>
        <w:rPr>
          <w:rFonts w:hint="eastAsia" w:ascii="宋体" w:hAnsi="宋体"/>
          <w:color w:val="auto"/>
          <w:sz w:val="22"/>
          <w:szCs w:val="22"/>
        </w:rPr>
      </w:pPr>
    </w:p>
    <w:p w14:paraId="01D24368">
      <w:pPr>
        <w:spacing w:line="440" w:lineRule="exact"/>
        <w:rPr>
          <w:rFonts w:hint="eastAsia" w:ascii="宋体" w:hAnsi="宋体"/>
          <w:color w:val="auto"/>
          <w:sz w:val="22"/>
          <w:szCs w:val="22"/>
          <w:u w:val="single"/>
        </w:rPr>
      </w:pPr>
      <w:r>
        <w:rPr>
          <w:rFonts w:hint="eastAsia" w:ascii="宋体" w:hAnsi="宋体"/>
          <w:color w:val="auto"/>
          <w:sz w:val="22"/>
          <w:szCs w:val="22"/>
        </w:rPr>
        <w:t>发包人（全称）：</w:t>
      </w:r>
      <w:r>
        <w:rPr>
          <w:rFonts w:hint="eastAsia" w:ascii="宋体" w:hAnsi="宋体"/>
          <w:color w:val="auto"/>
          <w:sz w:val="22"/>
          <w:szCs w:val="22"/>
          <w:u w:val="single"/>
        </w:rPr>
        <w:t xml:space="preserve">      </w:t>
      </w:r>
      <w:r>
        <w:rPr>
          <w:rFonts w:hint="eastAsia" w:ascii="宋体" w:hAnsi="宋体"/>
          <w:color w:val="auto"/>
          <w:sz w:val="22"/>
          <w:szCs w:val="22"/>
          <w:u w:val="single"/>
          <w:lang w:eastAsia="zh-CN"/>
        </w:rPr>
        <w:t>浙江安防职业技术学院</w:t>
      </w:r>
      <w:r>
        <w:rPr>
          <w:rFonts w:hint="eastAsia" w:ascii="宋体" w:hAnsi="宋体"/>
          <w:color w:val="auto"/>
          <w:sz w:val="22"/>
          <w:szCs w:val="22"/>
          <w:u w:val="single"/>
        </w:rPr>
        <w:t xml:space="preserve">                   </w:t>
      </w:r>
    </w:p>
    <w:p w14:paraId="36C1113C">
      <w:pPr>
        <w:spacing w:line="440" w:lineRule="exact"/>
        <w:rPr>
          <w:rFonts w:hint="eastAsia" w:ascii="宋体" w:hAnsi="宋体"/>
          <w:color w:val="auto"/>
          <w:sz w:val="22"/>
          <w:szCs w:val="22"/>
          <w:u w:val="single"/>
        </w:rPr>
      </w:pPr>
      <w:r>
        <w:rPr>
          <w:rFonts w:hint="eastAsia" w:ascii="宋体" w:hAnsi="宋体"/>
          <w:color w:val="auto"/>
          <w:sz w:val="22"/>
          <w:szCs w:val="22"/>
        </w:rPr>
        <w:t>承包人（全称）：</w:t>
      </w:r>
      <w:r>
        <w:rPr>
          <w:rFonts w:hint="eastAsia" w:ascii="宋体" w:hAnsi="宋体"/>
          <w:color w:val="auto"/>
          <w:sz w:val="22"/>
          <w:szCs w:val="22"/>
          <w:u w:val="single"/>
        </w:rPr>
        <w:t xml:space="preserve">                                       </w:t>
      </w:r>
    </w:p>
    <w:p w14:paraId="72A67F63">
      <w:pPr>
        <w:pStyle w:val="17"/>
        <w:spacing w:line="440" w:lineRule="exact"/>
        <w:ind w:left="2" w:leftChars="1" w:firstLine="440" w:firstLineChars="200"/>
        <w:rPr>
          <w:rFonts w:hint="eastAsia" w:ascii="宋体" w:hAnsi="宋体"/>
          <w:color w:val="auto"/>
          <w:sz w:val="22"/>
          <w:szCs w:val="22"/>
        </w:rPr>
      </w:pPr>
      <w:r>
        <w:rPr>
          <w:rFonts w:hint="eastAsia" w:ascii="宋体" w:hAnsi="宋体"/>
          <w:color w:val="auto"/>
          <w:sz w:val="22"/>
          <w:szCs w:val="22"/>
        </w:rPr>
        <w:t>依照《中华人民共和国民法典》、《中华人民共和国建筑法》及其他有关法律、行政法规的规定，遵循平等、自愿、公平和诚实信用的原则，双方就</w:t>
      </w:r>
      <w:r>
        <w:rPr>
          <w:rFonts w:hint="eastAsia" w:ascii="宋体" w:hAnsi="宋体"/>
          <w:color w:val="auto"/>
          <w:sz w:val="22"/>
          <w:szCs w:val="22"/>
          <w:u w:val="single"/>
          <w:lang w:eastAsia="zh-CN"/>
        </w:rPr>
        <w:t>浙江安防职业技术学院</w:t>
      </w:r>
      <w:r>
        <w:rPr>
          <w:rFonts w:hint="eastAsia" w:ascii="宋体" w:hAnsi="宋体" w:cs="宋体"/>
          <w:color w:val="auto"/>
          <w:sz w:val="22"/>
          <w:szCs w:val="22"/>
          <w:u w:val="single"/>
          <w:lang w:eastAsia="zh-CN"/>
        </w:rPr>
        <w:t>学校配电房提升改造（2x630KVA配电工程（单电源））</w:t>
      </w:r>
      <w:r>
        <w:rPr>
          <w:rFonts w:hint="eastAsia" w:ascii="宋体" w:hAnsi="宋体"/>
          <w:color w:val="auto"/>
          <w:sz w:val="22"/>
          <w:szCs w:val="22"/>
        </w:rPr>
        <w:t>及有关事项协商一致，共同达成如下协议：</w:t>
      </w:r>
    </w:p>
    <w:p w14:paraId="6FBBD2FE">
      <w:pPr>
        <w:spacing w:line="440" w:lineRule="exact"/>
        <w:rPr>
          <w:rFonts w:hint="eastAsia" w:ascii="宋体" w:hAnsi="宋体"/>
          <w:b/>
          <w:bCs/>
          <w:color w:val="auto"/>
          <w:sz w:val="22"/>
          <w:szCs w:val="22"/>
        </w:rPr>
      </w:pPr>
      <w:r>
        <w:rPr>
          <w:rFonts w:hint="eastAsia" w:ascii="宋体" w:hAnsi="宋体"/>
          <w:b/>
          <w:bCs/>
          <w:color w:val="auto"/>
          <w:sz w:val="22"/>
          <w:szCs w:val="22"/>
        </w:rPr>
        <w:t>一、 工程概况</w:t>
      </w:r>
    </w:p>
    <w:p w14:paraId="047B385C">
      <w:pPr>
        <w:spacing w:line="440" w:lineRule="exact"/>
        <w:ind w:firstLine="220" w:firstLineChars="100"/>
        <w:rPr>
          <w:rFonts w:hint="eastAsia" w:ascii="宋体" w:hAnsi="宋体" w:eastAsia="宋体" w:cs="宋体"/>
          <w:color w:val="auto"/>
          <w:sz w:val="22"/>
          <w:szCs w:val="22"/>
          <w:u w:val="single"/>
          <w:lang w:eastAsia="zh-CN"/>
        </w:rPr>
      </w:pPr>
      <w:r>
        <w:rPr>
          <w:rFonts w:hint="eastAsia" w:ascii="宋体" w:hAnsi="宋体"/>
          <w:color w:val="auto"/>
          <w:sz w:val="22"/>
          <w:szCs w:val="22"/>
        </w:rPr>
        <w:t>1. 工程名称：</w:t>
      </w:r>
      <w:r>
        <w:rPr>
          <w:rFonts w:hint="eastAsia" w:ascii="宋体" w:hAnsi="宋体"/>
          <w:color w:val="auto"/>
          <w:sz w:val="22"/>
          <w:szCs w:val="22"/>
          <w:u w:val="single"/>
          <w:lang w:eastAsia="zh-CN"/>
        </w:rPr>
        <w:t>学校配电房提升改造（2x630KVA配电工程（单电源））</w:t>
      </w:r>
    </w:p>
    <w:p w14:paraId="5C11726A">
      <w:pPr>
        <w:spacing w:line="440" w:lineRule="exact"/>
        <w:ind w:firstLine="220" w:firstLineChars="100"/>
        <w:rPr>
          <w:rFonts w:hint="eastAsia" w:ascii="宋体" w:hAnsi="宋体"/>
          <w:color w:val="auto"/>
          <w:sz w:val="22"/>
          <w:szCs w:val="22"/>
          <w:u w:val="single"/>
        </w:rPr>
      </w:pPr>
      <w:r>
        <w:rPr>
          <w:rFonts w:hint="eastAsia" w:ascii="宋体" w:hAnsi="宋体"/>
          <w:color w:val="auto"/>
          <w:sz w:val="22"/>
          <w:szCs w:val="22"/>
        </w:rPr>
        <w:t>2. 工程地点：</w:t>
      </w:r>
      <w:r>
        <w:rPr>
          <w:rFonts w:hint="eastAsia" w:ascii="宋体" w:hAnsi="宋体" w:cs="宋体"/>
          <w:color w:val="auto"/>
          <w:sz w:val="22"/>
          <w:szCs w:val="22"/>
          <w:u w:val="single"/>
          <w:lang w:eastAsia="zh-CN"/>
        </w:rPr>
        <w:t>浙江安防职业技术学院</w:t>
      </w:r>
    </w:p>
    <w:p w14:paraId="1BFE8C64">
      <w:pPr>
        <w:spacing w:line="440" w:lineRule="exact"/>
        <w:ind w:firstLine="220" w:firstLineChars="100"/>
        <w:rPr>
          <w:rFonts w:hint="eastAsia" w:ascii="宋体" w:hAnsi="宋体"/>
          <w:color w:val="auto"/>
          <w:sz w:val="22"/>
          <w:szCs w:val="22"/>
          <w:u w:val="single"/>
        </w:rPr>
      </w:pPr>
      <w:r>
        <w:rPr>
          <w:rFonts w:hint="eastAsia" w:ascii="宋体" w:hAnsi="宋体"/>
          <w:color w:val="auto"/>
          <w:sz w:val="22"/>
          <w:szCs w:val="22"/>
        </w:rPr>
        <w:t>3. 工程立项批准文号：</w:t>
      </w:r>
      <w:r>
        <w:rPr>
          <w:rFonts w:hint="eastAsia" w:ascii="宋体" w:hAnsi="宋体"/>
          <w:color w:val="auto"/>
          <w:sz w:val="22"/>
          <w:szCs w:val="22"/>
          <w:u w:val="single"/>
        </w:rPr>
        <w:t xml:space="preserve">                            </w:t>
      </w:r>
    </w:p>
    <w:p w14:paraId="10B0016E">
      <w:pPr>
        <w:spacing w:line="440" w:lineRule="exact"/>
        <w:ind w:firstLine="220" w:firstLineChars="100"/>
        <w:rPr>
          <w:rFonts w:hint="eastAsia" w:ascii="宋体" w:hAnsi="宋体"/>
          <w:color w:val="auto"/>
          <w:sz w:val="22"/>
          <w:szCs w:val="22"/>
          <w:u w:val="single"/>
        </w:rPr>
      </w:pPr>
      <w:r>
        <w:rPr>
          <w:rFonts w:hint="eastAsia" w:ascii="宋体" w:hAnsi="宋体"/>
          <w:color w:val="auto"/>
          <w:sz w:val="22"/>
          <w:szCs w:val="22"/>
        </w:rPr>
        <w:t>4. 资金来源：</w:t>
      </w:r>
      <w:r>
        <w:rPr>
          <w:rFonts w:hint="eastAsia" w:ascii="宋体" w:hAnsi="宋体"/>
          <w:color w:val="auto"/>
          <w:sz w:val="22"/>
          <w:szCs w:val="22"/>
          <w:u w:val="single"/>
        </w:rPr>
        <w:t xml:space="preserve">财政经费                 </w:t>
      </w:r>
    </w:p>
    <w:p w14:paraId="71D07B1E">
      <w:pPr>
        <w:spacing w:line="440" w:lineRule="exact"/>
        <w:ind w:left="548" w:leftChars="104" w:hanging="330" w:hangingChars="150"/>
        <w:rPr>
          <w:rFonts w:hint="eastAsia" w:ascii="宋体" w:hAnsi="宋体"/>
          <w:color w:val="auto"/>
          <w:sz w:val="22"/>
          <w:szCs w:val="22"/>
          <w:u w:val="single"/>
        </w:rPr>
      </w:pPr>
      <w:r>
        <w:rPr>
          <w:rFonts w:hint="eastAsia" w:ascii="宋体" w:hAnsi="宋体"/>
          <w:color w:val="auto"/>
          <w:sz w:val="22"/>
          <w:szCs w:val="22"/>
        </w:rPr>
        <w:t>5. 工程内容：</w:t>
      </w:r>
      <w:r>
        <w:rPr>
          <w:rFonts w:hint="eastAsia" w:ascii="宋体" w:hAnsi="宋体" w:cs="宋体"/>
          <w:color w:val="auto"/>
          <w:sz w:val="22"/>
          <w:szCs w:val="22"/>
          <w:u w:val="single"/>
        </w:rPr>
        <w:t xml:space="preserve"> </w:t>
      </w:r>
      <w:r>
        <w:rPr>
          <w:rFonts w:hint="eastAsia" w:ascii="宋体" w:hAnsi="宋体"/>
          <w:color w:val="auto"/>
          <w:sz w:val="22"/>
          <w:szCs w:val="22"/>
          <w:u w:val="single"/>
          <w:lang w:eastAsia="zh-CN"/>
        </w:rPr>
        <w:t>学校配电房提升改造（2x630KVA配电工程（单电源））</w:t>
      </w:r>
      <w:r>
        <w:rPr>
          <w:rFonts w:hint="eastAsia" w:ascii="宋体" w:hAnsi="宋体" w:cs="宋体"/>
          <w:color w:val="auto"/>
          <w:sz w:val="22"/>
          <w:szCs w:val="22"/>
          <w:u w:val="single"/>
        </w:rPr>
        <w:t xml:space="preserve"> 。</w:t>
      </w:r>
      <w:r>
        <w:rPr>
          <w:rFonts w:hint="eastAsia" w:ascii="宋体" w:hAnsi="宋体"/>
          <w:color w:val="auto"/>
          <w:sz w:val="22"/>
          <w:szCs w:val="22"/>
          <w:u w:val="single"/>
        </w:rPr>
        <w:t xml:space="preserve"> </w:t>
      </w:r>
    </w:p>
    <w:p w14:paraId="0046C3CA">
      <w:pPr>
        <w:spacing w:line="440" w:lineRule="exact"/>
        <w:ind w:firstLine="220" w:firstLineChars="100"/>
        <w:rPr>
          <w:rFonts w:hint="eastAsia" w:ascii="宋体" w:hAnsi="宋体"/>
          <w:color w:val="auto"/>
          <w:sz w:val="22"/>
          <w:szCs w:val="22"/>
          <w:u w:val="single"/>
        </w:rPr>
      </w:pPr>
      <w:r>
        <w:rPr>
          <w:rFonts w:hint="eastAsia" w:ascii="宋体" w:hAnsi="宋体"/>
          <w:color w:val="auto"/>
          <w:sz w:val="22"/>
          <w:szCs w:val="22"/>
        </w:rPr>
        <w:t>6</w:t>
      </w:r>
      <w:r>
        <w:rPr>
          <w:rFonts w:ascii="宋体" w:hAnsi="宋体"/>
          <w:color w:val="auto"/>
          <w:sz w:val="22"/>
          <w:szCs w:val="22"/>
        </w:rPr>
        <w:t>.</w:t>
      </w:r>
      <w:r>
        <w:rPr>
          <w:rFonts w:hint="eastAsia" w:ascii="宋体" w:hAnsi="宋体"/>
          <w:color w:val="auto"/>
          <w:sz w:val="22"/>
          <w:szCs w:val="22"/>
        </w:rPr>
        <w:t xml:space="preserve"> </w:t>
      </w:r>
      <w:r>
        <w:rPr>
          <w:rFonts w:ascii="宋体" w:hAnsi="宋体"/>
          <w:color w:val="auto"/>
          <w:sz w:val="22"/>
          <w:szCs w:val="22"/>
        </w:rPr>
        <w:t>工程承包范围：</w:t>
      </w:r>
      <w:r>
        <w:rPr>
          <w:rFonts w:hint="eastAsia" w:ascii="宋体" w:hAnsi="宋体"/>
          <w:color w:val="auto"/>
          <w:sz w:val="22"/>
          <w:szCs w:val="22"/>
          <w:u w:val="single"/>
        </w:rPr>
        <w:t xml:space="preserve">根据招标时发包方提供的施工图、工程量清单和磋商文件  </w:t>
      </w:r>
    </w:p>
    <w:p w14:paraId="42408072">
      <w:pPr>
        <w:spacing w:line="440" w:lineRule="exact"/>
        <w:rPr>
          <w:rFonts w:hint="eastAsia" w:ascii="宋体" w:hAnsi="宋体"/>
          <w:b/>
          <w:bCs/>
          <w:color w:val="auto"/>
          <w:sz w:val="22"/>
          <w:szCs w:val="22"/>
        </w:rPr>
      </w:pPr>
      <w:r>
        <w:rPr>
          <w:rFonts w:hint="eastAsia" w:ascii="宋体" w:hAnsi="宋体"/>
          <w:b/>
          <w:bCs/>
          <w:color w:val="auto"/>
          <w:sz w:val="22"/>
          <w:szCs w:val="22"/>
        </w:rPr>
        <w:t>二、 合同工期</w:t>
      </w:r>
    </w:p>
    <w:p w14:paraId="680CB7B3">
      <w:pPr>
        <w:spacing w:line="440" w:lineRule="exact"/>
        <w:ind w:firstLine="550" w:firstLineChars="250"/>
        <w:rPr>
          <w:rFonts w:hint="eastAsia" w:ascii="宋体" w:hAnsi="宋体"/>
          <w:color w:val="auto"/>
          <w:sz w:val="22"/>
          <w:szCs w:val="22"/>
          <w:u w:val="single"/>
        </w:rPr>
      </w:pPr>
      <w:r>
        <w:rPr>
          <w:rFonts w:hint="eastAsia" w:ascii="宋体" w:hAnsi="宋体"/>
          <w:color w:val="auto"/>
          <w:sz w:val="22"/>
          <w:szCs w:val="22"/>
        </w:rPr>
        <w:t xml:space="preserve">开工日期： </w:t>
      </w:r>
      <w:r>
        <w:rPr>
          <w:rFonts w:ascii="宋体" w:hAnsi="宋体"/>
          <w:color w:val="auto"/>
          <w:sz w:val="22"/>
          <w:szCs w:val="22"/>
          <w:u w:val="single"/>
        </w:rPr>
        <w:t>202</w:t>
      </w:r>
      <w:r>
        <w:rPr>
          <w:rFonts w:hint="eastAsia" w:ascii="宋体" w:hAnsi="宋体"/>
          <w:color w:val="auto"/>
          <w:sz w:val="22"/>
          <w:szCs w:val="22"/>
          <w:u w:val="single"/>
          <w:lang w:val="en-US" w:eastAsia="zh-CN"/>
        </w:rPr>
        <w:t>4</w:t>
      </w:r>
      <w:r>
        <w:rPr>
          <w:rFonts w:ascii="宋体" w:hAnsi="宋体"/>
          <w:color w:val="auto"/>
          <w:sz w:val="22"/>
          <w:szCs w:val="22"/>
          <w:u w:val="single"/>
        </w:rPr>
        <w:t xml:space="preserve">年   月    </w:t>
      </w:r>
      <w:r>
        <w:rPr>
          <w:rFonts w:hint="eastAsia" w:ascii="宋体" w:hAnsi="宋体"/>
          <w:color w:val="auto"/>
          <w:sz w:val="22"/>
          <w:szCs w:val="22"/>
          <w:u w:val="single"/>
        </w:rPr>
        <w:t>日</w:t>
      </w:r>
    </w:p>
    <w:p w14:paraId="7A312544">
      <w:pPr>
        <w:spacing w:line="440" w:lineRule="exact"/>
        <w:ind w:firstLine="550" w:firstLineChars="250"/>
        <w:rPr>
          <w:rFonts w:hint="eastAsia" w:ascii="宋体" w:hAnsi="宋体"/>
          <w:color w:val="auto"/>
          <w:sz w:val="22"/>
          <w:szCs w:val="22"/>
          <w:u w:val="single"/>
        </w:rPr>
      </w:pPr>
      <w:r>
        <w:rPr>
          <w:rFonts w:hint="eastAsia" w:ascii="宋体" w:hAnsi="宋体"/>
          <w:color w:val="auto"/>
          <w:sz w:val="22"/>
          <w:szCs w:val="22"/>
        </w:rPr>
        <w:t xml:space="preserve">竣工日期： </w:t>
      </w:r>
      <w:r>
        <w:rPr>
          <w:rFonts w:ascii="宋体" w:hAnsi="宋体"/>
          <w:color w:val="auto"/>
          <w:sz w:val="22"/>
          <w:szCs w:val="22"/>
          <w:u w:val="single"/>
        </w:rPr>
        <w:t>202</w:t>
      </w:r>
      <w:r>
        <w:rPr>
          <w:rFonts w:hint="eastAsia" w:ascii="宋体" w:hAnsi="宋体"/>
          <w:color w:val="auto"/>
          <w:sz w:val="22"/>
          <w:szCs w:val="22"/>
          <w:u w:val="single"/>
        </w:rPr>
        <w:t>4</w:t>
      </w:r>
      <w:r>
        <w:rPr>
          <w:rFonts w:ascii="宋体" w:hAnsi="宋体"/>
          <w:color w:val="auto"/>
          <w:sz w:val="22"/>
          <w:szCs w:val="22"/>
          <w:u w:val="single"/>
        </w:rPr>
        <w:t xml:space="preserve">年  月    </w:t>
      </w:r>
      <w:r>
        <w:rPr>
          <w:rFonts w:hint="eastAsia" w:ascii="宋体" w:hAnsi="宋体"/>
          <w:color w:val="auto"/>
          <w:sz w:val="22"/>
          <w:szCs w:val="22"/>
          <w:u w:val="single"/>
        </w:rPr>
        <w:t>日</w:t>
      </w:r>
    </w:p>
    <w:p w14:paraId="690BDB3D">
      <w:pPr>
        <w:spacing w:line="440" w:lineRule="exact"/>
        <w:ind w:left="548" w:leftChars="261"/>
        <w:rPr>
          <w:rFonts w:ascii="宋体" w:hAnsi="宋体"/>
          <w:color w:val="auto"/>
          <w:sz w:val="22"/>
          <w:szCs w:val="22"/>
        </w:rPr>
      </w:pPr>
      <w:r>
        <w:rPr>
          <w:rFonts w:ascii="宋体" w:hAnsi="宋体"/>
          <w:color w:val="auto"/>
          <w:sz w:val="22"/>
          <w:szCs w:val="22"/>
        </w:rPr>
        <w:t>工期总日历天数：</w:t>
      </w:r>
      <w:r>
        <w:rPr>
          <w:rFonts w:ascii="宋体" w:hAnsi="宋体"/>
          <w:color w:val="auto"/>
          <w:sz w:val="22"/>
          <w:szCs w:val="22"/>
          <w:u w:val="single"/>
        </w:rPr>
        <w:t></w:t>
      </w:r>
      <w:r>
        <w:rPr>
          <w:rFonts w:hint="eastAsia" w:ascii="宋体" w:hAnsi="宋体"/>
          <w:color w:val="auto"/>
          <w:sz w:val="22"/>
          <w:szCs w:val="22"/>
          <w:u w:val="single"/>
          <w:lang w:val="en-US" w:eastAsia="zh-CN"/>
        </w:rPr>
        <w:t>40</w:t>
      </w:r>
      <w:r>
        <w:rPr>
          <w:rFonts w:ascii="宋体" w:hAnsi="宋体"/>
          <w:color w:val="auto"/>
          <w:sz w:val="22"/>
          <w:szCs w:val="22"/>
          <w:u w:val="single"/>
        </w:rPr>
        <w:t xml:space="preserve"> </w:t>
      </w:r>
      <w:r>
        <w:rPr>
          <w:rFonts w:hint="eastAsia" w:ascii="宋体" w:hAnsi="宋体"/>
          <w:color w:val="auto"/>
          <w:sz w:val="22"/>
          <w:szCs w:val="22"/>
        </w:rPr>
        <w:t>日历</w:t>
      </w:r>
      <w:r>
        <w:rPr>
          <w:rFonts w:ascii="宋体" w:hAnsi="宋体"/>
          <w:color w:val="auto"/>
          <w:sz w:val="22"/>
          <w:szCs w:val="22"/>
        </w:rPr>
        <w:t>天</w:t>
      </w:r>
      <w:r>
        <w:rPr>
          <w:rFonts w:hint="eastAsia" w:ascii="宋体" w:hAnsi="宋体"/>
          <w:color w:val="auto"/>
          <w:sz w:val="22"/>
          <w:szCs w:val="22"/>
          <w:lang w:eastAsia="zh-CN"/>
        </w:rPr>
        <w:t>（</w:t>
      </w:r>
      <w:r>
        <w:rPr>
          <w:rFonts w:hint="eastAsia" w:ascii="宋体"/>
          <w:color w:val="auto"/>
          <w:sz w:val="22"/>
          <w:szCs w:val="22"/>
          <w:highlight w:val="none"/>
          <w:u w:val="single"/>
        </w:rPr>
        <w:t>材料备货25天，施工工期15天</w:t>
      </w:r>
      <w:r>
        <w:rPr>
          <w:rFonts w:hint="eastAsia" w:ascii="宋体" w:hAnsi="宋体"/>
          <w:color w:val="auto"/>
          <w:sz w:val="22"/>
          <w:szCs w:val="22"/>
          <w:lang w:eastAsia="zh-CN"/>
        </w:rPr>
        <w:t>）</w:t>
      </w:r>
      <w:r>
        <w:rPr>
          <w:rFonts w:ascii="宋体" w:hAnsi="宋体"/>
          <w:color w:val="auto"/>
          <w:sz w:val="22"/>
          <w:szCs w:val="22"/>
        </w:rPr>
        <w:t>。工期总日历天数与根据前述开竣工日期计算的工期天数不一致的，以工期总日历天数为准。</w:t>
      </w:r>
    </w:p>
    <w:p w14:paraId="78F2A732">
      <w:pPr>
        <w:spacing w:line="440" w:lineRule="exact"/>
        <w:rPr>
          <w:rFonts w:hint="eastAsia" w:ascii="宋体" w:hAnsi="宋体"/>
          <w:b/>
          <w:bCs/>
          <w:color w:val="auto"/>
          <w:sz w:val="22"/>
          <w:szCs w:val="22"/>
        </w:rPr>
      </w:pPr>
      <w:r>
        <w:rPr>
          <w:rFonts w:hint="eastAsia" w:ascii="宋体" w:hAnsi="宋体"/>
          <w:b/>
          <w:bCs/>
          <w:color w:val="auto"/>
          <w:sz w:val="22"/>
          <w:szCs w:val="22"/>
        </w:rPr>
        <w:t>三、 质量标准</w:t>
      </w:r>
    </w:p>
    <w:p w14:paraId="33BF7C71">
      <w:pPr>
        <w:spacing w:line="440" w:lineRule="exact"/>
        <w:ind w:left="548" w:leftChars="261"/>
        <w:rPr>
          <w:rFonts w:ascii="宋体" w:hAnsi="宋体"/>
          <w:color w:val="auto"/>
          <w:sz w:val="22"/>
          <w:szCs w:val="22"/>
        </w:rPr>
      </w:pPr>
      <w:r>
        <w:rPr>
          <w:rFonts w:ascii="宋体" w:hAnsi="宋体"/>
          <w:color w:val="auto"/>
          <w:sz w:val="22"/>
          <w:szCs w:val="22"/>
        </w:rPr>
        <w:t>工程质量符合</w:t>
      </w:r>
      <w:r>
        <w:rPr>
          <w:rFonts w:hint="eastAsia" w:ascii="宋体" w:hAnsi="宋体"/>
          <w:color w:val="auto"/>
          <w:sz w:val="22"/>
          <w:szCs w:val="22"/>
          <w:u w:val="single"/>
        </w:rPr>
        <w:t xml:space="preserve"> </w:t>
      </w:r>
      <w:r>
        <w:rPr>
          <w:rFonts w:hint="eastAsia" w:hAnsi="宋体" w:cs="宋体"/>
          <w:color w:val="auto"/>
          <w:sz w:val="22"/>
          <w:szCs w:val="22"/>
          <w:u w:val="single"/>
        </w:rPr>
        <w:t>《建筑工程施工技术规范》</w:t>
      </w:r>
      <w:r>
        <w:rPr>
          <w:rFonts w:hint="eastAsia" w:ascii="宋体" w:hAnsi="宋体"/>
          <w:color w:val="auto"/>
          <w:sz w:val="22"/>
          <w:szCs w:val="22"/>
          <w:u w:val="single"/>
        </w:rPr>
        <w:t xml:space="preserve"> </w:t>
      </w:r>
      <w:r>
        <w:rPr>
          <w:rFonts w:ascii="宋体" w:hAnsi="宋体"/>
          <w:color w:val="auto"/>
          <w:sz w:val="22"/>
          <w:szCs w:val="22"/>
        </w:rPr>
        <w:t>标准。</w:t>
      </w:r>
    </w:p>
    <w:p w14:paraId="0A17A03E">
      <w:pPr>
        <w:spacing w:line="440" w:lineRule="exact"/>
        <w:rPr>
          <w:rFonts w:hint="eastAsia" w:ascii="宋体" w:hAnsi="宋体"/>
          <w:b/>
          <w:bCs/>
          <w:color w:val="auto"/>
          <w:sz w:val="22"/>
          <w:szCs w:val="22"/>
        </w:rPr>
      </w:pPr>
      <w:r>
        <w:rPr>
          <w:rFonts w:hint="eastAsia" w:ascii="宋体" w:hAnsi="宋体"/>
          <w:b/>
          <w:bCs/>
          <w:color w:val="auto"/>
          <w:sz w:val="22"/>
          <w:szCs w:val="22"/>
        </w:rPr>
        <w:t>四、 签约合同价与合同价格形式</w:t>
      </w:r>
    </w:p>
    <w:p w14:paraId="15B4CC43">
      <w:pPr>
        <w:spacing w:line="440" w:lineRule="exact"/>
        <w:ind w:firstLine="220" w:firstLineChars="1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 xml:space="preserve"> </w:t>
      </w:r>
      <w:r>
        <w:rPr>
          <w:rFonts w:ascii="宋体" w:hAnsi="宋体"/>
          <w:color w:val="auto"/>
          <w:sz w:val="22"/>
          <w:szCs w:val="22"/>
        </w:rPr>
        <w:t>签约合同价为：</w:t>
      </w:r>
    </w:p>
    <w:p w14:paraId="78698180">
      <w:pPr>
        <w:spacing w:line="440" w:lineRule="exact"/>
        <w:ind w:left="548" w:leftChars="261"/>
        <w:rPr>
          <w:rFonts w:ascii="宋体" w:hAnsi="宋体"/>
          <w:color w:val="auto"/>
          <w:sz w:val="22"/>
          <w:szCs w:val="22"/>
        </w:rPr>
      </w:pPr>
      <w:r>
        <w:rPr>
          <w:rFonts w:ascii="宋体" w:hAnsi="宋体"/>
          <w:color w:val="auto"/>
          <w:sz w:val="22"/>
          <w:szCs w:val="22"/>
        </w:rPr>
        <w:t>人民币（大写）</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r>
        <w:rPr>
          <w:rFonts w:hint="eastAsia" w:ascii="宋体" w:hAnsi="宋体"/>
          <w:color w:val="auto"/>
          <w:sz w:val="22"/>
          <w:szCs w:val="22"/>
        </w:rPr>
        <w:t>￥</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元)；</w:t>
      </w:r>
    </w:p>
    <w:p w14:paraId="5CF71BC0">
      <w:pPr>
        <w:spacing w:line="440" w:lineRule="exact"/>
        <w:ind w:left="548" w:leftChars="261"/>
        <w:rPr>
          <w:rFonts w:ascii="宋体" w:hAnsi="宋体"/>
          <w:color w:val="auto"/>
          <w:sz w:val="22"/>
          <w:szCs w:val="22"/>
        </w:rPr>
      </w:pPr>
      <w:r>
        <w:rPr>
          <w:rFonts w:ascii="宋体" w:hAnsi="宋体"/>
          <w:color w:val="auto"/>
          <w:sz w:val="22"/>
          <w:szCs w:val="22"/>
        </w:rPr>
        <w:t>其中：</w:t>
      </w:r>
    </w:p>
    <w:p w14:paraId="30AD479D">
      <w:pPr>
        <w:spacing w:line="440" w:lineRule="exact"/>
        <w:ind w:left="548" w:leftChars="261"/>
        <w:rPr>
          <w:rFonts w:ascii="宋体" w:hAnsi="宋体"/>
          <w:color w:val="auto"/>
          <w:sz w:val="22"/>
          <w:szCs w:val="22"/>
        </w:rPr>
      </w:pPr>
      <w:r>
        <w:rPr>
          <w:rFonts w:ascii="宋体" w:hAnsi="宋体"/>
          <w:color w:val="auto"/>
          <w:sz w:val="22"/>
          <w:szCs w:val="22"/>
        </w:rPr>
        <w:t>（1）安全文明施工费：</w:t>
      </w:r>
    </w:p>
    <w:p w14:paraId="786EFCAD">
      <w:pPr>
        <w:spacing w:line="440" w:lineRule="exact"/>
        <w:ind w:left="548" w:leftChars="261"/>
        <w:rPr>
          <w:rFonts w:ascii="宋体" w:hAnsi="宋体"/>
          <w:color w:val="auto"/>
          <w:sz w:val="22"/>
          <w:szCs w:val="22"/>
        </w:rPr>
      </w:pPr>
      <w:r>
        <w:rPr>
          <w:rFonts w:ascii="宋体" w:hAnsi="宋体"/>
          <w:color w:val="auto"/>
          <w:sz w:val="22"/>
          <w:szCs w:val="22"/>
        </w:rPr>
        <w:t>人民币（大写）</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r>
        <w:rPr>
          <w:rFonts w:hint="eastAsia" w:ascii="宋体" w:hAnsi="宋体"/>
          <w:color w:val="auto"/>
          <w:sz w:val="22"/>
          <w:szCs w:val="22"/>
        </w:rPr>
        <w:t>￥</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元)；</w:t>
      </w:r>
    </w:p>
    <w:p w14:paraId="2212A99C">
      <w:pPr>
        <w:spacing w:line="440" w:lineRule="exact"/>
        <w:ind w:left="548" w:leftChars="261"/>
        <w:rPr>
          <w:rFonts w:ascii="宋体" w:hAnsi="宋体"/>
          <w:color w:val="auto"/>
          <w:sz w:val="22"/>
          <w:szCs w:val="22"/>
        </w:rPr>
      </w:pPr>
      <w:r>
        <w:rPr>
          <w:rFonts w:ascii="宋体" w:hAnsi="宋体"/>
          <w:color w:val="auto"/>
          <w:sz w:val="22"/>
          <w:szCs w:val="22"/>
        </w:rPr>
        <w:t>（2）材料和工程设备暂估价金额：</w:t>
      </w:r>
    </w:p>
    <w:p w14:paraId="3CDABA65">
      <w:pPr>
        <w:spacing w:line="440" w:lineRule="exact"/>
        <w:ind w:left="548" w:leftChars="261"/>
        <w:rPr>
          <w:rFonts w:ascii="宋体" w:hAnsi="宋体"/>
          <w:color w:val="auto"/>
          <w:sz w:val="22"/>
          <w:szCs w:val="22"/>
        </w:rPr>
      </w:pPr>
      <w:r>
        <w:rPr>
          <w:rFonts w:ascii="宋体" w:hAnsi="宋体"/>
          <w:color w:val="auto"/>
          <w:sz w:val="22"/>
          <w:szCs w:val="22"/>
        </w:rPr>
        <w:t>人民币（大写）</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r>
        <w:rPr>
          <w:rFonts w:hint="eastAsia" w:ascii="宋体" w:hAnsi="宋体"/>
          <w:color w:val="auto"/>
          <w:sz w:val="22"/>
          <w:szCs w:val="22"/>
        </w:rPr>
        <w:t>￥</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元)；</w:t>
      </w:r>
    </w:p>
    <w:p w14:paraId="4F604CBD">
      <w:pPr>
        <w:spacing w:line="440" w:lineRule="exact"/>
        <w:ind w:left="548" w:leftChars="261"/>
        <w:rPr>
          <w:rFonts w:ascii="宋体" w:hAnsi="宋体"/>
          <w:color w:val="auto"/>
          <w:sz w:val="22"/>
          <w:szCs w:val="22"/>
        </w:rPr>
      </w:pPr>
      <w:r>
        <w:rPr>
          <w:rFonts w:ascii="宋体" w:hAnsi="宋体"/>
          <w:color w:val="auto"/>
          <w:sz w:val="22"/>
          <w:szCs w:val="22"/>
        </w:rPr>
        <w:t>（3）专业工程暂估价金额：</w:t>
      </w:r>
    </w:p>
    <w:p w14:paraId="338E995C">
      <w:pPr>
        <w:spacing w:line="440" w:lineRule="exact"/>
        <w:ind w:left="548" w:leftChars="261"/>
        <w:rPr>
          <w:rFonts w:ascii="宋体" w:hAnsi="宋体"/>
          <w:color w:val="auto"/>
          <w:sz w:val="22"/>
          <w:szCs w:val="22"/>
        </w:rPr>
      </w:pPr>
      <w:r>
        <w:rPr>
          <w:rFonts w:ascii="宋体" w:hAnsi="宋体"/>
          <w:color w:val="auto"/>
          <w:sz w:val="22"/>
          <w:szCs w:val="22"/>
        </w:rPr>
        <w:t>人民币（大写）</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r>
        <w:rPr>
          <w:rFonts w:hint="eastAsia" w:ascii="宋体" w:hAnsi="宋体"/>
          <w:color w:val="auto"/>
          <w:sz w:val="22"/>
          <w:szCs w:val="22"/>
        </w:rPr>
        <w:t>￥</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元)；</w:t>
      </w:r>
    </w:p>
    <w:p w14:paraId="087AB830">
      <w:pPr>
        <w:spacing w:line="440" w:lineRule="exact"/>
        <w:ind w:left="548" w:leftChars="261"/>
        <w:rPr>
          <w:rFonts w:ascii="宋体" w:hAnsi="宋体"/>
          <w:color w:val="auto"/>
          <w:sz w:val="22"/>
          <w:szCs w:val="22"/>
        </w:rPr>
      </w:pPr>
      <w:r>
        <w:rPr>
          <w:rFonts w:ascii="宋体" w:hAnsi="宋体"/>
          <w:color w:val="auto"/>
          <w:sz w:val="22"/>
          <w:szCs w:val="22"/>
        </w:rPr>
        <w:t>（4）暂列金额：</w:t>
      </w:r>
    </w:p>
    <w:p w14:paraId="091000A2">
      <w:pPr>
        <w:spacing w:line="440" w:lineRule="exact"/>
        <w:ind w:left="548" w:leftChars="261"/>
        <w:rPr>
          <w:rFonts w:ascii="宋体" w:hAnsi="宋体"/>
          <w:color w:val="auto"/>
          <w:sz w:val="22"/>
          <w:szCs w:val="22"/>
        </w:rPr>
      </w:pPr>
      <w:r>
        <w:rPr>
          <w:rFonts w:ascii="宋体" w:hAnsi="宋体"/>
          <w:color w:val="auto"/>
          <w:sz w:val="22"/>
          <w:szCs w:val="22"/>
        </w:rPr>
        <w:t>人民币（大写）</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r>
        <w:rPr>
          <w:rFonts w:hint="eastAsia" w:ascii="宋体" w:hAnsi="宋体"/>
          <w:color w:val="auto"/>
          <w:sz w:val="22"/>
          <w:szCs w:val="22"/>
        </w:rPr>
        <w:t>￥</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元)。</w:t>
      </w:r>
    </w:p>
    <w:p w14:paraId="3944A606">
      <w:pPr>
        <w:spacing w:line="440" w:lineRule="exact"/>
        <w:ind w:left="548" w:leftChars="261"/>
        <w:rPr>
          <w:rFonts w:hint="eastAsia" w:ascii="宋体" w:hAnsi="宋体"/>
          <w:color w:val="auto"/>
          <w:sz w:val="22"/>
          <w:szCs w:val="22"/>
        </w:rPr>
      </w:pPr>
      <w:r>
        <w:rPr>
          <w:rFonts w:ascii="宋体" w:hAnsi="宋体"/>
          <w:color w:val="auto"/>
          <w:sz w:val="22"/>
          <w:szCs w:val="22"/>
        </w:rPr>
        <w:t>2.合同价格形式：</w:t>
      </w:r>
      <w:r>
        <w:rPr>
          <w:rFonts w:ascii="宋体" w:hAnsi="宋体"/>
          <w:color w:val="auto"/>
          <w:sz w:val="22"/>
          <w:szCs w:val="22"/>
          <w:u w:val="single"/>
        </w:rPr>
        <w:t xml:space="preserve">    </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5D6338E9">
      <w:pPr>
        <w:spacing w:line="440" w:lineRule="exact"/>
        <w:rPr>
          <w:rFonts w:hint="eastAsia" w:ascii="宋体" w:hAnsi="宋体"/>
          <w:b/>
          <w:bCs/>
          <w:color w:val="auto"/>
          <w:sz w:val="22"/>
          <w:szCs w:val="22"/>
        </w:rPr>
      </w:pPr>
      <w:r>
        <w:rPr>
          <w:rFonts w:hint="eastAsia" w:ascii="宋体" w:hAnsi="宋体"/>
          <w:b/>
          <w:bCs/>
          <w:color w:val="auto"/>
          <w:sz w:val="22"/>
          <w:szCs w:val="22"/>
        </w:rPr>
        <w:t>五、 项目经理</w:t>
      </w:r>
    </w:p>
    <w:p w14:paraId="68474148">
      <w:pPr>
        <w:spacing w:line="440" w:lineRule="exact"/>
        <w:ind w:left="548" w:leftChars="261"/>
        <w:rPr>
          <w:rFonts w:hint="eastAsia" w:ascii="宋体" w:hAnsi="宋体"/>
          <w:color w:val="auto"/>
          <w:sz w:val="22"/>
          <w:szCs w:val="22"/>
        </w:rPr>
      </w:pPr>
      <w:r>
        <w:rPr>
          <w:rFonts w:ascii="宋体" w:hAnsi="宋体"/>
          <w:color w:val="auto"/>
          <w:sz w:val="22"/>
          <w:szCs w:val="22"/>
        </w:rPr>
        <w:t>承包人项目经理</w:t>
      </w:r>
      <w:r>
        <w:rPr>
          <w:rFonts w:hint="eastAsia" w:ascii="宋体" w:hAnsi="宋体"/>
          <w:color w:val="auto"/>
          <w:sz w:val="22"/>
          <w:szCs w:val="22"/>
        </w:rPr>
        <w:t>（项目负责人）</w:t>
      </w:r>
      <w:r>
        <w:rPr>
          <w:rFonts w:ascii="宋体" w:hAnsi="宋体"/>
          <w:color w:val="auto"/>
          <w:sz w:val="22"/>
          <w:szCs w:val="22"/>
        </w:rPr>
        <w:t>：</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16B70B54">
      <w:pPr>
        <w:spacing w:line="440" w:lineRule="exact"/>
        <w:rPr>
          <w:rFonts w:hint="eastAsia" w:ascii="宋体" w:hAnsi="宋体"/>
          <w:b/>
          <w:bCs/>
          <w:color w:val="auto"/>
          <w:sz w:val="22"/>
          <w:szCs w:val="22"/>
        </w:rPr>
      </w:pPr>
      <w:r>
        <w:rPr>
          <w:rFonts w:hint="eastAsia" w:ascii="宋体" w:hAnsi="宋体"/>
          <w:b/>
          <w:bCs/>
          <w:color w:val="auto"/>
          <w:sz w:val="22"/>
          <w:szCs w:val="22"/>
        </w:rPr>
        <w:t>六、 合同文件构成</w:t>
      </w:r>
    </w:p>
    <w:p w14:paraId="5B601FEB">
      <w:pPr>
        <w:spacing w:line="440" w:lineRule="exact"/>
        <w:ind w:firstLine="550" w:firstLineChars="250"/>
        <w:rPr>
          <w:rFonts w:ascii="宋体" w:hAnsi="宋体"/>
          <w:color w:val="auto"/>
          <w:sz w:val="22"/>
          <w:szCs w:val="22"/>
        </w:rPr>
      </w:pPr>
      <w:r>
        <w:rPr>
          <w:rFonts w:ascii="宋体" w:hAnsi="宋体"/>
          <w:color w:val="auto"/>
          <w:sz w:val="22"/>
          <w:szCs w:val="22"/>
        </w:rPr>
        <w:t>本协议书与下列文件一起构成合同文件：</w:t>
      </w:r>
    </w:p>
    <w:p w14:paraId="5D92E6BD">
      <w:pPr>
        <w:spacing w:line="440" w:lineRule="exact"/>
        <w:rPr>
          <w:rFonts w:hint="eastAsia" w:ascii="宋体" w:hAnsi="宋体"/>
          <w:color w:val="auto"/>
          <w:sz w:val="22"/>
          <w:szCs w:val="22"/>
        </w:rPr>
      </w:pPr>
      <w:r>
        <w:rPr>
          <w:rFonts w:hint="eastAsia" w:ascii="宋体" w:hAnsi="宋体"/>
          <w:color w:val="auto"/>
          <w:sz w:val="22"/>
          <w:szCs w:val="22"/>
        </w:rPr>
        <w:t>（1）成交通知书</w:t>
      </w:r>
    </w:p>
    <w:p w14:paraId="4C1D2893">
      <w:pPr>
        <w:spacing w:line="440" w:lineRule="exact"/>
        <w:rPr>
          <w:rFonts w:hint="eastAsia" w:ascii="宋体" w:hAnsi="宋体"/>
          <w:color w:val="auto"/>
          <w:sz w:val="22"/>
          <w:szCs w:val="22"/>
        </w:rPr>
      </w:pPr>
      <w:r>
        <w:rPr>
          <w:rFonts w:hint="eastAsia" w:ascii="宋体" w:hAnsi="宋体"/>
          <w:color w:val="auto"/>
          <w:sz w:val="22"/>
          <w:szCs w:val="22"/>
        </w:rPr>
        <w:t>（2）磋商响应</w:t>
      </w:r>
      <w:r>
        <w:rPr>
          <w:rFonts w:ascii="宋体" w:hAnsi="宋体"/>
          <w:color w:val="auto"/>
          <w:sz w:val="22"/>
          <w:szCs w:val="22"/>
        </w:rPr>
        <w:t>函及其附录</w:t>
      </w:r>
    </w:p>
    <w:p w14:paraId="5EFA631A">
      <w:pPr>
        <w:spacing w:line="440" w:lineRule="exact"/>
        <w:rPr>
          <w:rFonts w:hint="eastAsia" w:ascii="宋体" w:hAnsi="宋体"/>
          <w:color w:val="auto"/>
          <w:sz w:val="22"/>
          <w:szCs w:val="22"/>
        </w:rPr>
      </w:pPr>
      <w:r>
        <w:rPr>
          <w:rFonts w:hint="eastAsia" w:ascii="宋体" w:hAnsi="宋体"/>
          <w:color w:val="auto"/>
          <w:sz w:val="22"/>
          <w:szCs w:val="22"/>
        </w:rPr>
        <w:t>（3）本合同专用条款及附件</w:t>
      </w:r>
    </w:p>
    <w:p w14:paraId="77A7F570">
      <w:pPr>
        <w:spacing w:line="440" w:lineRule="exact"/>
        <w:rPr>
          <w:rFonts w:hint="eastAsia" w:ascii="宋体" w:hAnsi="宋体"/>
          <w:color w:val="auto"/>
          <w:sz w:val="22"/>
          <w:szCs w:val="22"/>
        </w:rPr>
      </w:pPr>
      <w:r>
        <w:rPr>
          <w:rFonts w:hint="eastAsia" w:ascii="宋体" w:hAnsi="宋体"/>
          <w:color w:val="auto"/>
          <w:sz w:val="22"/>
          <w:szCs w:val="22"/>
        </w:rPr>
        <w:t>（4）本合同通用条款</w:t>
      </w:r>
    </w:p>
    <w:p w14:paraId="21223235">
      <w:pPr>
        <w:spacing w:line="440" w:lineRule="exact"/>
        <w:rPr>
          <w:rFonts w:hint="eastAsia" w:ascii="宋体" w:hAnsi="宋体"/>
          <w:color w:val="auto"/>
          <w:sz w:val="22"/>
          <w:szCs w:val="22"/>
        </w:rPr>
      </w:pPr>
      <w:r>
        <w:rPr>
          <w:rFonts w:hint="eastAsia" w:ascii="宋体" w:hAnsi="宋体"/>
          <w:color w:val="auto"/>
          <w:sz w:val="22"/>
          <w:szCs w:val="22"/>
        </w:rPr>
        <w:t>（5）磋商文件、磋商响应文件及其附件</w:t>
      </w:r>
    </w:p>
    <w:p w14:paraId="0B9FC9BF">
      <w:pPr>
        <w:spacing w:line="440" w:lineRule="exact"/>
        <w:rPr>
          <w:rFonts w:hint="eastAsia" w:ascii="宋体" w:hAnsi="宋体"/>
          <w:color w:val="auto"/>
          <w:sz w:val="22"/>
          <w:szCs w:val="22"/>
        </w:rPr>
      </w:pPr>
      <w:r>
        <w:rPr>
          <w:rFonts w:hint="eastAsia" w:ascii="宋体" w:hAnsi="宋体"/>
          <w:color w:val="auto"/>
          <w:sz w:val="22"/>
          <w:szCs w:val="22"/>
        </w:rPr>
        <w:t>（7）技术标准和要求</w:t>
      </w:r>
    </w:p>
    <w:p w14:paraId="33B610EB">
      <w:pPr>
        <w:spacing w:line="440" w:lineRule="exact"/>
        <w:rPr>
          <w:rFonts w:hint="eastAsia" w:ascii="宋体" w:hAnsi="宋体"/>
          <w:color w:val="auto"/>
          <w:sz w:val="22"/>
          <w:szCs w:val="22"/>
        </w:rPr>
      </w:pPr>
      <w:r>
        <w:rPr>
          <w:rFonts w:hint="eastAsia" w:ascii="宋体" w:hAnsi="宋体"/>
          <w:color w:val="auto"/>
          <w:sz w:val="22"/>
          <w:szCs w:val="22"/>
        </w:rPr>
        <w:t>（8）图纸</w:t>
      </w:r>
    </w:p>
    <w:p w14:paraId="5F6AA6BD">
      <w:pPr>
        <w:spacing w:line="440" w:lineRule="exact"/>
        <w:rPr>
          <w:rFonts w:hint="eastAsia" w:ascii="宋体" w:hAnsi="宋体"/>
          <w:color w:val="auto"/>
          <w:sz w:val="22"/>
          <w:szCs w:val="22"/>
        </w:rPr>
      </w:pPr>
      <w:r>
        <w:rPr>
          <w:rFonts w:hint="eastAsia" w:ascii="宋体" w:hAnsi="宋体"/>
          <w:color w:val="auto"/>
          <w:sz w:val="22"/>
          <w:szCs w:val="22"/>
        </w:rPr>
        <w:t>（9）</w:t>
      </w:r>
      <w:r>
        <w:rPr>
          <w:rFonts w:ascii="宋体" w:hAnsi="宋体"/>
          <w:color w:val="auto"/>
          <w:sz w:val="22"/>
          <w:szCs w:val="22"/>
        </w:rPr>
        <w:t>已标价工程量清单或预算书</w:t>
      </w:r>
    </w:p>
    <w:p w14:paraId="5928C065">
      <w:pPr>
        <w:spacing w:line="440" w:lineRule="exact"/>
        <w:rPr>
          <w:rFonts w:hint="eastAsia" w:ascii="宋体" w:hAnsi="宋体"/>
          <w:color w:val="auto"/>
          <w:sz w:val="22"/>
          <w:szCs w:val="22"/>
        </w:rPr>
      </w:pPr>
      <w:r>
        <w:rPr>
          <w:rFonts w:hint="eastAsia" w:ascii="宋体" w:hAnsi="宋体"/>
          <w:color w:val="auto"/>
          <w:sz w:val="22"/>
          <w:szCs w:val="22"/>
        </w:rPr>
        <w:t>（10）</w:t>
      </w:r>
      <w:r>
        <w:rPr>
          <w:rFonts w:ascii="宋体" w:hAnsi="宋体"/>
          <w:color w:val="auto"/>
          <w:sz w:val="22"/>
          <w:szCs w:val="22"/>
        </w:rPr>
        <w:t>其他合同文件</w:t>
      </w:r>
    </w:p>
    <w:p w14:paraId="3A3F7012">
      <w:pPr>
        <w:spacing w:line="440" w:lineRule="exact"/>
        <w:ind w:firstLine="550" w:firstLineChars="250"/>
        <w:rPr>
          <w:rFonts w:ascii="宋体" w:hAnsi="宋体"/>
          <w:color w:val="auto"/>
          <w:sz w:val="22"/>
          <w:szCs w:val="22"/>
        </w:rPr>
      </w:pPr>
      <w:r>
        <w:rPr>
          <w:rFonts w:ascii="宋体" w:hAnsi="宋体"/>
          <w:color w:val="auto"/>
          <w:sz w:val="22"/>
          <w:szCs w:val="22"/>
        </w:rPr>
        <w:t>在合同订立及履行过程中形成的与合同有关的文件均构成合同文件组成部分。</w:t>
      </w:r>
    </w:p>
    <w:p w14:paraId="7D9E9F8B">
      <w:pPr>
        <w:spacing w:line="440" w:lineRule="exact"/>
        <w:ind w:left="548" w:leftChars="261"/>
        <w:rPr>
          <w:rFonts w:hint="eastAsia" w:ascii="宋体" w:hAnsi="宋体"/>
          <w:color w:val="auto"/>
          <w:sz w:val="22"/>
          <w:szCs w:val="22"/>
        </w:rPr>
      </w:pPr>
      <w:r>
        <w:rPr>
          <w:rFonts w:ascii="宋体" w:hAnsi="宋体"/>
          <w:color w:val="auto"/>
          <w:sz w:val="22"/>
          <w:szCs w:val="22"/>
        </w:rPr>
        <w:t>上述各项合同文件包括合同当事人就该项合同文件所作出的补充和修改，属于同一类内容的文件，应以最新签署的为准。</w:t>
      </w:r>
      <w:r>
        <w:rPr>
          <w:rFonts w:hint="eastAsia" w:ascii="宋体" w:hAnsi="宋体"/>
          <w:color w:val="auto"/>
          <w:sz w:val="22"/>
          <w:szCs w:val="22"/>
        </w:rPr>
        <w:t>专用合同条款及其附件须经合同当事人签字或盖章。</w:t>
      </w:r>
      <w:bookmarkStart w:id="37" w:name="_Toc351203487"/>
    </w:p>
    <w:p w14:paraId="5FBEBDC7">
      <w:pPr>
        <w:spacing w:line="440" w:lineRule="exact"/>
        <w:rPr>
          <w:rFonts w:ascii="宋体" w:hAnsi="宋体"/>
          <w:color w:val="auto"/>
          <w:sz w:val="22"/>
          <w:szCs w:val="22"/>
        </w:rPr>
      </w:pPr>
      <w:r>
        <w:rPr>
          <w:rFonts w:hint="eastAsia" w:ascii="宋体" w:hAnsi="宋体"/>
          <w:b/>
          <w:bCs/>
          <w:color w:val="auto"/>
          <w:sz w:val="22"/>
          <w:szCs w:val="22"/>
        </w:rPr>
        <w:t>七</w:t>
      </w:r>
      <w:r>
        <w:rPr>
          <w:rFonts w:ascii="宋体" w:hAnsi="宋体"/>
          <w:b/>
          <w:bCs/>
          <w:color w:val="auto"/>
          <w:sz w:val="22"/>
          <w:szCs w:val="22"/>
        </w:rPr>
        <w:t>、</w:t>
      </w:r>
      <w:r>
        <w:rPr>
          <w:rFonts w:hint="eastAsia" w:ascii="宋体" w:hAnsi="宋体"/>
          <w:b/>
          <w:bCs/>
          <w:color w:val="auto"/>
          <w:sz w:val="22"/>
          <w:szCs w:val="22"/>
        </w:rPr>
        <w:t xml:space="preserve"> </w:t>
      </w:r>
      <w:r>
        <w:rPr>
          <w:rFonts w:ascii="宋体" w:hAnsi="宋体"/>
          <w:b/>
          <w:bCs/>
          <w:color w:val="auto"/>
          <w:sz w:val="22"/>
          <w:szCs w:val="22"/>
        </w:rPr>
        <w:t>承诺</w:t>
      </w:r>
      <w:bookmarkEnd w:id="37"/>
    </w:p>
    <w:p w14:paraId="307BB53E">
      <w:pPr>
        <w:spacing w:line="440" w:lineRule="exact"/>
        <w:ind w:left="569" w:leftChars="114" w:hanging="330" w:hangingChars="150"/>
        <w:rPr>
          <w:rFonts w:ascii="宋体" w:hAnsi="宋体"/>
          <w:color w:val="auto"/>
          <w:sz w:val="22"/>
          <w:szCs w:val="22"/>
        </w:rPr>
      </w:pPr>
      <w:r>
        <w:rPr>
          <w:rFonts w:hint="eastAsia" w:ascii="宋体" w:hAnsi="宋体"/>
          <w:color w:val="auto"/>
          <w:sz w:val="22"/>
          <w:szCs w:val="22"/>
        </w:rPr>
        <w:t xml:space="preserve">1. </w:t>
      </w:r>
      <w:r>
        <w:rPr>
          <w:rFonts w:ascii="宋体" w:hAnsi="宋体"/>
          <w:color w:val="auto"/>
          <w:sz w:val="22"/>
          <w:szCs w:val="22"/>
        </w:rPr>
        <w:t>发包人承诺按照法律规定履行项目审批手续、筹集工程建设资金并按照合同约定的期限和方式支付合同价款。</w:t>
      </w:r>
    </w:p>
    <w:p w14:paraId="01F1E53C">
      <w:pPr>
        <w:spacing w:line="440" w:lineRule="exact"/>
        <w:ind w:left="548" w:leftChars="104" w:hanging="330" w:hangingChars="150"/>
        <w:rPr>
          <w:rFonts w:ascii="宋体" w:hAnsi="宋体"/>
          <w:color w:val="auto"/>
          <w:sz w:val="22"/>
          <w:szCs w:val="22"/>
        </w:rPr>
      </w:pPr>
      <w:r>
        <w:rPr>
          <w:rFonts w:hint="eastAsia" w:ascii="宋体" w:hAnsi="宋体"/>
          <w:color w:val="auto"/>
          <w:sz w:val="22"/>
          <w:szCs w:val="22"/>
        </w:rPr>
        <w:t xml:space="preserve">2. </w:t>
      </w:r>
      <w:r>
        <w:rPr>
          <w:rFonts w:ascii="宋体" w:hAnsi="宋体"/>
          <w:color w:val="auto"/>
          <w:sz w:val="22"/>
          <w:szCs w:val="22"/>
        </w:rPr>
        <w:t>承包人承诺按照法律规定及合同约定组织完成工程施工，确保工程质量和安全，不进行转包及违法分包，并在缺陷责任期及保修期内承担相应的工程维修责任。</w:t>
      </w:r>
    </w:p>
    <w:p w14:paraId="0F58DE50">
      <w:pPr>
        <w:spacing w:line="440" w:lineRule="exact"/>
        <w:ind w:left="548" w:leftChars="104" w:hanging="330" w:hangingChars="150"/>
        <w:rPr>
          <w:rFonts w:ascii="宋体" w:hAnsi="宋体"/>
          <w:color w:val="auto"/>
          <w:sz w:val="22"/>
          <w:szCs w:val="22"/>
        </w:rPr>
      </w:pPr>
      <w:r>
        <w:rPr>
          <w:rFonts w:ascii="宋体" w:hAnsi="宋体"/>
          <w:color w:val="auto"/>
          <w:sz w:val="22"/>
          <w:szCs w:val="22"/>
        </w:rPr>
        <w:t>3.</w:t>
      </w:r>
      <w:r>
        <w:rPr>
          <w:rFonts w:hint="eastAsia" w:ascii="宋体" w:hAnsi="宋体"/>
          <w:color w:val="auto"/>
          <w:sz w:val="22"/>
          <w:szCs w:val="22"/>
        </w:rPr>
        <w:t xml:space="preserve"> </w:t>
      </w:r>
      <w:r>
        <w:rPr>
          <w:rFonts w:ascii="宋体" w:hAnsi="宋体"/>
          <w:color w:val="auto"/>
          <w:sz w:val="22"/>
          <w:szCs w:val="22"/>
        </w:rPr>
        <w:t>发包人和承包人通过磋商形式签订合同的，双方理解并</w:t>
      </w:r>
      <w:r>
        <w:rPr>
          <w:rFonts w:hint="eastAsia" w:ascii="宋体" w:hAnsi="宋体"/>
          <w:color w:val="auto"/>
          <w:sz w:val="22"/>
          <w:szCs w:val="22"/>
        </w:rPr>
        <w:t>承诺</w:t>
      </w:r>
      <w:r>
        <w:rPr>
          <w:rFonts w:ascii="宋体" w:hAnsi="宋体"/>
          <w:color w:val="auto"/>
          <w:sz w:val="22"/>
          <w:szCs w:val="22"/>
        </w:rPr>
        <w:t>不再就同一工程另行签订与合同实质性内容相背离的协议。</w:t>
      </w:r>
    </w:p>
    <w:p w14:paraId="3612C36A">
      <w:pPr>
        <w:spacing w:line="440" w:lineRule="exact"/>
        <w:rPr>
          <w:rFonts w:hint="eastAsia" w:eastAsia="黑体"/>
          <w:bCs/>
          <w:color w:val="auto"/>
          <w:sz w:val="32"/>
          <w:szCs w:val="32"/>
        </w:rPr>
      </w:pPr>
      <w:bookmarkStart w:id="38" w:name="_Toc351203488"/>
      <w:r>
        <w:rPr>
          <w:rFonts w:hint="eastAsia" w:ascii="宋体" w:hAnsi="宋体"/>
          <w:b/>
          <w:bCs/>
          <w:color w:val="auto"/>
          <w:sz w:val="22"/>
          <w:szCs w:val="22"/>
        </w:rPr>
        <w:t>八</w:t>
      </w:r>
      <w:r>
        <w:rPr>
          <w:rFonts w:ascii="宋体" w:hAnsi="宋体"/>
          <w:b/>
          <w:bCs/>
          <w:color w:val="auto"/>
          <w:sz w:val="22"/>
          <w:szCs w:val="22"/>
        </w:rPr>
        <w:t>、</w:t>
      </w:r>
      <w:r>
        <w:rPr>
          <w:rFonts w:hint="eastAsia" w:ascii="宋体" w:hAnsi="宋体"/>
          <w:b/>
          <w:bCs/>
          <w:color w:val="auto"/>
          <w:sz w:val="22"/>
          <w:szCs w:val="22"/>
        </w:rPr>
        <w:t xml:space="preserve"> </w:t>
      </w:r>
      <w:r>
        <w:rPr>
          <w:rFonts w:ascii="宋体" w:hAnsi="宋体"/>
          <w:b/>
          <w:bCs/>
          <w:color w:val="auto"/>
          <w:sz w:val="22"/>
          <w:szCs w:val="22"/>
        </w:rPr>
        <w:t>词语含义</w:t>
      </w:r>
      <w:bookmarkEnd w:id="38"/>
    </w:p>
    <w:p w14:paraId="5E43B4FF">
      <w:pPr>
        <w:spacing w:line="440" w:lineRule="exact"/>
        <w:ind w:left="548" w:leftChars="261"/>
        <w:rPr>
          <w:rFonts w:ascii="宋体" w:hAnsi="宋体"/>
          <w:color w:val="auto"/>
          <w:sz w:val="22"/>
          <w:szCs w:val="22"/>
        </w:rPr>
      </w:pPr>
      <w:r>
        <w:rPr>
          <w:rFonts w:ascii="宋体" w:hAnsi="宋体"/>
          <w:color w:val="auto"/>
          <w:sz w:val="22"/>
          <w:szCs w:val="22"/>
        </w:rPr>
        <w:t>本协议书中词语含义与第二部分通用合同条款中赋予的含义相同。</w:t>
      </w:r>
    </w:p>
    <w:p w14:paraId="76E4E5E3">
      <w:pPr>
        <w:spacing w:line="440" w:lineRule="exact"/>
        <w:rPr>
          <w:rFonts w:ascii="宋体" w:hAnsi="宋体"/>
          <w:b/>
          <w:bCs/>
          <w:color w:val="auto"/>
          <w:sz w:val="22"/>
          <w:szCs w:val="22"/>
        </w:rPr>
      </w:pPr>
      <w:bookmarkStart w:id="39" w:name="_Toc351203489"/>
      <w:r>
        <w:rPr>
          <w:rFonts w:hint="eastAsia" w:ascii="宋体" w:hAnsi="宋体"/>
          <w:b/>
          <w:bCs/>
          <w:color w:val="auto"/>
          <w:sz w:val="22"/>
          <w:szCs w:val="22"/>
        </w:rPr>
        <w:t>九</w:t>
      </w:r>
      <w:r>
        <w:rPr>
          <w:rFonts w:ascii="宋体" w:hAnsi="宋体"/>
          <w:b/>
          <w:bCs/>
          <w:color w:val="auto"/>
          <w:sz w:val="22"/>
          <w:szCs w:val="22"/>
        </w:rPr>
        <w:t>、</w:t>
      </w:r>
      <w:r>
        <w:rPr>
          <w:rFonts w:hint="eastAsia" w:ascii="宋体" w:hAnsi="宋体"/>
          <w:b/>
          <w:bCs/>
          <w:color w:val="auto"/>
          <w:sz w:val="22"/>
          <w:szCs w:val="22"/>
        </w:rPr>
        <w:t xml:space="preserve"> </w:t>
      </w:r>
      <w:r>
        <w:rPr>
          <w:rFonts w:ascii="宋体" w:hAnsi="宋体"/>
          <w:b/>
          <w:bCs/>
          <w:color w:val="auto"/>
          <w:sz w:val="22"/>
          <w:szCs w:val="22"/>
        </w:rPr>
        <w:t>签订时间</w:t>
      </w:r>
      <w:bookmarkEnd w:id="39"/>
    </w:p>
    <w:p w14:paraId="41AA8318">
      <w:pPr>
        <w:spacing w:line="440" w:lineRule="exact"/>
        <w:ind w:left="548" w:leftChars="261"/>
        <w:rPr>
          <w:rFonts w:ascii="宋体" w:hAnsi="宋体"/>
          <w:color w:val="auto"/>
          <w:sz w:val="22"/>
          <w:szCs w:val="22"/>
        </w:rPr>
      </w:pPr>
      <w:r>
        <w:rPr>
          <w:rFonts w:ascii="宋体" w:hAnsi="宋体"/>
          <w:color w:val="auto"/>
          <w:sz w:val="22"/>
          <w:szCs w:val="22"/>
        </w:rPr>
        <w:t>本合同于</w:t>
      </w:r>
      <w:r>
        <w:rPr>
          <w:rFonts w:ascii="宋体" w:hAnsi="宋体"/>
          <w:color w:val="auto"/>
          <w:sz w:val="22"/>
          <w:szCs w:val="22"/>
          <w:u w:val="single"/>
        </w:rPr>
        <w:t xml:space="preserve">    </w:t>
      </w:r>
      <w:r>
        <w:rPr>
          <w:rFonts w:hint="eastAsia" w:ascii="宋体" w:hAnsi="宋体"/>
          <w:color w:val="auto"/>
          <w:sz w:val="22"/>
          <w:szCs w:val="22"/>
          <w:u w:val="single"/>
        </w:rPr>
        <w:t>202</w:t>
      </w:r>
      <w:r>
        <w:rPr>
          <w:rFonts w:hint="eastAsia" w:ascii="宋体" w:hAnsi="宋体"/>
          <w:color w:val="auto"/>
          <w:sz w:val="22"/>
          <w:szCs w:val="22"/>
          <w:u w:val="single"/>
          <w:lang w:val="en-US" w:eastAsia="zh-CN"/>
        </w:rPr>
        <w:t>4</w:t>
      </w:r>
      <w:r>
        <w:rPr>
          <w:rFonts w:ascii="宋体" w:hAnsi="宋体"/>
          <w:color w:val="auto"/>
          <w:sz w:val="22"/>
          <w:szCs w:val="22"/>
          <w:u w:val="single"/>
        </w:rPr>
        <w:t xml:space="preserve">   </w:t>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ascii="宋体" w:hAnsi="宋体"/>
          <w:color w:val="auto"/>
          <w:sz w:val="22"/>
          <w:szCs w:val="22"/>
        </w:rPr>
        <w:t>日签订。</w:t>
      </w:r>
    </w:p>
    <w:p w14:paraId="1513D4FE">
      <w:pPr>
        <w:spacing w:line="440" w:lineRule="exact"/>
        <w:rPr>
          <w:rFonts w:eastAsia="黑体"/>
          <w:bCs/>
          <w:color w:val="auto"/>
          <w:sz w:val="32"/>
          <w:szCs w:val="32"/>
        </w:rPr>
      </w:pPr>
      <w:bookmarkStart w:id="40" w:name="_Toc351203490"/>
      <w:r>
        <w:rPr>
          <w:rFonts w:ascii="宋体" w:hAnsi="宋体"/>
          <w:b/>
          <w:bCs/>
          <w:color w:val="auto"/>
          <w:sz w:val="22"/>
          <w:szCs w:val="22"/>
        </w:rPr>
        <w:t>十、</w:t>
      </w:r>
      <w:r>
        <w:rPr>
          <w:rFonts w:hint="eastAsia" w:ascii="宋体" w:hAnsi="宋体"/>
          <w:b/>
          <w:bCs/>
          <w:color w:val="auto"/>
          <w:sz w:val="22"/>
          <w:szCs w:val="22"/>
        </w:rPr>
        <w:t xml:space="preserve"> </w:t>
      </w:r>
      <w:r>
        <w:rPr>
          <w:rFonts w:ascii="宋体" w:hAnsi="宋体"/>
          <w:b/>
          <w:bCs/>
          <w:color w:val="auto"/>
          <w:sz w:val="22"/>
          <w:szCs w:val="22"/>
        </w:rPr>
        <w:t>签订地点</w:t>
      </w:r>
      <w:bookmarkEnd w:id="40"/>
    </w:p>
    <w:p w14:paraId="116F8DCB">
      <w:pPr>
        <w:spacing w:line="440" w:lineRule="exact"/>
        <w:ind w:left="548" w:leftChars="261"/>
        <w:rPr>
          <w:rFonts w:ascii="宋体" w:hAnsi="宋体"/>
          <w:color w:val="auto"/>
          <w:sz w:val="22"/>
          <w:szCs w:val="22"/>
        </w:rPr>
      </w:pPr>
      <w:r>
        <w:rPr>
          <w:rFonts w:ascii="宋体" w:hAnsi="宋体"/>
          <w:color w:val="auto"/>
          <w:sz w:val="22"/>
          <w:szCs w:val="22"/>
        </w:rPr>
        <w:t>本合同在</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签订。</w:t>
      </w:r>
    </w:p>
    <w:p w14:paraId="06082549">
      <w:pPr>
        <w:spacing w:line="440" w:lineRule="exact"/>
        <w:rPr>
          <w:rFonts w:ascii="宋体" w:hAnsi="宋体"/>
          <w:b/>
          <w:bCs/>
          <w:color w:val="auto"/>
          <w:sz w:val="22"/>
          <w:szCs w:val="22"/>
        </w:rPr>
      </w:pPr>
      <w:bookmarkStart w:id="41" w:name="_Toc351203491"/>
      <w:r>
        <w:rPr>
          <w:rFonts w:ascii="宋体" w:hAnsi="宋体"/>
          <w:b/>
          <w:bCs/>
          <w:color w:val="auto"/>
          <w:sz w:val="22"/>
          <w:szCs w:val="22"/>
        </w:rPr>
        <w:t>十</w:t>
      </w:r>
      <w:r>
        <w:rPr>
          <w:rFonts w:hint="eastAsia" w:ascii="宋体" w:hAnsi="宋体"/>
          <w:b/>
          <w:bCs/>
          <w:color w:val="auto"/>
          <w:sz w:val="22"/>
          <w:szCs w:val="22"/>
        </w:rPr>
        <w:t>一</w:t>
      </w:r>
      <w:r>
        <w:rPr>
          <w:rFonts w:ascii="宋体" w:hAnsi="宋体"/>
          <w:b/>
          <w:bCs/>
          <w:color w:val="auto"/>
          <w:sz w:val="22"/>
          <w:szCs w:val="22"/>
        </w:rPr>
        <w:t>、补充协议</w:t>
      </w:r>
      <w:bookmarkEnd w:id="41"/>
    </w:p>
    <w:p w14:paraId="279D0A98">
      <w:pPr>
        <w:spacing w:line="440" w:lineRule="exact"/>
        <w:ind w:firstLine="550" w:firstLineChars="250"/>
        <w:rPr>
          <w:rFonts w:ascii="宋体" w:hAnsi="宋体"/>
          <w:color w:val="auto"/>
          <w:sz w:val="22"/>
          <w:szCs w:val="22"/>
        </w:rPr>
      </w:pPr>
      <w:r>
        <w:rPr>
          <w:rFonts w:ascii="宋体" w:hAnsi="宋体"/>
          <w:color w:val="auto"/>
          <w:sz w:val="22"/>
          <w:szCs w:val="22"/>
        </w:rPr>
        <w:t>合同未尽事宜，合同当事人另行签订补充协议</w:t>
      </w:r>
      <w:r>
        <w:rPr>
          <w:rFonts w:hint="eastAsia" w:ascii="宋体" w:hAnsi="宋体"/>
          <w:color w:val="auto"/>
          <w:sz w:val="22"/>
          <w:szCs w:val="22"/>
        </w:rPr>
        <w:t>，</w:t>
      </w:r>
      <w:r>
        <w:rPr>
          <w:rFonts w:ascii="宋体" w:hAnsi="宋体"/>
          <w:color w:val="auto"/>
          <w:sz w:val="22"/>
          <w:szCs w:val="22"/>
        </w:rPr>
        <w:t>补充协议是合同的组成部分。</w:t>
      </w:r>
    </w:p>
    <w:p w14:paraId="59845455">
      <w:pPr>
        <w:spacing w:line="440" w:lineRule="exact"/>
        <w:rPr>
          <w:rFonts w:ascii="宋体" w:hAnsi="宋体"/>
          <w:b/>
          <w:bCs/>
          <w:color w:val="auto"/>
          <w:sz w:val="22"/>
          <w:szCs w:val="22"/>
        </w:rPr>
      </w:pPr>
      <w:bookmarkStart w:id="42" w:name="_Toc351203492"/>
      <w:r>
        <w:rPr>
          <w:rFonts w:ascii="宋体" w:hAnsi="宋体"/>
          <w:b/>
          <w:bCs/>
          <w:color w:val="auto"/>
          <w:sz w:val="22"/>
          <w:szCs w:val="22"/>
        </w:rPr>
        <w:t>十</w:t>
      </w:r>
      <w:r>
        <w:rPr>
          <w:rFonts w:hint="eastAsia" w:ascii="宋体" w:hAnsi="宋体"/>
          <w:b/>
          <w:bCs/>
          <w:color w:val="auto"/>
          <w:sz w:val="22"/>
          <w:szCs w:val="22"/>
        </w:rPr>
        <w:t>二</w:t>
      </w:r>
      <w:r>
        <w:rPr>
          <w:rFonts w:ascii="宋体" w:hAnsi="宋体"/>
          <w:b/>
          <w:bCs/>
          <w:color w:val="auto"/>
          <w:sz w:val="22"/>
          <w:szCs w:val="22"/>
        </w:rPr>
        <w:t>、合同生效</w:t>
      </w:r>
      <w:bookmarkEnd w:id="42"/>
    </w:p>
    <w:p w14:paraId="48CDF934">
      <w:pPr>
        <w:spacing w:line="440" w:lineRule="exact"/>
        <w:ind w:left="548" w:leftChars="261"/>
        <w:rPr>
          <w:rFonts w:ascii="宋体" w:hAnsi="宋体"/>
          <w:color w:val="auto"/>
          <w:sz w:val="22"/>
          <w:szCs w:val="22"/>
        </w:rPr>
      </w:pPr>
      <w:r>
        <w:rPr>
          <w:rFonts w:ascii="宋体" w:hAnsi="宋体"/>
          <w:color w:val="auto"/>
          <w:sz w:val="22"/>
          <w:szCs w:val="22"/>
        </w:rPr>
        <w:t>本合同自</w:t>
      </w:r>
      <w:r>
        <w:rPr>
          <w:rFonts w:ascii="宋体" w:hAnsi="宋体"/>
          <w:color w:val="auto"/>
          <w:sz w:val="22"/>
          <w:szCs w:val="22"/>
          <w:u w:val="single"/>
        </w:rPr>
        <w:t xml:space="preserve">    </w:t>
      </w:r>
      <w:r>
        <w:rPr>
          <w:rFonts w:hint="eastAsia" w:ascii="宋体" w:hAnsi="宋体"/>
          <w:color w:val="auto"/>
          <w:sz w:val="22"/>
          <w:szCs w:val="22"/>
          <w:u w:val="single"/>
        </w:rPr>
        <w:t>签订之日起</w:t>
      </w:r>
      <w:r>
        <w:rPr>
          <w:rFonts w:ascii="宋体" w:hAnsi="宋体"/>
          <w:color w:val="auto"/>
          <w:sz w:val="22"/>
          <w:szCs w:val="22"/>
          <w:u w:val="single"/>
        </w:rPr>
        <w:t xml:space="preserve">    </w:t>
      </w:r>
      <w:r>
        <w:rPr>
          <w:rFonts w:ascii="宋体" w:hAnsi="宋体"/>
          <w:color w:val="auto"/>
          <w:sz w:val="22"/>
          <w:szCs w:val="22"/>
        </w:rPr>
        <w:t>生效。</w:t>
      </w:r>
    </w:p>
    <w:p w14:paraId="4B1D9F3A">
      <w:pPr>
        <w:spacing w:line="440" w:lineRule="exact"/>
        <w:rPr>
          <w:rFonts w:ascii="宋体" w:hAnsi="宋体"/>
          <w:b/>
          <w:bCs/>
          <w:color w:val="auto"/>
          <w:sz w:val="22"/>
          <w:szCs w:val="22"/>
        </w:rPr>
      </w:pPr>
      <w:bookmarkStart w:id="43" w:name="_Toc351203493"/>
      <w:r>
        <w:rPr>
          <w:rFonts w:ascii="宋体" w:hAnsi="宋体"/>
          <w:b/>
          <w:bCs/>
          <w:color w:val="auto"/>
          <w:sz w:val="22"/>
          <w:szCs w:val="22"/>
        </w:rPr>
        <w:t>十</w:t>
      </w:r>
      <w:r>
        <w:rPr>
          <w:rFonts w:hint="eastAsia" w:ascii="宋体" w:hAnsi="宋体"/>
          <w:b/>
          <w:bCs/>
          <w:color w:val="auto"/>
          <w:sz w:val="22"/>
          <w:szCs w:val="22"/>
        </w:rPr>
        <w:t>三</w:t>
      </w:r>
      <w:r>
        <w:rPr>
          <w:rFonts w:ascii="宋体" w:hAnsi="宋体"/>
          <w:b/>
          <w:bCs/>
          <w:color w:val="auto"/>
          <w:sz w:val="22"/>
          <w:szCs w:val="22"/>
        </w:rPr>
        <w:t>、合同份数</w:t>
      </w:r>
      <w:bookmarkEnd w:id="43"/>
    </w:p>
    <w:p w14:paraId="00C78539">
      <w:pPr>
        <w:spacing w:line="440" w:lineRule="exact"/>
        <w:ind w:left="548" w:leftChars="261"/>
        <w:rPr>
          <w:rFonts w:ascii="宋体" w:hAnsi="宋体"/>
          <w:color w:val="auto"/>
          <w:sz w:val="22"/>
          <w:szCs w:val="22"/>
        </w:rPr>
      </w:pPr>
      <w:r>
        <w:rPr>
          <w:rFonts w:ascii="宋体" w:hAnsi="宋体"/>
          <w:color w:val="auto"/>
          <w:sz w:val="22"/>
          <w:szCs w:val="22"/>
        </w:rPr>
        <w:t>本合同一式</w:t>
      </w:r>
      <w:r>
        <w:rPr>
          <w:rFonts w:ascii="宋体" w:hAnsi="宋体"/>
          <w:color w:val="auto"/>
          <w:sz w:val="22"/>
          <w:szCs w:val="22"/>
          <w:u w:val="single"/>
        </w:rPr>
        <w:t xml:space="preserve"> </w:t>
      </w:r>
      <w:r>
        <w:rPr>
          <w:rFonts w:hint="eastAsia" w:ascii="宋体" w:hAnsi="宋体"/>
          <w:color w:val="auto"/>
          <w:sz w:val="22"/>
          <w:szCs w:val="22"/>
          <w:u w:val="single"/>
        </w:rPr>
        <w:t>伍</w:t>
      </w:r>
      <w:r>
        <w:rPr>
          <w:rFonts w:ascii="宋体" w:hAnsi="宋体"/>
          <w:color w:val="auto"/>
          <w:sz w:val="22"/>
          <w:szCs w:val="22"/>
          <w:u w:val="single"/>
        </w:rPr>
        <w:t xml:space="preserve"> </w:t>
      </w:r>
      <w:r>
        <w:rPr>
          <w:rFonts w:ascii="宋体" w:hAnsi="宋体"/>
          <w:color w:val="auto"/>
          <w:sz w:val="22"/>
          <w:szCs w:val="22"/>
        </w:rPr>
        <w:t>份，均具有同等法律效力，发包人执</w:t>
      </w:r>
      <w:r>
        <w:rPr>
          <w:rFonts w:ascii="宋体" w:hAnsi="宋体"/>
          <w:color w:val="auto"/>
          <w:sz w:val="22"/>
          <w:szCs w:val="22"/>
          <w:u w:val="single"/>
        </w:rPr>
        <w:t xml:space="preserve"> </w:t>
      </w:r>
      <w:r>
        <w:rPr>
          <w:rFonts w:hint="eastAsia" w:ascii="宋体" w:hAnsi="宋体"/>
          <w:color w:val="auto"/>
          <w:sz w:val="22"/>
          <w:szCs w:val="22"/>
          <w:u w:val="single"/>
        </w:rPr>
        <w:t>贰</w:t>
      </w:r>
      <w:r>
        <w:rPr>
          <w:rFonts w:ascii="宋体" w:hAnsi="宋体"/>
          <w:color w:val="auto"/>
          <w:sz w:val="22"/>
          <w:szCs w:val="22"/>
          <w:u w:val="single"/>
        </w:rPr>
        <w:t xml:space="preserve"> </w:t>
      </w:r>
      <w:r>
        <w:rPr>
          <w:rFonts w:ascii="宋体" w:hAnsi="宋体"/>
          <w:color w:val="auto"/>
          <w:sz w:val="22"/>
          <w:szCs w:val="22"/>
        </w:rPr>
        <w:t xml:space="preserve">份，承包人执 </w:t>
      </w:r>
      <w:r>
        <w:rPr>
          <w:rFonts w:ascii="宋体" w:hAnsi="宋体"/>
          <w:color w:val="auto"/>
          <w:sz w:val="22"/>
          <w:szCs w:val="22"/>
          <w:u w:val="single"/>
        </w:rPr>
        <w:t xml:space="preserve"> </w:t>
      </w:r>
      <w:r>
        <w:rPr>
          <w:rFonts w:hint="eastAsia" w:ascii="宋体" w:hAnsi="宋体"/>
          <w:color w:val="auto"/>
          <w:sz w:val="22"/>
          <w:szCs w:val="22"/>
          <w:u w:val="single"/>
        </w:rPr>
        <w:t>贰</w:t>
      </w:r>
      <w:r>
        <w:rPr>
          <w:rFonts w:ascii="宋体" w:hAnsi="宋体"/>
          <w:color w:val="auto"/>
          <w:sz w:val="22"/>
          <w:szCs w:val="22"/>
          <w:u w:val="single"/>
        </w:rPr>
        <w:t xml:space="preserve"> </w:t>
      </w:r>
      <w:r>
        <w:rPr>
          <w:rFonts w:ascii="宋体" w:hAnsi="宋体"/>
          <w:color w:val="auto"/>
          <w:sz w:val="22"/>
          <w:szCs w:val="22"/>
        </w:rPr>
        <w:t>份</w:t>
      </w:r>
      <w:r>
        <w:rPr>
          <w:rFonts w:hint="eastAsia" w:ascii="宋体" w:hAnsi="宋体"/>
          <w:color w:val="auto"/>
          <w:sz w:val="22"/>
          <w:szCs w:val="22"/>
        </w:rPr>
        <w:t>，另一份交由采购代理机构备案</w:t>
      </w:r>
      <w:r>
        <w:rPr>
          <w:rFonts w:ascii="宋体" w:hAnsi="宋体"/>
          <w:color w:val="auto"/>
          <w:sz w:val="22"/>
          <w:szCs w:val="22"/>
        </w:rPr>
        <w:t>。</w:t>
      </w:r>
    </w:p>
    <w:p w14:paraId="084C09D5">
      <w:pPr>
        <w:spacing w:line="440" w:lineRule="exact"/>
        <w:rPr>
          <w:rFonts w:hint="eastAsia" w:ascii="宋体" w:hAnsi="宋体"/>
          <w:color w:val="auto"/>
          <w:sz w:val="22"/>
          <w:szCs w:val="22"/>
        </w:rPr>
      </w:pPr>
    </w:p>
    <w:p w14:paraId="7340F827">
      <w:pPr>
        <w:spacing w:line="440" w:lineRule="exact"/>
        <w:rPr>
          <w:rFonts w:hint="eastAsia" w:ascii="宋体" w:hAnsi="宋体"/>
          <w:color w:val="auto"/>
          <w:sz w:val="22"/>
          <w:szCs w:val="22"/>
        </w:rPr>
      </w:pPr>
      <w:bookmarkStart w:id="44" w:name="_Toc361063113"/>
      <w:r>
        <w:rPr>
          <w:rFonts w:ascii="宋体" w:hAnsi="宋体"/>
          <w:color w:val="auto"/>
          <w:sz w:val="22"/>
          <w:szCs w:val="22"/>
        </w:rPr>
        <w:t>发包人</w:t>
      </w:r>
      <w:r>
        <w:rPr>
          <w:rFonts w:hint="eastAsia" w:ascii="宋体" w:hAnsi="宋体"/>
          <w:color w:val="auto"/>
          <w:sz w:val="22"/>
          <w:szCs w:val="22"/>
        </w:rPr>
        <w:t xml:space="preserve">：  </w:t>
      </w:r>
      <w:r>
        <w:rPr>
          <w:rFonts w:ascii="宋体" w:hAnsi="宋体"/>
          <w:color w:val="auto"/>
          <w:sz w:val="22"/>
          <w:szCs w:val="22"/>
        </w:rPr>
        <w:t>(公章)</w:t>
      </w:r>
      <w:r>
        <w:rPr>
          <w:rFonts w:hint="eastAsia" w:ascii="宋体" w:hAnsi="宋体"/>
          <w:color w:val="auto"/>
          <w:sz w:val="22"/>
          <w:szCs w:val="22"/>
        </w:rPr>
        <w:t xml:space="preserve">                           </w:t>
      </w:r>
      <w:r>
        <w:rPr>
          <w:rFonts w:ascii="宋体" w:hAnsi="宋体"/>
          <w:color w:val="auto"/>
          <w:sz w:val="22"/>
          <w:szCs w:val="22"/>
        </w:rPr>
        <w:t>承包人</w:t>
      </w:r>
      <w:r>
        <w:rPr>
          <w:rFonts w:hint="eastAsia" w:ascii="宋体" w:hAnsi="宋体"/>
          <w:color w:val="auto"/>
          <w:sz w:val="22"/>
          <w:szCs w:val="22"/>
        </w:rPr>
        <w:t xml:space="preserve">：  </w:t>
      </w:r>
      <w:r>
        <w:rPr>
          <w:rFonts w:ascii="宋体" w:hAnsi="宋体"/>
          <w:color w:val="auto"/>
          <w:sz w:val="22"/>
          <w:szCs w:val="22"/>
        </w:rPr>
        <w:t>(公章)</w:t>
      </w:r>
    </w:p>
    <w:p w14:paraId="49581710">
      <w:pPr>
        <w:spacing w:line="440" w:lineRule="exact"/>
        <w:rPr>
          <w:rFonts w:hint="eastAsia" w:ascii="宋体" w:hAnsi="宋体"/>
          <w:color w:val="auto"/>
          <w:sz w:val="22"/>
          <w:szCs w:val="22"/>
          <w:u w:val="single"/>
        </w:rPr>
      </w:pPr>
      <w:r>
        <w:rPr>
          <w:rFonts w:hint="eastAsia" w:ascii="宋体" w:hAnsi="宋体"/>
          <w:color w:val="auto"/>
          <w:sz w:val="22"/>
          <w:szCs w:val="22"/>
        </w:rPr>
        <w:t xml:space="preserve">                                 </w:t>
      </w:r>
    </w:p>
    <w:p w14:paraId="00BAAD0D">
      <w:pPr>
        <w:spacing w:line="440" w:lineRule="exact"/>
        <w:rPr>
          <w:rFonts w:hint="eastAsia" w:ascii="宋体" w:hAnsi="宋体"/>
          <w:color w:val="auto"/>
          <w:sz w:val="22"/>
          <w:szCs w:val="22"/>
        </w:rPr>
      </w:pPr>
      <w:r>
        <w:rPr>
          <w:rFonts w:hint="eastAsia" w:ascii="宋体" w:hAnsi="宋体"/>
          <w:color w:val="auto"/>
          <w:sz w:val="22"/>
          <w:szCs w:val="22"/>
        </w:rPr>
        <w:t>法定代表人或其委托代理人：                法定代表人或其委托代理人：</w:t>
      </w:r>
    </w:p>
    <w:p w14:paraId="5EA4ACF0">
      <w:pPr>
        <w:spacing w:line="440" w:lineRule="exact"/>
        <w:rPr>
          <w:rFonts w:hint="eastAsia" w:ascii="宋体" w:hAnsi="宋体"/>
          <w:color w:val="auto"/>
          <w:sz w:val="22"/>
          <w:szCs w:val="22"/>
        </w:rPr>
      </w:pPr>
      <w:r>
        <w:rPr>
          <w:rFonts w:hint="eastAsia" w:ascii="宋体" w:hAnsi="宋体"/>
          <w:color w:val="auto"/>
          <w:sz w:val="22"/>
          <w:szCs w:val="22"/>
        </w:rPr>
        <w:t>（签字）                                 （签字）</w:t>
      </w:r>
    </w:p>
    <w:p w14:paraId="00E89A56">
      <w:pPr>
        <w:spacing w:line="440" w:lineRule="exact"/>
        <w:rPr>
          <w:rFonts w:hint="eastAsia" w:ascii="宋体" w:hAnsi="宋体"/>
          <w:color w:val="auto"/>
          <w:sz w:val="22"/>
          <w:szCs w:val="22"/>
          <w:u w:val="single"/>
        </w:rPr>
      </w:pPr>
    </w:p>
    <w:p w14:paraId="7B3FB39C">
      <w:pPr>
        <w:tabs>
          <w:tab w:val="left" w:pos="4410"/>
        </w:tabs>
        <w:spacing w:line="440" w:lineRule="exact"/>
        <w:rPr>
          <w:rFonts w:hint="eastAsia" w:ascii="宋体" w:hAnsi="宋体"/>
          <w:color w:val="auto"/>
          <w:sz w:val="22"/>
          <w:szCs w:val="22"/>
        </w:rPr>
      </w:pPr>
      <w:r>
        <w:rPr>
          <w:rFonts w:hint="eastAsia" w:ascii="宋体" w:hAnsi="宋体"/>
          <w:color w:val="auto"/>
          <w:sz w:val="22"/>
          <w:szCs w:val="22"/>
        </w:rPr>
        <w:t>组织机构代码：</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组织机构代码：</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610EA7E4">
      <w:pPr>
        <w:spacing w:line="440" w:lineRule="exact"/>
        <w:rPr>
          <w:rFonts w:ascii="宋体" w:hAnsi="宋体"/>
          <w:color w:val="auto"/>
          <w:sz w:val="22"/>
          <w:szCs w:val="22"/>
        </w:rPr>
      </w:pPr>
      <w:r>
        <w:rPr>
          <w:rFonts w:ascii="宋体" w:hAnsi="宋体"/>
          <w:color w:val="auto"/>
          <w:sz w:val="22"/>
          <w:szCs w:val="22"/>
        </w:rPr>
        <w:t>地  址：</w:t>
      </w:r>
      <w:r>
        <w:rPr>
          <w:rFonts w:ascii="宋体" w:hAnsi="宋体"/>
          <w:color w:val="auto"/>
          <w:sz w:val="22"/>
          <w:szCs w:val="22"/>
          <w:u w:val="single"/>
        </w:rPr>
        <w:t xml:space="preserve">     </w:t>
      </w:r>
      <w:r>
        <w:rPr>
          <w:rFonts w:hint="eastAsia" w:ascii="宋体" w:hAnsi="宋体"/>
          <w:color w:val="auto"/>
          <w:sz w:val="22"/>
          <w:szCs w:val="22"/>
        </w:rPr>
        <w:t xml:space="preserve">                </w:t>
      </w:r>
      <w:r>
        <w:rPr>
          <w:rFonts w:ascii="宋体" w:hAnsi="宋体"/>
          <w:color w:val="auto"/>
          <w:sz w:val="22"/>
          <w:szCs w:val="22"/>
        </w:rPr>
        <w:t>地  址：</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070CD74F">
      <w:pPr>
        <w:spacing w:line="440" w:lineRule="exact"/>
        <w:rPr>
          <w:rFonts w:ascii="宋体" w:hAnsi="宋体"/>
          <w:color w:val="auto"/>
          <w:sz w:val="22"/>
          <w:szCs w:val="22"/>
        </w:rPr>
      </w:pPr>
      <w:r>
        <w:rPr>
          <w:rFonts w:ascii="宋体" w:hAnsi="宋体"/>
          <w:color w:val="auto"/>
          <w:sz w:val="22"/>
          <w:szCs w:val="22"/>
        </w:rPr>
        <w:t>邮政编码：</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邮政编码：</w:t>
      </w:r>
      <w:r>
        <w:rPr>
          <w:rFonts w:ascii="宋体" w:hAnsi="宋体"/>
          <w:color w:val="auto"/>
          <w:sz w:val="22"/>
          <w:szCs w:val="22"/>
          <w:u w:val="single"/>
        </w:rPr>
        <w:t xml:space="preserve">   </w:t>
      </w:r>
    </w:p>
    <w:p w14:paraId="6EB026C7">
      <w:pPr>
        <w:spacing w:line="440" w:lineRule="exact"/>
        <w:rPr>
          <w:rFonts w:ascii="宋体" w:hAnsi="宋体"/>
          <w:color w:val="auto"/>
          <w:sz w:val="22"/>
          <w:szCs w:val="22"/>
        </w:rPr>
      </w:pPr>
      <w:r>
        <w:rPr>
          <w:rFonts w:ascii="宋体" w:hAnsi="宋体"/>
          <w:color w:val="auto"/>
          <w:sz w:val="22"/>
          <w:szCs w:val="22"/>
        </w:rPr>
        <w:t>法定代表人：</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法定代表人：</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17B3779B">
      <w:pPr>
        <w:spacing w:line="440" w:lineRule="exact"/>
        <w:rPr>
          <w:rFonts w:ascii="宋体" w:hAnsi="宋体"/>
          <w:color w:val="auto"/>
          <w:sz w:val="22"/>
          <w:szCs w:val="22"/>
        </w:rPr>
      </w:pPr>
      <w:r>
        <w:rPr>
          <w:rFonts w:ascii="宋体" w:hAnsi="宋体"/>
          <w:color w:val="auto"/>
          <w:sz w:val="22"/>
          <w:szCs w:val="22"/>
        </w:rPr>
        <w:t>委托代理人：</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委托代理人：</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3969CB07">
      <w:pPr>
        <w:spacing w:line="440" w:lineRule="exact"/>
        <w:rPr>
          <w:rFonts w:ascii="宋体" w:hAnsi="宋体"/>
          <w:color w:val="auto"/>
          <w:sz w:val="22"/>
          <w:szCs w:val="22"/>
        </w:rPr>
      </w:pPr>
      <w:r>
        <w:rPr>
          <w:rFonts w:ascii="宋体" w:hAnsi="宋体"/>
          <w:color w:val="auto"/>
          <w:sz w:val="22"/>
          <w:szCs w:val="22"/>
        </w:rPr>
        <w:t>电  话：</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电  话：</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3F089AF9">
      <w:pPr>
        <w:spacing w:line="440" w:lineRule="exact"/>
        <w:rPr>
          <w:rFonts w:ascii="宋体" w:hAnsi="宋体"/>
          <w:color w:val="auto"/>
          <w:sz w:val="22"/>
          <w:szCs w:val="22"/>
        </w:rPr>
      </w:pPr>
      <w:r>
        <w:rPr>
          <w:rFonts w:ascii="宋体" w:hAnsi="宋体"/>
          <w:color w:val="auto"/>
          <w:sz w:val="22"/>
          <w:szCs w:val="22"/>
        </w:rPr>
        <w:t>传  真：</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传  真：</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3215A85F">
      <w:pPr>
        <w:spacing w:line="440" w:lineRule="exact"/>
        <w:rPr>
          <w:rFonts w:ascii="宋体" w:hAnsi="宋体"/>
          <w:color w:val="auto"/>
          <w:sz w:val="22"/>
          <w:szCs w:val="22"/>
        </w:rPr>
      </w:pPr>
      <w:r>
        <w:rPr>
          <w:rFonts w:ascii="宋体" w:hAnsi="宋体"/>
          <w:color w:val="auto"/>
          <w:sz w:val="22"/>
          <w:szCs w:val="22"/>
        </w:rPr>
        <w:t>电子信箱：</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电子信箱：</w:t>
      </w:r>
      <w:r>
        <w:rPr>
          <w:rFonts w:ascii="宋体" w:hAnsi="宋体"/>
          <w:color w:val="auto"/>
          <w:sz w:val="22"/>
          <w:szCs w:val="22"/>
          <w:u w:val="single"/>
        </w:rPr>
        <w:t xml:space="preserve">   </w:t>
      </w:r>
    </w:p>
    <w:p w14:paraId="088466EC">
      <w:pPr>
        <w:spacing w:line="440" w:lineRule="exact"/>
        <w:rPr>
          <w:rFonts w:ascii="宋体" w:hAnsi="宋体"/>
          <w:color w:val="auto"/>
          <w:sz w:val="22"/>
          <w:szCs w:val="22"/>
        </w:rPr>
      </w:pPr>
      <w:r>
        <w:rPr>
          <w:rFonts w:ascii="宋体" w:hAnsi="宋体"/>
          <w:color w:val="auto"/>
          <w:sz w:val="22"/>
          <w:szCs w:val="22"/>
        </w:rPr>
        <w:t>开户银行：</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开户银行：</w:t>
      </w:r>
      <w:r>
        <w:rPr>
          <w:rFonts w:ascii="宋体" w:hAnsi="宋体"/>
          <w:color w:val="auto"/>
          <w:sz w:val="22"/>
          <w:szCs w:val="22"/>
          <w:u w:val="single"/>
        </w:rPr>
        <w:t xml:space="preserve">   </w:t>
      </w:r>
    </w:p>
    <w:p w14:paraId="66DC2911">
      <w:pPr>
        <w:spacing w:line="440" w:lineRule="exact"/>
        <w:rPr>
          <w:rFonts w:ascii="宋体" w:hAnsi="宋体"/>
          <w:color w:val="auto"/>
          <w:sz w:val="22"/>
          <w:szCs w:val="22"/>
          <w:u w:val="single"/>
        </w:rPr>
      </w:pPr>
      <w:r>
        <w:rPr>
          <w:rFonts w:ascii="宋体" w:hAnsi="宋体"/>
          <w:color w:val="auto"/>
          <w:sz w:val="22"/>
          <w:szCs w:val="22"/>
        </w:rPr>
        <w:t>账  号：</w:t>
      </w:r>
      <w:r>
        <w:rPr>
          <w:rFonts w:ascii="宋体" w:hAnsi="宋体"/>
          <w:color w:val="auto"/>
          <w:sz w:val="22"/>
          <w:szCs w:val="22"/>
          <w:u w:val="single"/>
        </w:rPr>
        <w:t xml:space="preserve">       </w:t>
      </w:r>
      <w:r>
        <w:rPr>
          <w:rFonts w:hint="eastAsia" w:ascii="宋体" w:hAnsi="宋体"/>
          <w:color w:val="auto"/>
          <w:sz w:val="22"/>
          <w:szCs w:val="22"/>
        </w:rPr>
        <w:t xml:space="preserve">                </w:t>
      </w:r>
      <w:r>
        <w:rPr>
          <w:rFonts w:ascii="宋体" w:hAnsi="宋体"/>
          <w:color w:val="auto"/>
          <w:sz w:val="22"/>
          <w:szCs w:val="22"/>
        </w:rPr>
        <w:t>账</w:t>
      </w:r>
      <w:r>
        <w:rPr>
          <w:rFonts w:hint="eastAsia" w:ascii="宋体" w:hAnsi="宋体"/>
          <w:color w:val="auto"/>
          <w:sz w:val="22"/>
          <w:szCs w:val="22"/>
        </w:rPr>
        <w:t xml:space="preserve"> </w:t>
      </w:r>
      <w:r>
        <w:rPr>
          <w:rFonts w:ascii="宋体" w:hAnsi="宋体"/>
          <w:color w:val="auto"/>
          <w:sz w:val="22"/>
          <w:szCs w:val="22"/>
        </w:rPr>
        <w:t xml:space="preserve"> 号：</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p>
    <w:p w14:paraId="75DDBDA4">
      <w:pPr>
        <w:pStyle w:val="3"/>
        <w:spacing w:line="480" w:lineRule="exact"/>
        <w:jc w:val="center"/>
        <w:rPr>
          <w:color w:val="auto"/>
          <w:sz w:val="28"/>
          <w:szCs w:val="28"/>
        </w:rPr>
      </w:pPr>
      <w:bookmarkStart w:id="45" w:name="_Toc22487"/>
      <w:bookmarkStart w:id="46" w:name="_Toc15540"/>
      <w:r>
        <w:rPr>
          <w:rFonts w:hint="eastAsia"/>
          <w:color w:val="auto"/>
          <w:sz w:val="28"/>
          <w:szCs w:val="28"/>
        </w:rPr>
        <w:t>（二）通用条款（略）</w:t>
      </w:r>
      <w:bookmarkEnd w:id="44"/>
      <w:bookmarkEnd w:id="45"/>
      <w:bookmarkEnd w:id="46"/>
    </w:p>
    <w:p w14:paraId="387A7A78">
      <w:pPr>
        <w:spacing w:line="440" w:lineRule="exact"/>
        <w:rPr>
          <w:rFonts w:hint="eastAsia" w:ascii="宋体" w:hAnsi="宋体"/>
          <w:color w:val="auto"/>
          <w:sz w:val="22"/>
          <w:szCs w:val="22"/>
        </w:rPr>
      </w:pPr>
      <w:r>
        <w:rPr>
          <w:rFonts w:hint="eastAsia" w:ascii="宋体" w:hAnsi="宋体"/>
          <w:color w:val="auto"/>
          <w:sz w:val="22"/>
          <w:szCs w:val="22"/>
        </w:rPr>
        <w:t>下载地址：</w:t>
      </w:r>
    </w:p>
    <w:p w14:paraId="1C08D7E6">
      <w:pPr>
        <w:spacing w:line="440" w:lineRule="exact"/>
        <w:rPr>
          <w:rFonts w:hint="eastAsia" w:ascii="宋体" w:hAnsi="宋体"/>
          <w:color w:val="auto"/>
          <w:sz w:val="22"/>
          <w:szCs w:val="22"/>
        </w:rPr>
      </w:pPr>
      <w:r>
        <w:rPr>
          <w:rFonts w:hint="eastAsia" w:ascii="宋体" w:hAnsi="宋体"/>
          <w:color w:val="auto"/>
          <w:sz w:val="22"/>
          <w:szCs w:val="22"/>
        </w:rPr>
        <w:t>https://www.mohurd.gov.cn/gongkai/zhengce/zhengcefilelib/201710/20171030_233757.html</w:t>
      </w:r>
    </w:p>
    <w:p w14:paraId="43B3E955">
      <w:pPr>
        <w:spacing w:line="440" w:lineRule="exact"/>
        <w:ind w:firstLine="660" w:firstLineChars="300"/>
        <w:rPr>
          <w:rFonts w:hint="eastAsia" w:ascii="宋体" w:hAnsi="宋体"/>
          <w:color w:val="auto"/>
          <w:sz w:val="22"/>
          <w:szCs w:val="22"/>
        </w:rPr>
      </w:pPr>
    </w:p>
    <w:p w14:paraId="7159515D">
      <w:pPr>
        <w:pStyle w:val="3"/>
        <w:spacing w:line="480" w:lineRule="exact"/>
        <w:jc w:val="center"/>
        <w:rPr>
          <w:rFonts w:hint="eastAsia"/>
          <w:color w:val="auto"/>
          <w:sz w:val="28"/>
          <w:szCs w:val="28"/>
        </w:rPr>
      </w:pPr>
      <w:bookmarkStart w:id="47" w:name="_Toc21837"/>
      <w:bookmarkStart w:id="48" w:name="_Toc13883"/>
      <w:bookmarkStart w:id="49" w:name="_Toc361063114"/>
      <w:r>
        <w:rPr>
          <w:rFonts w:hint="eastAsia"/>
          <w:color w:val="auto"/>
          <w:sz w:val="28"/>
          <w:szCs w:val="28"/>
        </w:rPr>
        <w:t>（三）专用条款</w:t>
      </w:r>
      <w:bookmarkEnd w:id="47"/>
      <w:bookmarkEnd w:id="48"/>
      <w:bookmarkEnd w:id="49"/>
    </w:p>
    <w:p w14:paraId="4793B39A">
      <w:pPr>
        <w:spacing w:before="0" w:after="0" w:line="440" w:lineRule="exact"/>
        <w:ind w:firstLine="422"/>
        <w:outlineLvl w:val="9"/>
        <w:rPr>
          <w:rFonts w:hint="eastAsia" w:ascii="宋体" w:hAnsi="宋体" w:eastAsia="宋体"/>
          <w:color w:val="auto"/>
          <w:sz w:val="22"/>
          <w:szCs w:val="22"/>
        </w:rPr>
      </w:pPr>
      <w:r>
        <w:rPr>
          <w:rFonts w:hint="eastAsia" w:ascii="宋体" w:hAnsi="宋体" w:eastAsia="宋体"/>
          <w:color w:val="auto"/>
          <w:sz w:val="22"/>
          <w:szCs w:val="22"/>
        </w:rPr>
        <w:t>1. 一般约定</w:t>
      </w:r>
    </w:p>
    <w:p w14:paraId="0C76D7F4">
      <w:pPr>
        <w:spacing w:line="440" w:lineRule="exact"/>
        <w:ind w:firstLine="420"/>
        <w:outlineLvl w:val="9"/>
        <w:rPr>
          <w:rFonts w:ascii="宋体" w:hAnsi="宋体"/>
          <w:color w:val="auto"/>
          <w:sz w:val="22"/>
          <w:szCs w:val="22"/>
        </w:rPr>
      </w:pPr>
      <w:r>
        <w:rPr>
          <w:rFonts w:hint="eastAsia" w:ascii="宋体" w:hAnsi="宋体"/>
          <w:color w:val="auto"/>
          <w:sz w:val="22"/>
          <w:szCs w:val="22"/>
        </w:rPr>
        <w:t>1.1 词语定义</w:t>
      </w:r>
    </w:p>
    <w:p w14:paraId="69F4D146">
      <w:pPr>
        <w:spacing w:line="440" w:lineRule="exact"/>
        <w:ind w:firstLine="420"/>
        <w:outlineLvl w:val="9"/>
        <w:rPr>
          <w:rFonts w:ascii="宋体" w:hAnsi="宋体"/>
          <w:color w:val="auto"/>
          <w:sz w:val="22"/>
          <w:szCs w:val="22"/>
        </w:rPr>
      </w:pPr>
      <w:r>
        <w:rPr>
          <w:rFonts w:hint="eastAsia" w:ascii="宋体" w:hAnsi="宋体"/>
          <w:color w:val="auto"/>
          <w:sz w:val="22"/>
          <w:szCs w:val="22"/>
        </w:rPr>
        <w:t>1.1.1合同</w:t>
      </w:r>
    </w:p>
    <w:p w14:paraId="6C897CA5">
      <w:pPr>
        <w:spacing w:line="440" w:lineRule="exact"/>
        <w:ind w:firstLine="420"/>
        <w:outlineLvl w:val="9"/>
        <w:rPr>
          <w:rFonts w:ascii="宋体" w:hAnsi="宋体"/>
          <w:color w:val="auto"/>
          <w:sz w:val="22"/>
          <w:szCs w:val="22"/>
        </w:rPr>
      </w:pPr>
      <w:r>
        <w:rPr>
          <w:rFonts w:hint="eastAsia" w:ascii="宋体" w:hAnsi="宋体"/>
          <w:color w:val="auto"/>
          <w:sz w:val="22"/>
          <w:szCs w:val="22"/>
        </w:rPr>
        <w:t>1.1.1.10其他合同文件包括：</w:t>
      </w:r>
      <w:r>
        <w:rPr>
          <w:rFonts w:hint="eastAsia" w:ascii="宋体" w:hAnsi="宋体"/>
          <w:color w:val="auto"/>
          <w:sz w:val="22"/>
          <w:szCs w:val="22"/>
          <w:u w:val="single"/>
        </w:rPr>
        <w:t>磋商文件及其补充文件（含采购单位发的工程量清单及招标控制价），磋商响应文件及其补充文件，双方有关工程洽商、变更等书面协议或文件视为协议书的组成部分</w:t>
      </w:r>
      <w:r>
        <w:rPr>
          <w:rFonts w:hint="eastAsia" w:ascii="宋体" w:hAnsi="宋体"/>
          <w:color w:val="auto"/>
          <w:sz w:val="22"/>
          <w:szCs w:val="22"/>
        </w:rPr>
        <w:t>；</w:t>
      </w:r>
    </w:p>
    <w:p w14:paraId="03B5E88C">
      <w:pPr>
        <w:spacing w:line="440" w:lineRule="exact"/>
        <w:ind w:firstLine="420"/>
        <w:outlineLvl w:val="9"/>
        <w:rPr>
          <w:rFonts w:ascii="宋体" w:hAnsi="宋体"/>
          <w:color w:val="auto"/>
          <w:sz w:val="22"/>
          <w:szCs w:val="22"/>
        </w:rPr>
      </w:pPr>
      <w:r>
        <w:rPr>
          <w:rFonts w:hint="eastAsia" w:ascii="宋体" w:hAnsi="宋体"/>
          <w:color w:val="auto"/>
          <w:sz w:val="22"/>
          <w:szCs w:val="22"/>
        </w:rPr>
        <w:t>1.1.2 合同当事人及其他相关方</w:t>
      </w:r>
    </w:p>
    <w:p w14:paraId="6D70C61B">
      <w:pPr>
        <w:spacing w:line="440" w:lineRule="exact"/>
        <w:ind w:firstLine="420"/>
        <w:outlineLvl w:val="9"/>
        <w:rPr>
          <w:rFonts w:ascii="宋体" w:hAnsi="宋体"/>
          <w:color w:val="auto"/>
          <w:sz w:val="22"/>
          <w:szCs w:val="22"/>
        </w:rPr>
      </w:pPr>
      <w:r>
        <w:rPr>
          <w:rFonts w:hint="eastAsia" w:ascii="宋体" w:hAnsi="宋体"/>
          <w:color w:val="auto"/>
          <w:sz w:val="22"/>
          <w:szCs w:val="22"/>
        </w:rPr>
        <w:t>1.1.2.4监理人：</w:t>
      </w:r>
    </w:p>
    <w:p w14:paraId="5F84E510">
      <w:pPr>
        <w:spacing w:line="440" w:lineRule="exact"/>
        <w:ind w:firstLine="420"/>
        <w:outlineLvl w:val="9"/>
        <w:rPr>
          <w:rFonts w:ascii="宋体" w:hAnsi="宋体"/>
          <w:color w:val="auto"/>
          <w:sz w:val="22"/>
          <w:szCs w:val="22"/>
        </w:rPr>
      </w:pPr>
      <w:r>
        <w:rPr>
          <w:rFonts w:hint="eastAsia" w:ascii="宋体" w:hAnsi="宋体"/>
          <w:color w:val="auto"/>
          <w:sz w:val="22"/>
          <w:szCs w:val="22"/>
        </w:rPr>
        <w:t>名    称：</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08556336">
      <w:pPr>
        <w:spacing w:line="440" w:lineRule="exact"/>
        <w:ind w:firstLine="420"/>
        <w:outlineLvl w:val="9"/>
        <w:rPr>
          <w:rFonts w:ascii="宋体" w:hAnsi="宋体"/>
          <w:color w:val="auto"/>
          <w:sz w:val="22"/>
          <w:szCs w:val="22"/>
        </w:rPr>
      </w:pPr>
      <w:r>
        <w:rPr>
          <w:rFonts w:hint="eastAsia" w:ascii="宋体" w:hAnsi="宋体"/>
          <w:color w:val="auto"/>
          <w:sz w:val="22"/>
          <w:szCs w:val="22"/>
        </w:rPr>
        <w:t>资质类别和等级：</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1906F4EC">
      <w:pPr>
        <w:spacing w:line="440" w:lineRule="exact"/>
        <w:ind w:firstLine="420"/>
        <w:outlineLvl w:val="9"/>
        <w:rPr>
          <w:rFonts w:ascii="宋体" w:hAnsi="宋体"/>
          <w:color w:val="auto"/>
          <w:sz w:val="22"/>
          <w:szCs w:val="22"/>
        </w:rPr>
      </w:pPr>
      <w:r>
        <w:rPr>
          <w:rFonts w:hint="eastAsia" w:ascii="宋体" w:hAnsi="宋体"/>
          <w:color w:val="auto"/>
          <w:sz w:val="22"/>
          <w:szCs w:val="22"/>
        </w:rPr>
        <w:t>联系电话：</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7CCCBDCF">
      <w:pPr>
        <w:spacing w:line="440" w:lineRule="exact"/>
        <w:ind w:firstLine="420"/>
        <w:outlineLvl w:val="9"/>
        <w:rPr>
          <w:rFonts w:ascii="宋体" w:hAnsi="宋体"/>
          <w:color w:val="auto"/>
          <w:sz w:val="22"/>
          <w:szCs w:val="22"/>
        </w:rPr>
      </w:pPr>
      <w:r>
        <w:rPr>
          <w:rFonts w:hint="eastAsia" w:ascii="宋体" w:hAnsi="宋体"/>
          <w:color w:val="auto"/>
          <w:sz w:val="22"/>
          <w:szCs w:val="22"/>
        </w:rPr>
        <w:t>电子信箱：</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2C35EBAE">
      <w:pPr>
        <w:spacing w:line="440" w:lineRule="exact"/>
        <w:ind w:firstLine="420"/>
        <w:outlineLvl w:val="9"/>
        <w:rPr>
          <w:rFonts w:ascii="宋体" w:hAnsi="宋体"/>
          <w:color w:val="auto"/>
          <w:sz w:val="22"/>
          <w:szCs w:val="22"/>
        </w:rPr>
      </w:pPr>
      <w:r>
        <w:rPr>
          <w:rFonts w:hint="eastAsia" w:ascii="宋体" w:hAnsi="宋体"/>
          <w:color w:val="auto"/>
          <w:sz w:val="22"/>
          <w:szCs w:val="22"/>
        </w:rPr>
        <w:t>通信地址：</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7574D9DC">
      <w:pPr>
        <w:spacing w:line="440" w:lineRule="exact"/>
        <w:ind w:firstLine="420"/>
        <w:outlineLvl w:val="9"/>
        <w:rPr>
          <w:rFonts w:ascii="宋体" w:hAnsi="宋体"/>
          <w:color w:val="auto"/>
          <w:sz w:val="22"/>
          <w:szCs w:val="22"/>
        </w:rPr>
      </w:pPr>
      <w:r>
        <w:rPr>
          <w:rFonts w:hint="eastAsia" w:ascii="宋体" w:hAnsi="宋体"/>
          <w:color w:val="auto"/>
          <w:sz w:val="22"/>
          <w:szCs w:val="22"/>
        </w:rPr>
        <w:t>1.1.2.5 设计人：</w:t>
      </w:r>
    </w:p>
    <w:p w14:paraId="169016F2">
      <w:pPr>
        <w:spacing w:line="440" w:lineRule="exact"/>
        <w:ind w:firstLine="420"/>
        <w:outlineLvl w:val="9"/>
        <w:rPr>
          <w:rFonts w:ascii="宋体" w:hAnsi="宋体"/>
          <w:color w:val="auto"/>
          <w:sz w:val="22"/>
          <w:szCs w:val="22"/>
        </w:rPr>
      </w:pPr>
      <w:r>
        <w:rPr>
          <w:rFonts w:hint="eastAsia" w:ascii="宋体" w:hAnsi="宋体"/>
          <w:color w:val="auto"/>
          <w:sz w:val="22"/>
          <w:szCs w:val="22"/>
        </w:rPr>
        <w:t>名    称：</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21875671">
      <w:pPr>
        <w:spacing w:line="440" w:lineRule="exact"/>
        <w:ind w:firstLine="420"/>
        <w:outlineLvl w:val="9"/>
        <w:rPr>
          <w:rFonts w:ascii="宋体" w:hAnsi="宋体"/>
          <w:color w:val="auto"/>
          <w:sz w:val="22"/>
          <w:szCs w:val="22"/>
        </w:rPr>
      </w:pPr>
      <w:r>
        <w:rPr>
          <w:rFonts w:hint="eastAsia" w:ascii="宋体" w:hAnsi="宋体"/>
          <w:color w:val="auto"/>
          <w:sz w:val="22"/>
          <w:szCs w:val="22"/>
        </w:rPr>
        <w:t>资质类别和等级：</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2543D378">
      <w:pPr>
        <w:spacing w:line="440" w:lineRule="exact"/>
        <w:ind w:firstLine="420"/>
        <w:outlineLvl w:val="9"/>
        <w:rPr>
          <w:rFonts w:ascii="宋体" w:hAnsi="宋体"/>
          <w:color w:val="auto"/>
          <w:sz w:val="22"/>
          <w:szCs w:val="22"/>
        </w:rPr>
      </w:pPr>
      <w:r>
        <w:rPr>
          <w:rFonts w:hint="eastAsia" w:ascii="宋体" w:hAnsi="宋体"/>
          <w:color w:val="auto"/>
          <w:sz w:val="22"/>
          <w:szCs w:val="22"/>
        </w:rPr>
        <w:t>联系电话：</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5DA1F301">
      <w:pPr>
        <w:spacing w:line="440" w:lineRule="exact"/>
        <w:ind w:firstLine="420"/>
        <w:outlineLvl w:val="9"/>
        <w:rPr>
          <w:rFonts w:ascii="宋体" w:hAnsi="宋体"/>
          <w:color w:val="auto"/>
          <w:sz w:val="22"/>
          <w:szCs w:val="22"/>
        </w:rPr>
      </w:pPr>
      <w:r>
        <w:rPr>
          <w:rFonts w:hint="eastAsia" w:ascii="宋体" w:hAnsi="宋体"/>
          <w:color w:val="auto"/>
          <w:sz w:val="22"/>
          <w:szCs w:val="22"/>
        </w:rPr>
        <w:t>电子信箱：</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4FF6331B">
      <w:pPr>
        <w:spacing w:line="440" w:lineRule="exact"/>
        <w:ind w:firstLine="420"/>
        <w:outlineLvl w:val="9"/>
        <w:rPr>
          <w:rFonts w:ascii="宋体" w:hAnsi="宋体"/>
          <w:color w:val="auto"/>
          <w:sz w:val="22"/>
          <w:szCs w:val="22"/>
        </w:rPr>
      </w:pPr>
      <w:r>
        <w:rPr>
          <w:rFonts w:hint="eastAsia" w:ascii="宋体" w:hAnsi="宋体"/>
          <w:color w:val="auto"/>
          <w:sz w:val="22"/>
          <w:szCs w:val="22"/>
        </w:rPr>
        <w:t>通信地址：</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47EE14D1">
      <w:pPr>
        <w:spacing w:line="440" w:lineRule="exact"/>
        <w:ind w:firstLine="420"/>
        <w:outlineLvl w:val="9"/>
        <w:rPr>
          <w:rFonts w:ascii="宋体" w:hAnsi="宋体"/>
          <w:color w:val="auto"/>
          <w:sz w:val="22"/>
          <w:szCs w:val="22"/>
        </w:rPr>
      </w:pPr>
      <w:r>
        <w:rPr>
          <w:rFonts w:hint="eastAsia" w:ascii="宋体" w:hAnsi="宋体"/>
          <w:color w:val="auto"/>
          <w:sz w:val="22"/>
          <w:szCs w:val="22"/>
        </w:rPr>
        <w:t>1.1.3 工程和设备</w:t>
      </w:r>
    </w:p>
    <w:p w14:paraId="5E2C12FD">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1.1.3.7 作为施工现场组成部分的其他场所包括：</w:t>
      </w:r>
      <w:r>
        <w:rPr>
          <w:rFonts w:hint="eastAsia" w:ascii="宋体" w:hAnsi="宋体"/>
          <w:color w:val="auto"/>
          <w:sz w:val="22"/>
          <w:szCs w:val="22"/>
          <w:u w:val="single"/>
        </w:rPr>
        <w:t xml:space="preserve">            </w:t>
      </w:r>
      <w:r>
        <w:rPr>
          <w:rFonts w:hint="eastAsia" w:ascii="宋体" w:hAnsi="宋体"/>
          <w:color w:val="auto"/>
          <w:sz w:val="22"/>
          <w:szCs w:val="22"/>
        </w:rPr>
        <w:t>。</w:t>
      </w:r>
    </w:p>
    <w:p w14:paraId="495A4D92">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1.1.3.9 永久占地包括：</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79F71EA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1.1.3.10 临时占地包括：</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32B60181">
      <w:pPr>
        <w:spacing w:line="440" w:lineRule="exact"/>
        <w:ind w:firstLine="420"/>
        <w:outlineLvl w:val="9"/>
        <w:rPr>
          <w:rFonts w:ascii="宋体" w:hAnsi="宋体"/>
          <w:color w:val="auto"/>
          <w:sz w:val="22"/>
          <w:szCs w:val="22"/>
        </w:rPr>
      </w:pPr>
      <w:r>
        <w:rPr>
          <w:rFonts w:hint="eastAsia" w:ascii="宋体" w:hAnsi="宋体"/>
          <w:color w:val="auto"/>
          <w:sz w:val="22"/>
          <w:szCs w:val="22"/>
        </w:rPr>
        <w:t xml:space="preserve">1.3法律 </w:t>
      </w:r>
    </w:p>
    <w:p w14:paraId="18543124">
      <w:pPr>
        <w:autoSpaceDE w:val="0"/>
        <w:autoSpaceDN w:val="0"/>
        <w:spacing w:line="440" w:lineRule="exact"/>
        <w:ind w:firstLine="712" w:firstLineChars="324"/>
        <w:jc w:val="left"/>
        <w:outlineLvl w:val="9"/>
        <w:rPr>
          <w:rFonts w:ascii="宋体" w:hAnsi="宋体"/>
          <w:color w:val="auto"/>
          <w:sz w:val="22"/>
          <w:szCs w:val="22"/>
        </w:rPr>
      </w:pPr>
      <w:r>
        <w:rPr>
          <w:rFonts w:hint="eastAsia" w:ascii="宋体" w:hAnsi="宋体"/>
          <w:color w:val="auto"/>
          <w:sz w:val="22"/>
          <w:szCs w:val="22"/>
        </w:rPr>
        <w:t>适用于合同的其他规范性文件：</w:t>
      </w:r>
    </w:p>
    <w:p w14:paraId="2128BE39">
      <w:pPr>
        <w:autoSpaceDE w:val="0"/>
        <w:autoSpaceDN w:val="0"/>
        <w:spacing w:line="440" w:lineRule="exact"/>
        <w:ind w:firstLine="712" w:firstLineChars="324"/>
        <w:jc w:val="left"/>
        <w:outlineLvl w:val="9"/>
        <w:rPr>
          <w:rFonts w:hint="eastAsia" w:ascii="宋体" w:hAnsi="宋体"/>
          <w:color w:val="auto"/>
          <w:sz w:val="22"/>
          <w:szCs w:val="22"/>
          <w:u w:val="single"/>
        </w:rPr>
      </w:pPr>
      <w:r>
        <w:rPr>
          <w:rFonts w:hint="eastAsia" w:ascii="宋体" w:hAnsi="宋体"/>
          <w:color w:val="auto"/>
          <w:sz w:val="22"/>
          <w:szCs w:val="22"/>
          <w:u w:val="single"/>
        </w:rPr>
        <w:t>1）《关于印发〈建设工程价款结算暂行办法〉的通知》（财建〔2004〕369号）；2） 《关于印发〈浙江省建设工程价格信息动态管理办法〉的通知》（浙建〔2012〕1号）；3）《关于转发〈企业安全生产费用提取和使用管理办法〉的通知》（温住建发〔2012〕190号）；4）《关于贯彻〈建设工程工程量清单计价规范〉（GB50500-2013）等国家标准的意见》（建建发〔2013〕273号）；</w:t>
      </w:r>
      <w:r>
        <w:rPr>
          <w:rFonts w:hint="eastAsia" w:ascii="宋体" w:hAnsi="宋体"/>
          <w:b/>
          <w:color w:val="auto"/>
          <w:sz w:val="22"/>
          <w:szCs w:val="22"/>
          <w:u w:val="single"/>
        </w:rPr>
        <w:t xml:space="preserve"> 5) 《转发关于浙江省建设工程计价依据 （2018版）的通知》（温住建发〔2018〕299号）。</w:t>
      </w:r>
      <w:r>
        <w:rPr>
          <w:rFonts w:hint="eastAsia" w:ascii="宋体" w:hAnsi="宋体"/>
          <w:color w:val="auto"/>
          <w:sz w:val="22"/>
          <w:szCs w:val="22"/>
          <w:u w:val="single"/>
        </w:rPr>
        <w:t>及现行的温州市的其他规范性文件。</w:t>
      </w:r>
    </w:p>
    <w:p w14:paraId="6477F609">
      <w:pPr>
        <w:autoSpaceDE w:val="0"/>
        <w:autoSpaceDN w:val="0"/>
        <w:spacing w:line="440" w:lineRule="exact"/>
        <w:ind w:firstLine="712" w:firstLineChars="324"/>
        <w:jc w:val="left"/>
        <w:outlineLvl w:val="9"/>
        <w:rPr>
          <w:rFonts w:hint="eastAsia" w:ascii="宋体" w:hAnsi="宋体"/>
          <w:color w:val="auto"/>
          <w:sz w:val="22"/>
          <w:szCs w:val="22"/>
        </w:rPr>
      </w:pPr>
      <w:r>
        <w:rPr>
          <w:rFonts w:hint="eastAsia" w:ascii="宋体" w:hAnsi="宋体"/>
          <w:color w:val="auto"/>
          <w:sz w:val="22"/>
          <w:szCs w:val="22"/>
          <w:u w:val="single"/>
        </w:rPr>
        <w:t>以上文件若有规定不一致的，以最新规定的文件为准。</w:t>
      </w:r>
    </w:p>
    <w:p w14:paraId="191E236B">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1.4 标准和规范</w:t>
      </w:r>
    </w:p>
    <w:p w14:paraId="2E17962F">
      <w:pPr>
        <w:spacing w:line="440" w:lineRule="exact"/>
        <w:ind w:firstLine="420"/>
        <w:outlineLvl w:val="9"/>
        <w:rPr>
          <w:rFonts w:ascii="宋体" w:hAnsi="宋体"/>
          <w:color w:val="auto"/>
          <w:sz w:val="22"/>
          <w:szCs w:val="22"/>
        </w:rPr>
      </w:pPr>
      <w:r>
        <w:rPr>
          <w:rFonts w:hint="eastAsia" w:ascii="宋体" w:hAnsi="宋体"/>
          <w:color w:val="auto"/>
          <w:sz w:val="22"/>
          <w:szCs w:val="22"/>
        </w:rPr>
        <w:t>1.4.1适用于工程的标准规范包括：</w:t>
      </w:r>
      <w:r>
        <w:rPr>
          <w:rFonts w:hint="eastAsia" w:ascii="宋体" w:hAnsi="宋体"/>
          <w:color w:val="auto"/>
          <w:sz w:val="22"/>
          <w:szCs w:val="22"/>
          <w:u w:val="single"/>
        </w:rPr>
        <w:t>现行的按现行国家、浙江省和温州市的有关标准规范、质量评定标准和竣工验收规范。</w:t>
      </w:r>
    </w:p>
    <w:p w14:paraId="52A4AB9E">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1.4.2 发包人提供国外标准、规范的名称：</w:t>
      </w:r>
      <w:r>
        <w:rPr>
          <w:rFonts w:hint="eastAsia" w:ascii="宋体" w:hAnsi="宋体"/>
          <w:color w:val="auto"/>
          <w:sz w:val="22"/>
          <w:szCs w:val="22"/>
          <w:u w:val="single"/>
        </w:rPr>
        <w:t xml:space="preserve">          /     </w:t>
      </w:r>
      <w:r>
        <w:rPr>
          <w:rFonts w:hint="eastAsia" w:ascii="宋体" w:hAnsi="宋体"/>
          <w:color w:val="auto"/>
          <w:sz w:val="22"/>
          <w:szCs w:val="22"/>
        </w:rPr>
        <w:t>；</w:t>
      </w:r>
    </w:p>
    <w:p w14:paraId="57C26293">
      <w:pPr>
        <w:spacing w:line="440" w:lineRule="exact"/>
        <w:ind w:firstLine="420"/>
        <w:outlineLvl w:val="9"/>
        <w:rPr>
          <w:rFonts w:ascii="宋体" w:hAnsi="宋体"/>
          <w:color w:val="auto"/>
          <w:sz w:val="22"/>
          <w:szCs w:val="22"/>
        </w:rPr>
      </w:pPr>
      <w:r>
        <w:rPr>
          <w:rFonts w:hint="eastAsia" w:ascii="宋体" w:hAnsi="宋体"/>
          <w:color w:val="auto"/>
          <w:sz w:val="22"/>
          <w:szCs w:val="22"/>
        </w:rPr>
        <w:t>发包人提供国外标准、规范的份数：</w:t>
      </w:r>
      <w:r>
        <w:rPr>
          <w:rFonts w:hint="eastAsia" w:ascii="宋体" w:hAnsi="宋体"/>
          <w:color w:val="auto"/>
          <w:sz w:val="22"/>
          <w:szCs w:val="22"/>
          <w:u w:val="single"/>
        </w:rPr>
        <w:t xml:space="preserve">         /             </w:t>
      </w:r>
      <w:r>
        <w:rPr>
          <w:rFonts w:hint="eastAsia" w:ascii="宋体" w:hAnsi="宋体"/>
          <w:color w:val="auto"/>
          <w:sz w:val="22"/>
          <w:szCs w:val="22"/>
        </w:rPr>
        <w:t>；</w:t>
      </w:r>
    </w:p>
    <w:p w14:paraId="79BA4683">
      <w:pPr>
        <w:spacing w:line="440" w:lineRule="exact"/>
        <w:ind w:firstLine="420"/>
        <w:outlineLvl w:val="9"/>
        <w:rPr>
          <w:rFonts w:ascii="宋体" w:hAnsi="宋体"/>
          <w:color w:val="auto"/>
          <w:sz w:val="22"/>
          <w:szCs w:val="22"/>
        </w:rPr>
      </w:pPr>
      <w:r>
        <w:rPr>
          <w:rFonts w:hint="eastAsia" w:ascii="宋体" w:hAnsi="宋体"/>
          <w:color w:val="auto"/>
          <w:sz w:val="22"/>
          <w:szCs w:val="22"/>
        </w:rPr>
        <w:t>发包人提供国外标准、规范的名称：</w:t>
      </w:r>
      <w:r>
        <w:rPr>
          <w:rFonts w:hint="eastAsia" w:ascii="宋体" w:hAnsi="宋体"/>
          <w:color w:val="auto"/>
          <w:sz w:val="22"/>
          <w:szCs w:val="22"/>
          <w:u w:val="single"/>
        </w:rPr>
        <w:t xml:space="preserve">          /            </w:t>
      </w:r>
      <w:r>
        <w:rPr>
          <w:rFonts w:hint="eastAsia" w:ascii="宋体" w:hAnsi="宋体"/>
          <w:color w:val="auto"/>
          <w:sz w:val="22"/>
          <w:szCs w:val="22"/>
        </w:rPr>
        <w:t>。</w:t>
      </w:r>
    </w:p>
    <w:p w14:paraId="34E8B08F">
      <w:pPr>
        <w:spacing w:line="440" w:lineRule="exact"/>
        <w:ind w:firstLine="420"/>
        <w:outlineLvl w:val="9"/>
        <w:rPr>
          <w:rFonts w:ascii="宋体" w:hAnsi="宋体"/>
          <w:color w:val="auto"/>
          <w:sz w:val="22"/>
          <w:szCs w:val="22"/>
        </w:rPr>
      </w:pPr>
      <w:r>
        <w:rPr>
          <w:rFonts w:hint="eastAsia" w:ascii="宋体" w:hAnsi="宋体"/>
          <w:color w:val="auto"/>
          <w:sz w:val="22"/>
          <w:szCs w:val="22"/>
        </w:rPr>
        <w:t>1.4.3发包人对工程的技术标准和功能要求的特殊要求：</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 xml:space="preserve">               </w:t>
      </w:r>
      <w:r>
        <w:rPr>
          <w:rFonts w:hint="eastAsia" w:ascii="宋体" w:hAnsi="宋体"/>
          <w:color w:val="auto"/>
          <w:sz w:val="22"/>
          <w:szCs w:val="22"/>
        </w:rPr>
        <w:t>。</w:t>
      </w:r>
    </w:p>
    <w:p w14:paraId="66E3106D">
      <w:pPr>
        <w:spacing w:line="440" w:lineRule="exact"/>
        <w:ind w:firstLine="420"/>
        <w:outlineLvl w:val="9"/>
        <w:rPr>
          <w:rFonts w:ascii="宋体" w:hAnsi="宋体"/>
          <w:color w:val="auto"/>
          <w:sz w:val="22"/>
          <w:szCs w:val="22"/>
        </w:rPr>
      </w:pPr>
      <w:r>
        <w:rPr>
          <w:rFonts w:hint="eastAsia" w:ascii="宋体" w:hAnsi="宋体"/>
          <w:color w:val="auto"/>
          <w:sz w:val="22"/>
          <w:szCs w:val="22"/>
        </w:rPr>
        <w:t>1.5 合同文件的优先顺序</w:t>
      </w:r>
    </w:p>
    <w:p w14:paraId="346E18D9">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合同文件组成及优先顺序为：</w:t>
      </w:r>
      <w:r>
        <w:rPr>
          <w:rFonts w:hint="eastAsia" w:ascii="宋体" w:hAnsi="宋体"/>
          <w:color w:val="auto"/>
          <w:sz w:val="22"/>
          <w:szCs w:val="22"/>
          <w:u w:val="single"/>
        </w:rPr>
        <w:t>（1）本合同协议书；（2）成交通知书；（3）报价函及其附录；（4）本合同专用条款及附件；（5）磋商文件及其补充文件（含采购单位发的工程量清单及招标控制价）。</w:t>
      </w:r>
    </w:p>
    <w:p w14:paraId="543E95E5">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（6）本合同通用条款；（7）除报价函及其附录和已标价工程量清单或预算书外</w:t>
      </w:r>
      <w:r>
        <w:rPr>
          <w:rFonts w:ascii="宋体" w:hAnsi="宋体"/>
          <w:color w:val="auto"/>
          <w:sz w:val="22"/>
          <w:szCs w:val="22"/>
          <w:u w:val="single"/>
        </w:rPr>
        <w:t>的</w:t>
      </w:r>
      <w:r>
        <w:rPr>
          <w:rFonts w:hint="eastAsia" w:ascii="宋体" w:hAnsi="宋体"/>
          <w:color w:val="auto"/>
          <w:sz w:val="22"/>
          <w:szCs w:val="22"/>
          <w:u w:val="single"/>
        </w:rPr>
        <w:t>磋商响应文件及其补充文件；（8）技术标准和要求；（9）图纸（如有）；（10）已标价工程量清单或预算书；注：双方有关工程洽商、变更等书面协议或文件视为协议书的组成部分。</w:t>
      </w:r>
    </w:p>
    <w:p w14:paraId="6CA17FBA">
      <w:pPr>
        <w:spacing w:line="440" w:lineRule="exact"/>
        <w:ind w:firstLine="420"/>
        <w:outlineLvl w:val="9"/>
        <w:rPr>
          <w:rFonts w:ascii="宋体" w:hAnsi="宋体"/>
          <w:color w:val="auto"/>
          <w:sz w:val="22"/>
          <w:szCs w:val="22"/>
        </w:rPr>
      </w:pPr>
      <w:r>
        <w:rPr>
          <w:rFonts w:hint="eastAsia" w:ascii="宋体" w:hAnsi="宋体"/>
          <w:color w:val="auto"/>
          <w:sz w:val="22"/>
          <w:szCs w:val="22"/>
        </w:rPr>
        <w:t>1.6 图纸和承包人文件</w:t>
      </w:r>
      <w:r>
        <w:rPr>
          <w:rFonts w:hint="eastAsia" w:ascii="宋体" w:hAnsi="宋体"/>
          <w:color w:val="auto"/>
          <w:sz w:val="22"/>
          <w:szCs w:val="22"/>
        </w:rPr>
        <w:tab/>
      </w:r>
    </w:p>
    <w:p w14:paraId="5175C773">
      <w:pPr>
        <w:spacing w:line="440" w:lineRule="exact"/>
        <w:ind w:firstLine="420"/>
        <w:outlineLvl w:val="9"/>
        <w:rPr>
          <w:rFonts w:ascii="宋体" w:hAnsi="宋体"/>
          <w:color w:val="auto"/>
          <w:sz w:val="22"/>
          <w:szCs w:val="22"/>
        </w:rPr>
      </w:pPr>
      <w:r>
        <w:rPr>
          <w:rFonts w:hint="eastAsia" w:ascii="宋体" w:hAnsi="宋体"/>
          <w:color w:val="auto"/>
          <w:sz w:val="22"/>
          <w:szCs w:val="22"/>
        </w:rPr>
        <w:t>1.6.1 图纸的提供</w:t>
      </w:r>
    </w:p>
    <w:p w14:paraId="64497D67">
      <w:pPr>
        <w:spacing w:line="440" w:lineRule="exact"/>
        <w:ind w:firstLine="420"/>
        <w:outlineLvl w:val="9"/>
        <w:rPr>
          <w:rFonts w:ascii="宋体" w:hAnsi="宋体"/>
          <w:color w:val="auto"/>
          <w:sz w:val="22"/>
          <w:szCs w:val="22"/>
        </w:rPr>
      </w:pPr>
      <w:r>
        <w:rPr>
          <w:rFonts w:hint="eastAsia" w:ascii="宋体" w:hAnsi="宋体"/>
          <w:color w:val="auto"/>
          <w:sz w:val="22"/>
          <w:szCs w:val="22"/>
        </w:rPr>
        <w:t>发包人向承包人提供图纸的期限：</w:t>
      </w:r>
      <w:r>
        <w:rPr>
          <w:rFonts w:hint="eastAsia" w:ascii="宋体" w:hAnsi="宋体"/>
          <w:color w:val="auto"/>
          <w:sz w:val="22"/>
          <w:szCs w:val="22"/>
          <w:u w:val="single"/>
        </w:rPr>
        <w:t>　　　/　　　　</w:t>
      </w:r>
      <w:r>
        <w:rPr>
          <w:rFonts w:hint="eastAsia" w:ascii="宋体" w:hAnsi="宋体"/>
          <w:color w:val="auto"/>
          <w:sz w:val="22"/>
          <w:szCs w:val="22"/>
        </w:rPr>
        <w:t>；</w:t>
      </w:r>
    </w:p>
    <w:p w14:paraId="71AA1DF7">
      <w:pPr>
        <w:spacing w:line="440" w:lineRule="exact"/>
        <w:ind w:firstLine="420"/>
        <w:outlineLvl w:val="9"/>
        <w:rPr>
          <w:rFonts w:ascii="宋体" w:hAnsi="宋体"/>
          <w:color w:val="auto"/>
          <w:sz w:val="22"/>
          <w:szCs w:val="22"/>
        </w:rPr>
      </w:pPr>
      <w:r>
        <w:rPr>
          <w:rFonts w:hint="eastAsia" w:ascii="宋体" w:hAnsi="宋体"/>
          <w:color w:val="auto"/>
          <w:sz w:val="22"/>
          <w:szCs w:val="22"/>
        </w:rPr>
        <w:t>发包人向承包人提供图纸的数量：</w:t>
      </w:r>
      <w:r>
        <w:rPr>
          <w:rFonts w:hint="eastAsia" w:ascii="宋体" w:hAnsi="宋体"/>
          <w:color w:val="auto"/>
          <w:sz w:val="22"/>
          <w:szCs w:val="22"/>
          <w:u w:val="single"/>
        </w:rPr>
        <w:t xml:space="preserve">      /        </w:t>
      </w:r>
      <w:r>
        <w:rPr>
          <w:rFonts w:hint="eastAsia" w:ascii="宋体" w:hAnsi="宋体"/>
          <w:color w:val="auto"/>
          <w:sz w:val="22"/>
          <w:szCs w:val="22"/>
        </w:rPr>
        <w:t>；</w:t>
      </w:r>
    </w:p>
    <w:p w14:paraId="3D4D3852">
      <w:pPr>
        <w:spacing w:line="440" w:lineRule="exact"/>
        <w:ind w:firstLine="420"/>
        <w:outlineLvl w:val="9"/>
        <w:rPr>
          <w:rFonts w:ascii="宋体" w:hAnsi="宋体"/>
          <w:color w:val="auto"/>
          <w:sz w:val="22"/>
          <w:szCs w:val="22"/>
        </w:rPr>
      </w:pPr>
      <w:r>
        <w:rPr>
          <w:rFonts w:hint="eastAsia" w:ascii="宋体" w:hAnsi="宋体"/>
          <w:color w:val="auto"/>
          <w:sz w:val="22"/>
          <w:szCs w:val="22"/>
        </w:rPr>
        <w:t>发包人向承包人提供图纸的内容：</w:t>
      </w:r>
      <w:r>
        <w:rPr>
          <w:rFonts w:hint="eastAsia" w:ascii="宋体" w:hAnsi="宋体"/>
          <w:color w:val="auto"/>
          <w:sz w:val="22"/>
          <w:szCs w:val="22"/>
          <w:u w:val="single"/>
        </w:rPr>
        <w:t xml:space="preserve">      /         </w:t>
      </w:r>
      <w:r>
        <w:rPr>
          <w:rFonts w:hint="eastAsia" w:ascii="宋体" w:hAnsi="宋体"/>
          <w:color w:val="auto"/>
          <w:sz w:val="22"/>
          <w:szCs w:val="22"/>
        </w:rPr>
        <w:t>。</w:t>
      </w:r>
    </w:p>
    <w:p w14:paraId="2AF54CA1">
      <w:pPr>
        <w:spacing w:line="440" w:lineRule="exact"/>
        <w:ind w:firstLine="420"/>
        <w:outlineLvl w:val="9"/>
        <w:rPr>
          <w:rFonts w:ascii="宋体" w:hAnsi="宋体"/>
          <w:color w:val="auto"/>
          <w:sz w:val="22"/>
          <w:szCs w:val="22"/>
        </w:rPr>
      </w:pPr>
      <w:r>
        <w:rPr>
          <w:rFonts w:hint="eastAsia" w:ascii="宋体" w:hAnsi="宋体"/>
          <w:color w:val="auto"/>
          <w:sz w:val="22"/>
          <w:szCs w:val="22"/>
        </w:rPr>
        <w:t>1.6.4 承包人文件</w:t>
      </w:r>
    </w:p>
    <w:p w14:paraId="11525B0B">
      <w:pPr>
        <w:spacing w:line="440" w:lineRule="exact"/>
        <w:ind w:firstLine="624" w:firstLineChars="284"/>
        <w:jc w:val="left"/>
        <w:outlineLvl w:val="9"/>
        <w:rPr>
          <w:rFonts w:ascii="宋体" w:hAnsi="宋体"/>
          <w:color w:val="auto"/>
          <w:sz w:val="22"/>
          <w:szCs w:val="22"/>
          <w:u w:val="single"/>
        </w:rPr>
      </w:pPr>
      <w:r>
        <w:rPr>
          <w:rFonts w:hint="eastAsia" w:ascii="宋体" w:hAnsi="宋体"/>
          <w:color w:val="auto"/>
          <w:sz w:val="22"/>
          <w:szCs w:val="22"/>
        </w:rPr>
        <w:t>需要由承包人提供的文件，包括：</w:t>
      </w:r>
      <w:r>
        <w:rPr>
          <w:rFonts w:hint="eastAsia" w:ascii="宋体" w:hAnsi="宋体"/>
          <w:color w:val="auto"/>
          <w:sz w:val="22"/>
          <w:szCs w:val="22"/>
          <w:u w:val="single"/>
        </w:rPr>
        <w:t>工程施工进度计划表，提供由监理工程师认可的当月实际完成工程量月报表，下月进度计划表；</w:t>
      </w:r>
    </w:p>
    <w:p w14:paraId="1D3BDFF9">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承包人提供的文件的期限为：</w:t>
      </w:r>
      <w:r>
        <w:rPr>
          <w:rFonts w:hint="eastAsia" w:ascii="宋体" w:hAnsi="宋体"/>
          <w:color w:val="auto"/>
          <w:sz w:val="22"/>
          <w:szCs w:val="22"/>
          <w:u w:val="single"/>
        </w:rPr>
        <w:t>施工进度计划表开工前；当月实际完成工程量月报表、下月进度计划表每月25日前提供；</w:t>
      </w:r>
    </w:p>
    <w:p w14:paraId="1F60209D">
      <w:pPr>
        <w:spacing w:line="440" w:lineRule="exact"/>
        <w:ind w:firstLine="420"/>
        <w:outlineLvl w:val="9"/>
        <w:rPr>
          <w:rFonts w:ascii="宋体" w:hAnsi="宋体"/>
          <w:color w:val="auto"/>
          <w:sz w:val="22"/>
          <w:szCs w:val="22"/>
        </w:rPr>
      </w:pPr>
      <w:r>
        <w:rPr>
          <w:rFonts w:hint="eastAsia" w:ascii="宋体" w:hAnsi="宋体"/>
          <w:color w:val="auto"/>
          <w:sz w:val="22"/>
          <w:szCs w:val="22"/>
        </w:rPr>
        <w:t>承包人提供的文件的数量为：</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 xml:space="preserve">               </w:t>
      </w:r>
      <w:r>
        <w:rPr>
          <w:rFonts w:hint="eastAsia" w:ascii="宋体" w:hAnsi="宋体"/>
          <w:color w:val="auto"/>
          <w:sz w:val="22"/>
          <w:szCs w:val="22"/>
        </w:rPr>
        <w:t>；</w:t>
      </w:r>
    </w:p>
    <w:p w14:paraId="4ADD75CD">
      <w:pPr>
        <w:spacing w:line="440" w:lineRule="exact"/>
        <w:ind w:firstLine="420"/>
        <w:outlineLvl w:val="9"/>
        <w:rPr>
          <w:rFonts w:ascii="宋体" w:hAnsi="宋体"/>
          <w:color w:val="auto"/>
          <w:sz w:val="22"/>
          <w:szCs w:val="22"/>
        </w:rPr>
      </w:pPr>
      <w:r>
        <w:rPr>
          <w:rFonts w:hint="eastAsia" w:ascii="宋体" w:hAnsi="宋体"/>
          <w:color w:val="auto"/>
          <w:sz w:val="22"/>
          <w:szCs w:val="22"/>
        </w:rPr>
        <w:t>承包人提供的文件的形式为：</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 xml:space="preserve">书面 </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66CC3F4E">
      <w:pPr>
        <w:spacing w:line="440" w:lineRule="exact"/>
        <w:ind w:firstLine="420"/>
        <w:outlineLvl w:val="9"/>
        <w:rPr>
          <w:rFonts w:ascii="宋体" w:hAnsi="宋体"/>
          <w:color w:val="auto"/>
          <w:sz w:val="22"/>
          <w:szCs w:val="22"/>
        </w:rPr>
      </w:pPr>
      <w:r>
        <w:rPr>
          <w:rFonts w:hint="eastAsia" w:ascii="宋体" w:hAnsi="宋体"/>
          <w:color w:val="auto"/>
          <w:sz w:val="22"/>
          <w:szCs w:val="22"/>
        </w:rPr>
        <w:t>发包人审批承包人文件的期限：</w:t>
      </w:r>
      <w:r>
        <w:rPr>
          <w:rFonts w:hint="eastAsia" w:ascii="宋体" w:hAnsi="宋体"/>
          <w:color w:val="auto"/>
          <w:sz w:val="22"/>
          <w:szCs w:val="22"/>
          <w:u w:val="single"/>
        </w:rPr>
        <w:t>收到承包人文件后7天内，如遇特殊情况需延期将另行通知承包人</w:t>
      </w:r>
      <w:r>
        <w:rPr>
          <w:rFonts w:hint="eastAsia" w:ascii="宋体" w:hAnsi="宋体"/>
          <w:color w:val="auto"/>
          <w:sz w:val="22"/>
          <w:szCs w:val="22"/>
        </w:rPr>
        <w:t>。</w:t>
      </w:r>
    </w:p>
    <w:p w14:paraId="63EF2222">
      <w:pPr>
        <w:spacing w:line="440" w:lineRule="exact"/>
        <w:ind w:firstLine="420"/>
        <w:outlineLvl w:val="9"/>
        <w:rPr>
          <w:rFonts w:ascii="宋体" w:hAnsi="宋体"/>
          <w:color w:val="auto"/>
          <w:sz w:val="22"/>
          <w:szCs w:val="22"/>
        </w:rPr>
      </w:pPr>
      <w:r>
        <w:rPr>
          <w:rFonts w:hint="eastAsia" w:ascii="宋体" w:hAnsi="宋体"/>
          <w:color w:val="auto"/>
          <w:sz w:val="22"/>
          <w:szCs w:val="22"/>
        </w:rPr>
        <w:t>1.6.5 现场图纸准备</w:t>
      </w:r>
    </w:p>
    <w:p w14:paraId="40635A8E">
      <w:pPr>
        <w:spacing w:line="440" w:lineRule="exact"/>
        <w:ind w:firstLine="420"/>
        <w:outlineLvl w:val="9"/>
        <w:rPr>
          <w:rFonts w:ascii="宋体" w:hAnsi="宋体"/>
          <w:color w:val="auto"/>
          <w:sz w:val="22"/>
          <w:szCs w:val="22"/>
        </w:rPr>
      </w:pPr>
      <w:r>
        <w:rPr>
          <w:rFonts w:hint="eastAsia" w:ascii="宋体" w:hAnsi="宋体"/>
          <w:color w:val="auto"/>
          <w:sz w:val="22"/>
          <w:szCs w:val="22"/>
        </w:rPr>
        <w:t>关于现场图纸准备的约定：</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执行通用条款</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7C226995">
      <w:pPr>
        <w:spacing w:line="440" w:lineRule="exact"/>
        <w:ind w:firstLine="420"/>
        <w:outlineLvl w:val="9"/>
        <w:rPr>
          <w:rFonts w:ascii="宋体" w:hAnsi="宋体"/>
          <w:color w:val="auto"/>
          <w:sz w:val="22"/>
          <w:szCs w:val="22"/>
        </w:rPr>
      </w:pPr>
      <w:r>
        <w:rPr>
          <w:rFonts w:hint="eastAsia" w:ascii="宋体" w:hAnsi="宋体"/>
          <w:color w:val="auto"/>
          <w:sz w:val="22"/>
          <w:szCs w:val="22"/>
        </w:rPr>
        <w:t>1.7 联络</w:t>
      </w:r>
    </w:p>
    <w:p w14:paraId="4F348F67">
      <w:pPr>
        <w:spacing w:line="440" w:lineRule="exact"/>
        <w:ind w:firstLine="420"/>
        <w:outlineLvl w:val="9"/>
        <w:rPr>
          <w:rFonts w:ascii="宋体" w:hAnsi="宋体"/>
          <w:color w:val="auto"/>
          <w:sz w:val="22"/>
          <w:szCs w:val="22"/>
        </w:rPr>
      </w:pPr>
      <w:r>
        <w:rPr>
          <w:rFonts w:hint="eastAsia" w:ascii="宋体" w:hAnsi="宋体"/>
          <w:color w:val="auto"/>
          <w:sz w:val="22"/>
          <w:szCs w:val="22"/>
        </w:rPr>
        <w:t>1.7.1发包人和承包人应当在</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 xml:space="preserve"> 7  </w:t>
      </w:r>
      <w:r>
        <w:rPr>
          <w:rFonts w:hint="eastAsia" w:ascii="宋体" w:hAnsi="宋体"/>
          <w:color w:val="auto"/>
          <w:sz w:val="22"/>
          <w:szCs w:val="22"/>
        </w:rPr>
        <w:t>天内将与合同有关的通知、批准、证明、证书、指示、指令、要求、请求、同意、意见、确定和决定等书面函件送达对方当事人。</w:t>
      </w:r>
    </w:p>
    <w:p w14:paraId="24BFA312">
      <w:pPr>
        <w:spacing w:line="440" w:lineRule="exact"/>
        <w:ind w:firstLine="420"/>
        <w:outlineLvl w:val="9"/>
        <w:rPr>
          <w:rFonts w:ascii="宋体" w:hAnsi="宋体"/>
          <w:color w:val="auto"/>
          <w:sz w:val="22"/>
          <w:szCs w:val="22"/>
        </w:rPr>
      </w:pPr>
      <w:r>
        <w:rPr>
          <w:rFonts w:hint="eastAsia" w:ascii="宋体" w:hAnsi="宋体"/>
          <w:color w:val="auto"/>
          <w:sz w:val="22"/>
          <w:szCs w:val="22"/>
        </w:rPr>
        <w:t>1.7.2 发包人接收文件的地点：</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项目所在地承</w:t>
      </w:r>
      <w:r>
        <w:rPr>
          <w:rFonts w:hint="eastAsia" w:ascii="宋体" w:hAnsi="宋体" w:cs="仿宋_GB2312"/>
          <w:color w:val="auto"/>
          <w:sz w:val="22"/>
          <w:szCs w:val="22"/>
          <w:u w:val="single"/>
        </w:rPr>
        <w:t>包人项目部</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525FD727">
      <w:pPr>
        <w:spacing w:line="440" w:lineRule="exact"/>
        <w:ind w:firstLine="420"/>
        <w:outlineLvl w:val="9"/>
        <w:rPr>
          <w:rFonts w:ascii="宋体" w:hAnsi="宋体"/>
          <w:color w:val="auto"/>
          <w:sz w:val="22"/>
          <w:szCs w:val="22"/>
        </w:rPr>
      </w:pPr>
      <w:r>
        <w:rPr>
          <w:rFonts w:hint="eastAsia" w:ascii="宋体" w:hAnsi="宋体"/>
          <w:color w:val="auto"/>
          <w:sz w:val="22"/>
          <w:szCs w:val="22"/>
        </w:rPr>
        <w:t>发包人指定的接收人为：</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签订合同时另行确定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6D0112D5">
      <w:pPr>
        <w:spacing w:line="440" w:lineRule="exact"/>
        <w:ind w:firstLine="420"/>
        <w:outlineLvl w:val="9"/>
        <w:rPr>
          <w:rFonts w:ascii="宋体" w:hAnsi="宋体"/>
          <w:color w:val="auto"/>
          <w:sz w:val="22"/>
          <w:szCs w:val="22"/>
        </w:rPr>
      </w:pPr>
      <w:r>
        <w:rPr>
          <w:rFonts w:hint="eastAsia" w:ascii="宋体" w:hAnsi="宋体"/>
          <w:color w:val="auto"/>
          <w:sz w:val="22"/>
          <w:szCs w:val="22"/>
        </w:rPr>
        <w:t>承包人接收文件的地点：</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项目所在地承包人项目部</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65FA101D">
      <w:pPr>
        <w:spacing w:line="440" w:lineRule="exact"/>
        <w:ind w:firstLine="420"/>
        <w:outlineLvl w:val="9"/>
        <w:rPr>
          <w:rFonts w:ascii="宋体" w:hAnsi="宋体"/>
          <w:color w:val="auto"/>
          <w:sz w:val="22"/>
          <w:szCs w:val="22"/>
        </w:rPr>
      </w:pPr>
      <w:r>
        <w:rPr>
          <w:rFonts w:hint="eastAsia" w:ascii="宋体" w:hAnsi="宋体"/>
          <w:color w:val="auto"/>
          <w:sz w:val="22"/>
          <w:szCs w:val="22"/>
        </w:rPr>
        <w:t>承包人指定的接收人为：</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签订合同时另行确定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2437A2D8">
      <w:pPr>
        <w:spacing w:line="440" w:lineRule="exact"/>
        <w:ind w:firstLine="420"/>
        <w:outlineLvl w:val="9"/>
        <w:rPr>
          <w:rFonts w:ascii="宋体" w:hAnsi="宋体"/>
          <w:color w:val="auto"/>
          <w:sz w:val="22"/>
          <w:szCs w:val="22"/>
        </w:rPr>
      </w:pPr>
      <w:r>
        <w:rPr>
          <w:rFonts w:hint="eastAsia" w:ascii="宋体" w:hAnsi="宋体"/>
          <w:color w:val="auto"/>
          <w:sz w:val="22"/>
          <w:szCs w:val="22"/>
        </w:rPr>
        <w:t>监理人接收文件的地点：</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项目所在地承包人项目部</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58821CDB">
      <w:pPr>
        <w:spacing w:line="440" w:lineRule="exact"/>
        <w:ind w:firstLine="420"/>
        <w:outlineLvl w:val="9"/>
        <w:rPr>
          <w:rFonts w:ascii="宋体" w:hAnsi="宋体"/>
          <w:color w:val="auto"/>
          <w:sz w:val="22"/>
          <w:szCs w:val="22"/>
        </w:rPr>
      </w:pPr>
      <w:r>
        <w:rPr>
          <w:rFonts w:hint="eastAsia" w:ascii="宋体" w:hAnsi="宋体"/>
          <w:color w:val="auto"/>
          <w:sz w:val="22"/>
          <w:szCs w:val="22"/>
        </w:rPr>
        <w:t>监理人指定的接收人为：</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签订合同时另行确定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0CB5F391">
      <w:pPr>
        <w:spacing w:line="440" w:lineRule="exact"/>
        <w:ind w:firstLine="420"/>
        <w:outlineLvl w:val="9"/>
        <w:rPr>
          <w:rFonts w:ascii="宋体" w:hAnsi="宋体"/>
          <w:color w:val="auto"/>
          <w:sz w:val="22"/>
          <w:szCs w:val="22"/>
        </w:rPr>
      </w:pPr>
      <w:r>
        <w:rPr>
          <w:rFonts w:hint="eastAsia" w:ascii="宋体" w:hAnsi="宋体"/>
          <w:color w:val="auto"/>
          <w:sz w:val="22"/>
          <w:szCs w:val="22"/>
        </w:rPr>
        <w:t>1.10 交通运输</w:t>
      </w:r>
    </w:p>
    <w:p w14:paraId="560A8291">
      <w:pPr>
        <w:spacing w:line="440" w:lineRule="exact"/>
        <w:ind w:firstLine="420"/>
        <w:outlineLvl w:val="9"/>
        <w:rPr>
          <w:rFonts w:ascii="宋体" w:hAnsi="宋体"/>
          <w:color w:val="auto"/>
          <w:sz w:val="22"/>
          <w:szCs w:val="22"/>
        </w:rPr>
      </w:pPr>
      <w:r>
        <w:rPr>
          <w:rFonts w:hint="eastAsia" w:ascii="宋体" w:hAnsi="宋体"/>
          <w:color w:val="auto"/>
          <w:sz w:val="22"/>
          <w:szCs w:val="22"/>
        </w:rPr>
        <w:t>1.10.1 出入现场的权利</w:t>
      </w:r>
    </w:p>
    <w:p w14:paraId="29FCBD41">
      <w:pPr>
        <w:spacing w:line="440" w:lineRule="exact"/>
        <w:ind w:left="596" w:leftChars="284" w:firstLine="420"/>
        <w:outlineLvl w:val="9"/>
        <w:rPr>
          <w:rFonts w:ascii="宋体" w:hAnsi="宋体"/>
          <w:color w:val="auto"/>
          <w:sz w:val="22"/>
          <w:szCs w:val="22"/>
          <w:u w:val="single"/>
        </w:rPr>
      </w:pPr>
      <w:r>
        <w:rPr>
          <w:rFonts w:hint="eastAsia" w:ascii="宋体" w:hAnsi="宋体"/>
          <w:color w:val="auto"/>
          <w:sz w:val="22"/>
          <w:szCs w:val="22"/>
        </w:rPr>
        <w:t>关于出入现场的权利的约定：</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 xml:space="preserve"> </w:t>
      </w:r>
      <w:r>
        <w:rPr>
          <w:rFonts w:hint="eastAsia" w:ascii="宋体" w:hAnsi="宋体" w:cs="MingLiU_HKSCS"/>
          <w:color w:val="auto"/>
          <w:sz w:val="22"/>
          <w:szCs w:val="22"/>
          <w:u w:val="single"/>
        </w:rPr>
        <w:t xml:space="preserve">  /    </w:t>
      </w:r>
    </w:p>
    <w:p w14:paraId="37D9AC3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1.10.3 场内交通</w:t>
      </w:r>
    </w:p>
    <w:p w14:paraId="4A3E2668">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关于场外交通和场内交通的边界的约定：</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另行协商</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 xml:space="preserve"> </w:t>
      </w:r>
      <w:r>
        <w:rPr>
          <w:rFonts w:hint="eastAsia" w:ascii="宋体" w:hAnsi="宋体"/>
          <w:color w:val="auto"/>
          <w:sz w:val="22"/>
          <w:szCs w:val="22"/>
        </w:rPr>
        <w:t>。</w:t>
      </w:r>
    </w:p>
    <w:p w14:paraId="6BFD549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关于发包人向承包人免费提供满足工程施工需要的场内道路和交通设施的约定：</w:t>
      </w:r>
      <w:r>
        <w:rPr>
          <w:rFonts w:hint="eastAsia" w:ascii="宋体" w:hAnsi="宋体" w:cs="仿宋_GB2312"/>
          <w:color w:val="auto"/>
          <w:sz w:val="22"/>
          <w:szCs w:val="22"/>
          <w:u w:val="single"/>
        </w:rPr>
        <w:t>由承包人负责施工现场的材料运输道路开通及施工道路与城区道路开通，包含城市交通管制协调承包人处理。费用由承包方承担</w:t>
      </w:r>
      <w:r>
        <w:rPr>
          <w:rFonts w:hint="eastAsia" w:ascii="宋体" w:hAnsi="宋体"/>
          <w:color w:val="auto"/>
          <w:sz w:val="22"/>
          <w:szCs w:val="22"/>
        </w:rPr>
        <w:t>。</w:t>
      </w:r>
    </w:p>
    <w:p w14:paraId="196030D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1.10.4超大件和超重件的运输</w:t>
      </w:r>
    </w:p>
    <w:p w14:paraId="6FAD96F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运输超大件或超重件所需的道路和桥梁临时加固改造费用和其他有关费用由</w:t>
      </w:r>
      <w:r>
        <w:rPr>
          <w:rFonts w:hint="eastAsia" w:ascii="宋体" w:hAnsi="宋体"/>
          <w:color w:val="auto"/>
          <w:sz w:val="22"/>
          <w:szCs w:val="22"/>
          <w:u w:val="single"/>
        </w:rPr>
        <w:t>承包人</w:t>
      </w:r>
      <w:r>
        <w:rPr>
          <w:rFonts w:hint="eastAsia" w:ascii="宋体" w:hAnsi="宋体"/>
          <w:color w:val="auto"/>
          <w:sz w:val="22"/>
          <w:szCs w:val="22"/>
        </w:rPr>
        <w:t>承担。</w:t>
      </w:r>
    </w:p>
    <w:p w14:paraId="524A7649">
      <w:pPr>
        <w:spacing w:line="440" w:lineRule="exact"/>
        <w:ind w:firstLine="420"/>
        <w:outlineLvl w:val="9"/>
        <w:rPr>
          <w:rFonts w:ascii="宋体" w:hAnsi="宋体"/>
          <w:color w:val="auto"/>
          <w:sz w:val="22"/>
          <w:szCs w:val="22"/>
        </w:rPr>
      </w:pPr>
      <w:r>
        <w:rPr>
          <w:rFonts w:hint="eastAsia" w:ascii="宋体" w:hAnsi="宋体"/>
          <w:color w:val="auto"/>
          <w:sz w:val="22"/>
          <w:szCs w:val="22"/>
        </w:rPr>
        <w:t>1.11 知识产权</w:t>
      </w:r>
    </w:p>
    <w:p w14:paraId="500B6ED0">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1.11.1关于发包人提供给承包人的图纸（如有）、发包人为实施工程自行编制或委托编制的技术规范以及反映发包人关于合同要求或其他类似性质的文件的著作权的归属：</w:t>
      </w:r>
      <w:r>
        <w:rPr>
          <w:rFonts w:hint="eastAsia" w:ascii="宋体" w:hAnsi="宋体"/>
          <w:color w:val="auto"/>
          <w:sz w:val="22"/>
          <w:szCs w:val="22"/>
          <w:u w:val="single"/>
        </w:rPr>
        <w:t>著作权属于发包人。</w:t>
      </w:r>
    </w:p>
    <w:p w14:paraId="0A6C06A0">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7AB19654">
      <w:pPr>
        <w:spacing w:line="440" w:lineRule="exact"/>
        <w:ind w:left="596" w:leftChars="284" w:firstLine="420"/>
        <w:outlineLvl w:val="9"/>
        <w:rPr>
          <w:rFonts w:ascii="宋体" w:hAnsi="宋体"/>
          <w:color w:val="auto"/>
          <w:sz w:val="22"/>
          <w:szCs w:val="22"/>
        </w:rPr>
      </w:pPr>
      <w:r>
        <w:rPr>
          <w:rFonts w:hint="eastAsia" w:ascii="宋体" w:hAnsi="宋体"/>
          <w:color w:val="auto"/>
          <w:sz w:val="22"/>
          <w:szCs w:val="22"/>
        </w:rPr>
        <w:t>关于发包人提供的上述文件的使用限制的要求：</w:t>
      </w:r>
      <w:r>
        <w:rPr>
          <w:rFonts w:hint="eastAsia" w:ascii="宋体" w:hAnsi="宋体"/>
          <w:color w:val="auto"/>
          <w:sz w:val="22"/>
          <w:szCs w:val="22"/>
          <w:u w:val="single"/>
        </w:rPr>
        <w:t xml:space="preserve">   拟行通行条款     。</w:t>
      </w:r>
    </w:p>
    <w:p w14:paraId="3280AEAF">
      <w:pPr>
        <w:spacing w:line="440" w:lineRule="exact"/>
        <w:ind w:firstLine="624" w:firstLineChars="284"/>
        <w:outlineLvl w:val="9"/>
        <w:rPr>
          <w:rFonts w:ascii="宋体" w:hAnsi="宋体"/>
          <w:color w:val="auto"/>
          <w:sz w:val="22"/>
          <w:szCs w:val="22"/>
          <w:u w:val="single"/>
        </w:rPr>
      </w:pPr>
      <w:r>
        <w:rPr>
          <w:rFonts w:hint="eastAsia" w:ascii="宋体" w:hAnsi="宋体"/>
          <w:color w:val="auto"/>
          <w:sz w:val="22"/>
          <w:szCs w:val="22"/>
        </w:rPr>
        <w:t>1.11.2 关于承包人为实施工程所编制文件的著作权的归属：</w:t>
      </w:r>
      <w:r>
        <w:rPr>
          <w:rFonts w:hint="eastAsia" w:ascii="宋体" w:hAnsi="宋体"/>
          <w:color w:val="auto"/>
          <w:sz w:val="22"/>
          <w:szCs w:val="22"/>
          <w:u w:val="single"/>
        </w:rPr>
        <w:t>除署名权以外的著作权属于发包人。</w:t>
      </w:r>
    </w:p>
    <w:p w14:paraId="6A524100">
      <w:pPr>
        <w:spacing w:line="440" w:lineRule="exact"/>
        <w:ind w:firstLine="624" w:firstLineChars="284"/>
        <w:outlineLvl w:val="9"/>
        <w:rPr>
          <w:rFonts w:ascii="宋体" w:hAnsi="宋体"/>
          <w:color w:val="auto"/>
          <w:sz w:val="22"/>
          <w:szCs w:val="22"/>
        </w:rPr>
      </w:pPr>
      <w:r>
        <w:rPr>
          <w:rFonts w:hint="eastAsia" w:ascii="宋体" w:hAnsi="宋体"/>
          <w:color w:val="auto"/>
          <w:sz w:val="22"/>
          <w:szCs w:val="22"/>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560B8BB">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关于承包人提供的上述文件的使用限制的要求：</w:t>
      </w:r>
      <w:r>
        <w:rPr>
          <w:rFonts w:hint="eastAsia" w:ascii="宋体" w:hAnsi="宋体"/>
          <w:color w:val="auto"/>
          <w:sz w:val="22"/>
          <w:szCs w:val="22"/>
          <w:u w:val="single"/>
        </w:rPr>
        <w:t>永久性限制。</w:t>
      </w:r>
    </w:p>
    <w:p w14:paraId="4415713B">
      <w:pPr>
        <w:spacing w:line="440" w:lineRule="exact"/>
        <w:ind w:firstLine="420"/>
        <w:outlineLvl w:val="9"/>
        <w:rPr>
          <w:rFonts w:ascii="宋体" w:hAnsi="宋体"/>
          <w:color w:val="auto"/>
          <w:sz w:val="22"/>
          <w:szCs w:val="22"/>
        </w:rPr>
      </w:pPr>
      <w:r>
        <w:rPr>
          <w:rFonts w:hint="eastAsia" w:ascii="宋体" w:hAnsi="宋体"/>
          <w:color w:val="auto"/>
          <w:sz w:val="22"/>
          <w:szCs w:val="22"/>
        </w:rPr>
        <w:t>1.11.4 承包人在施工过程中所采用的专利、专有技术、技术秘密的使用费的承担方式：</w:t>
      </w:r>
      <w:r>
        <w:rPr>
          <w:rFonts w:hint="eastAsia" w:ascii="宋体" w:hAnsi="宋体"/>
          <w:color w:val="auto"/>
          <w:sz w:val="22"/>
          <w:szCs w:val="22"/>
          <w:u w:val="single"/>
        </w:rPr>
        <w:t>承包人在合同签订前和签订时已确定采用的专利、专有技术、技术秘密的使用费已包含在签约合同价中</w:t>
      </w:r>
      <w:r>
        <w:rPr>
          <w:rFonts w:hint="eastAsia" w:ascii="宋体" w:hAnsi="宋体"/>
          <w:color w:val="auto"/>
          <w:sz w:val="22"/>
          <w:szCs w:val="22"/>
        </w:rPr>
        <w:t>。</w:t>
      </w:r>
    </w:p>
    <w:p w14:paraId="296F455A">
      <w:pPr>
        <w:spacing w:line="440" w:lineRule="exact"/>
        <w:ind w:firstLine="420"/>
        <w:outlineLvl w:val="9"/>
        <w:rPr>
          <w:rFonts w:ascii="宋体" w:hAnsi="宋体"/>
          <w:color w:val="auto"/>
          <w:sz w:val="22"/>
          <w:szCs w:val="22"/>
        </w:rPr>
      </w:pPr>
      <w:r>
        <w:rPr>
          <w:rFonts w:hint="eastAsia" w:ascii="宋体" w:hAnsi="宋体"/>
          <w:color w:val="auto"/>
          <w:sz w:val="22"/>
          <w:szCs w:val="22"/>
        </w:rPr>
        <w:t>1.13工程量清单错误的修正</w:t>
      </w:r>
    </w:p>
    <w:p w14:paraId="66EB44AF">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出现工程量清单错误时，是否调整合同价格：</w:t>
      </w:r>
      <w:r>
        <w:rPr>
          <w:rFonts w:ascii="宋体" w:hAnsi="宋体"/>
          <w:color w:val="auto"/>
          <w:sz w:val="22"/>
          <w:szCs w:val="22"/>
          <w:u w:val="single"/>
        </w:rPr>
        <w:t>是。</w:t>
      </w:r>
      <w:r>
        <w:rPr>
          <w:rFonts w:hint="eastAsia" w:ascii="宋体" w:hAnsi="宋体"/>
          <w:b/>
          <w:color w:val="auto"/>
          <w:sz w:val="22"/>
          <w:szCs w:val="22"/>
          <w:u w:val="single"/>
        </w:rPr>
        <w:t>在提出修正要求后，应给予对方明确书面答复，未答复的，以对方修正报价为准。在约定的时间内完成核价，作为结算依据。在核价过程中，双方核价人员应具备相应从业资格并在成果上签字和盖章，不具备相应从业资格或未在成果上签字和盖章，视同违约。</w:t>
      </w:r>
    </w:p>
    <w:p w14:paraId="2CDD4107">
      <w:pPr>
        <w:spacing w:line="440" w:lineRule="exact"/>
        <w:ind w:firstLine="420"/>
        <w:outlineLvl w:val="9"/>
        <w:rPr>
          <w:rFonts w:ascii="宋体" w:hAnsi="宋体"/>
          <w:color w:val="auto"/>
          <w:sz w:val="22"/>
          <w:szCs w:val="22"/>
          <w:u w:val="single"/>
        </w:rPr>
      </w:pPr>
      <w:r>
        <w:rPr>
          <w:rFonts w:ascii="宋体" w:hAnsi="宋体"/>
          <w:color w:val="auto"/>
          <w:sz w:val="22"/>
          <w:szCs w:val="22"/>
          <w:u w:val="single"/>
        </w:rPr>
        <w:t>允许调整合同总价的工程量偏差范围：</w:t>
      </w:r>
      <w:r>
        <w:rPr>
          <w:rFonts w:hint="eastAsia" w:ascii="宋体" w:hAnsi="宋体"/>
          <w:color w:val="auto"/>
          <w:sz w:val="22"/>
          <w:szCs w:val="22"/>
          <w:u w:val="single"/>
        </w:rPr>
        <w:t>发包人及承包人应按相关规定对发包人提供的工程量清单中的项目和数量进行复核，清单中若有项目缺项和工程量误差的，发包人及承包人可以提出核对申请。发包人及承包人对工程量清单核对提出书面请求时，需同时提供书面核对报告，报告应同时包括核对的要求和内容明细、金额、注明图纸的部位、工程量计算书等内容，并做送达及签收的书面记录。修正计价规则参照合同条款10.4.1款执行。</w:t>
      </w:r>
    </w:p>
    <w:p w14:paraId="45389665">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2. 发包人</w:t>
      </w:r>
    </w:p>
    <w:p w14:paraId="2FC5C3F6">
      <w:pPr>
        <w:spacing w:line="440" w:lineRule="exact"/>
        <w:ind w:firstLine="420"/>
        <w:outlineLvl w:val="9"/>
        <w:rPr>
          <w:rFonts w:ascii="宋体" w:hAnsi="宋体"/>
          <w:color w:val="auto"/>
          <w:sz w:val="22"/>
          <w:szCs w:val="22"/>
        </w:rPr>
      </w:pPr>
      <w:r>
        <w:rPr>
          <w:rFonts w:hint="eastAsia" w:ascii="宋体" w:hAnsi="宋体"/>
          <w:color w:val="auto"/>
          <w:sz w:val="22"/>
          <w:szCs w:val="22"/>
        </w:rPr>
        <w:t>2.2 发包人代表</w:t>
      </w:r>
    </w:p>
    <w:p w14:paraId="0EEBA42B">
      <w:pPr>
        <w:spacing w:line="440" w:lineRule="exact"/>
        <w:ind w:firstLine="420"/>
        <w:outlineLvl w:val="9"/>
        <w:rPr>
          <w:rFonts w:ascii="宋体" w:hAnsi="宋体"/>
          <w:color w:val="auto"/>
          <w:sz w:val="22"/>
          <w:szCs w:val="22"/>
        </w:rPr>
      </w:pPr>
      <w:r>
        <w:rPr>
          <w:rFonts w:hint="eastAsia" w:ascii="宋体" w:hAnsi="宋体"/>
          <w:color w:val="auto"/>
          <w:sz w:val="22"/>
          <w:szCs w:val="22"/>
        </w:rPr>
        <w:t>发包人代表：</w:t>
      </w:r>
    </w:p>
    <w:p w14:paraId="2D05C841">
      <w:pPr>
        <w:spacing w:line="440" w:lineRule="exact"/>
        <w:ind w:firstLine="420"/>
        <w:outlineLvl w:val="9"/>
        <w:rPr>
          <w:rFonts w:ascii="宋体" w:hAnsi="宋体"/>
          <w:color w:val="auto"/>
          <w:sz w:val="22"/>
          <w:szCs w:val="22"/>
        </w:rPr>
      </w:pPr>
      <w:r>
        <w:rPr>
          <w:rFonts w:hint="eastAsia" w:ascii="宋体" w:hAnsi="宋体"/>
          <w:color w:val="auto"/>
          <w:sz w:val="22"/>
          <w:szCs w:val="22"/>
        </w:rPr>
        <w:t>姓    名：</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560CF370">
      <w:pPr>
        <w:spacing w:line="440" w:lineRule="exact"/>
        <w:ind w:firstLine="420"/>
        <w:outlineLvl w:val="9"/>
        <w:rPr>
          <w:rFonts w:ascii="宋体" w:hAnsi="宋体"/>
          <w:color w:val="auto"/>
          <w:sz w:val="22"/>
          <w:szCs w:val="22"/>
        </w:rPr>
      </w:pPr>
      <w:r>
        <w:rPr>
          <w:rFonts w:hint="eastAsia" w:ascii="宋体" w:hAnsi="宋体"/>
          <w:color w:val="auto"/>
          <w:sz w:val="22"/>
          <w:szCs w:val="22"/>
        </w:rPr>
        <w:t>身份证号：</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5F99BD37">
      <w:pPr>
        <w:spacing w:line="440" w:lineRule="exact"/>
        <w:ind w:firstLine="420"/>
        <w:outlineLvl w:val="9"/>
        <w:rPr>
          <w:rFonts w:ascii="宋体" w:hAnsi="宋体"/>
          <w:color w:val="auto"/>
          <w:sz w:val="22"/>
          <w:szCs w:val="22"/>
        </w:rPr>
      </w:pPr>
      <w:r>
        <w:rPr>
          <w:rFonts w:hint="eastAsia" w:ascii="宋体" w:hAnsi="宋体"/>
          <w:color w:val="auto"/>
          <w:sz w:val="22"/>
          <w:szCs w:val="22"/>
        </w:rPr>
        <w:t>职    务：</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493120D5">
      <w:pPr>
        <w:spacing w:line="440" w:lineRule="exact"/>
        <w:ind w:firstLine="420"/>
        <w:outlineLvl w:val="9"/>
        <w:rPr>
          <w:rFonts w:ascii="宋体" w:hAnsi="宋体"/>
          <w:color w:val="auto"/>
          <w:sz w:val="22"/>
          <w:szCs w:val="22"/>
        </w:rPr>
      </w:pPr>
      <w:r>
        <w:rPr>
          <w:rFonts w:hint="eastAsia" w:ascii="宋体" w:hAnsi="宋体"/>
          <w:color w:val="auto"/>
          <w:sz w:val="22"/>
          <w:szCs w:val="22"/>
        </w:rPr>
        <w:t>联系电话：</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05328061">
      <w:pPr>
        <w:spacing w:line="440" w:lineRule="exact"/>
        <w:ind w:firstLine="420"/>
        <w:outlineLvl w:val="9"/>
        <w:rPr>
          <w:rFonts w:ascii="宋体" w:hAnsi="宋体"/>
          <w:color w:val="auto"/>
          <w:sz w:val="22"/>
          <w:szCs w:val="22"/>
        </w:rPr>
      </w:pPr>
      <w:r>
        <w:rPr>
          <w:rFonts w:hint="eastAsia" w:ascii="宋体" w:hAnsi="宋体"/>
          <w:color w:val="auto"/>
          <w:sz w:val="22"/>
          <w:szCs w:val="22"/>
        </w:rPr>
        <w:t>电子信箱：</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251C3E91">
      <w:pPr>
        <w:spacing w:line="440" w:lineRule="exact"/>
        <w:ind w:firstLine="420"/>
        <w:outlineLvl w:val="9"/>
        <w:rPr>
          <w:rFonts w:ascii="宋体" w:hAnsi="宋体"/>
          <w:color w:val="auto"/>
          <w:sz w:val="22"/>
          <w:szCs w:val="22"/>
        </w:rPr>
      </w:pPr>
      <w:r>
        <w:rPr>
          <w:rFonts w:hint="eastAsia" w:ascii="宋体" w:hAnsi="宋体"/>
          <w:color w:val="auto"/>
          <w:sz w:val="22"/>
          <w:szCs w:val="22"/>
        </w:rPr>
        <w:t>通信地址：</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3F013715">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发包人对发包人代表的授权范围如下：</w:t>
      </w:r>
      <w:r>
        <w:rPr>
          <w:rFonts w:hint="eastAsia" w:ascii="宋体" w:hAnsi="宋体"/>
          <w:color w:val="auto"/>
          <w:sz w:val="22"/>
          <w:szCs w:val="22"/>
          <w:u w:val="single"/>
        </w:rPr>
        <w:t>对工程施工进行全过程的进度计划、施工质量、安全生产文明施工等督促工作，对工程款的支付进行审核和签认；工程结算复核签认。</w:t>
      </w:r>
    </w:p>
    <w:p w14:paraId="5B609778">
      <w:pPr>
        <w:spacing w:line="440" w:lineRule="exact"/>
        <w:ind w:firstLine="420"/>
        <w:outlineLvl w:val="9"/>
        <w:rPr>
          <w:rFonts w:ascii="宋体" w:hAnsi="宋体"/>
          <w:color w:val="auto"/>
          <w:sz w:val="22"/>
          <w:szCs w:val="22"/>
        </w:rPr>
      </w:pPr>
      <w:r>
        <w:rPr>
          <w:rFonts w:hint="eastAsia" w:ascii="宋体" w:hAnsi="宋体"/>
          <w:color w:val="auto"/>
          <w:sz w:val="22"/>
          <w:szCs w:val="22"/>
        </w:rPr>
        <w:t>2.4 施工现场、施工条件和基础资料的提供</w:t>
      </w:r>
    </w:p>
    <w:p w14:paraId="4F7BA400">
      <w:pPr>
        <w:spacing w:line="440" w:lineRule="exact"/>
        <w:ind w:firstLine="420"/>
        <w:outlineLvl w:val="9"/>
        <w:rPr>
          <w:rFonts w:ascii="宋体" w:hAnsi="宋体"/>
          <w:color w:val="auto"/>
          <w:sz w:val="22"/>
          <w:szCs w:val="22"/>
        </w:rPr>
      </w:pPr>
      <w:r>
        <w:rPr>
          <w:rFonts w:hint="eastAsia" w:ascii="宋体" w:hAnsi="宋体"/>
          <w:color w:val="auto"/>
          <w:sz w:val="22"/>
          <w:szCs w:val="22"/>
        </w:rPr>
        <w:t>2.4.1 提供施工现场</w:t>
      </w:r>
    </w:p>
    <w:p w14:paraId="35E593E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关于发包人移交施工现场的期限要求：</w:t>
      </w:r>
      <w:r>
        <w:rPr>
          <w:rFonts w:hint="eastAsia" w:ascii="宋体" w:hAnsi="宋体"/>
          <w:color w:val="auto"/>
          <w:sz w:val="22"/>
          <w:szCs w:val="22"/>
          <w:u w:val="single"/>
        </w:rPr>
        <w:t>执行通用条款</w:t>
      </w:r>
      <w:r>
        <w:rPr>
          <w:rFonts w:hint="eastAsia" w:ascii="宋体" w:hAnsi="宋体"/>
          <w:color w:val="auto"/>
          <w:sz w:val="22"/>
          <w:szCs w:val="22"/>
        </w:rPr>
        <w:t>。</w:t>
      </w:r>
    </w:p>
    <w:p w14:paraId="7BDD28CF">
      <w:pPr>
        <w:spacing w:line="440" w:lineRule="exact"/>
        <w:ind w:firstLine="420"/>
        <w:outlineLvl w:val="9"/>
        <w:rPr>
          <w:rFonts w:ascii="宋体" w:hAnsi="宋体"/>
          <w:color w:val="auto"/>
          <w:sz w:val="22"/>
          <w:szCs w:val="22"/>
        </w:rPr>
      </w:pPr>
      <w:r>
        <w:rPr>
          <w:rFonts w:hint="eastAsia" w:ascii="宋体" w:hAnsi="宋体"/>
          <w:color w:val="auto"/>
          <w:sz w:val="22"/>
          <w:szCs w:val="22"/>
        </w:rPr>
        <w:t>2.4.2 提供施工条件</w:t>
      </w:r>
    </w:p>
    <w:p w14:paraId="19C1D91C">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关于发包人应负责提供施工所需要的条件，包括：</w:t>
      </w:r>
    </w:p>
    <w:p w14:paraId="05D593ED">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(1) 所需供电、供水、电讯线路由承包人自行解决，发包方配合；施工中发生的各项费用、通讯费用由承包方承担。</w:t>
      </w:r>
    </w:p>
    <w:p w14:paraId="1D0491B6">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(2)承包人负责施工场地周围地下管线和邻近建筑物、构筑物（含文物保护建筑）、古树名木的保护工作，出现情况时，承包人应及时向发包人和有关单位汇报。由承包人负责保护工作，其费用由承包人负责。</w:t>
      </w:r>
    </w:p>
    <w:p w14:paraId="782CF1E5">
      <w:pPr>
        <w:spacing w:line="440" w:lineRule="exact"/>
        <w:ind w:firstLine="420"/>
        <w:outlineLvl w:val="9"/>
        <w:rPr>
          <w:rFonts w:ascii="宋体" w:hAnsi="宋体"/>
          <w:color w:val="auto"/>
          <w:sz w:val="22"/>
          <w:szCs w:val="22"/>
        </w:rPr>
      </w:pPr>
      <w:r>
        <w:rPr>
          <w:rFonts w:hint="eastAsia" w:ascii="宋体" w:hAnsi="宋体"/>
          <w:color w:val="auto"/>
          <w:sz w:val="22"/>
          <w:szCs w:val="22"/>
        </w:rPr>
        <w:t>2.5 资金来源证明及支付担保</w:t>
      </w:r>
    </w:p>
    <w:p w14:paraId="494E07EA">
      <w:pPr>
        <w:spacing w:line="440" w:lineRule="exact"/>
        <w:ind w:firstLine="420"/>
        <w:outlineLvl w:val="9"/>
        <w:rPr>
          <w:rFonts w:ascii="宋体" w:hAnsi="宋体"/>
          <w:color w:val="auto"/>
          <w:sz w:val="22"/>
          <w:szCs w:val="22"/>
        </w:rPr>
      </w:pPr>
      <w:r>
        <w:rPr>
          <w:rFonts w:hint="eastAsia" w:ascii="宋体" w:hAnsi="宋体"/>
          <w:color w:val="auto"/>
          <w:sz w:val="22"/>
          <w:szCs w:val="22"/>
        </w:rPr>
        <w:t>发包人提供资金来源证明的期限要求：</w:t>
      </w:r>
      <w:r>
        <w:rPr>
          <w:rFonts w:hint="eastAsia" w:ascii="宋体" w:hAnsi="宋体"/>
          <w:color w:val="auto"/>
          <w:sz w:val="22"/>
          <w:szCs w:val="22"/>
          <w:u w:val="single"/>
        </w:rPr>
        <w:t xml:space="preserve">   /  </w:t>
      </w:r>
      <w:r>
        <w:rPr>
          <w:rFonts w:hint="eastAsia" w:ascii="宋体" w:hAnsi="宋体"/>
          <w:color w:val="auto"/>
          <w:sz w:val="22"/>
          <w:szCs w:val="22"/>
        </w:rPr>
        <w:t>。</w:t>
      </w:r>
    </w:p>
    <w:p w14:paraId="0C347AEF">
      <w:pPr>
        <w:spacing w:line="440" w:lineRule="exact"/>
        <w:ind w:firstLine="420"/>
        <w:outlineLvl w:val="9"/>
        <w:rPr>
          <w:rFonts w:ascii="宋体" w:hAnsi="宋体"/>
          <w:color w:val="auto"/>
          <w:sz w:val="22"/>
          <w:szCs w:val="22"/>
        </w:rPr>
      </w:pPr>
      <w:r>
        <w:rPr>
          <w:rFonts w:hint="eastAsia" w:ascii="宋体" w:hAnsi="宋体"/>
          <w:color w:val="auto"/>
          <w:sz w:val="22"/>
          <w:szCs w:val="22"/>
        </w:rPr>
        <w:t>发包人是否提供支付担保：</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 xml:space="preserve">  </w:t>
      </w:r>
      <w:r>
        <w:rPr>
          <w:rFonts w:hint="eastAsia" w:ascii="宋体" w:hAnsi="宋体"/>
          <w:color w:val="auto"/>
          <w:sz w:val="22"/>
          <w:szCs w:val="22"/>
          <w:u w:val="single"/>
        </w:rPr>
        <w:t xml:space="preserve">否   </w:t>
      </w:r>
      <w:r>
        <w:rPr>
          <w:rFonts w:hint="eastAsia" w:ascii="宋体" w:hAnsi="宋体"/>
          <w:color w:val="auto"/>
          <w:sz w:val="22"/>
          <w:szCs w:val="22"/>
        </w:rPr>
        <w:t>。</w:t>
      </w:r>
    </w:p>
    <w:p w14:paraId="51AB93C2">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发包人提供支付担保的形式：</w:t>
      </w:r>
      <w:r>
        <w:rPr>
          <w:rFonts w:hint="eastAsia" w:ascii="宋体" w:hAnsi="宋体"/>
          <w:color w:val="auto"/>
          <w:sz w:val="22"/>
          <w:szCs w:val="22"/>
          <w:u w:val="single"/>
        </w:rPr>
        <w:t xml:space="preserve">  /  </w:t>
      </w:r>
      <w:r>
        <w:rPr>
          <w:rFonts w:hint="eastAsia" w:ascii="宋体" w:hAnsi="宋体"/>
          <w:color w:val="auto"/>
          <w:sz w:val="22"/>
          <w:szCs w:val="22"/>
        </w:rPr>
        <w:t>。</w:t>
      </w:r>
    </w:p>
    <w:p w14:paraId="48569F87">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3. 承包人</w:t>
      </w:r>
    </w:p>
    <w:p w14:paraId="6B149F01">
      <w:pPr>
        <w:spacing w:line="440" w:lineRule="exact"/>
        <w:ind w:firstLine="420"/>
        <w:outlineLvl w:val="9"/>
        <w:rPr>
          <w:rFonts w:ascii="宋体" w:hAnsi="宋体"/>
          <w:color w:val="auto"/>
          <w:sz w:val="22"/>
          <w:szCs w:val="22"/>
        </w:rPr>
      </w:pPr>
      <w:r>
        <w:rPr>
          <w:rFonts w:hint="eastAsia" w:ascii="宋体" w:hAnsi="宋体"/>
          <w:color w:val="auto"/>
          <w:sz w:val="22"/>
          <w:szCs w:val="22"/>
        </w:rPr>
        <w:t>3.1 承包人的一般义务</w:t>
      </w:r>
    </w:p>
    <w:p w14:paraId="10DCC141">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（5）承包人提交的竣工资料的内容：</w:t>
      </w:r>
      <w:r>
        <w:rPr>
          <w:rFonts w:hint="eastAsia" w:ascii="宋体" w:hAnsi="宋体"/>
          <w:color w:val="auto"/>
          <w:sz w:val="22"/>
          <w:szCs w:val="22"/>
          <w:u w:val="single"/>
        </w:rPr>
        <w:t xml:space="preserve">  竣工图及所需技术档案资料、工程竣工报告、竣工验收及质量控制相关记录、施工合同、工程质量保修书等</w:t>
      </w:r>
      <w:r>
        <w:rPr>
          <w:rFonts w:hint="eastAsia" w:ascii="宋体" w:hAnsi="宋体"/>
          <w:color w:val="auto"/>
          <w:sz w:val="22"/>
          <w:szCs w:val="22"/>
        </w:rPr>
        <w:t>。</w:t>
      </w:r>
    </w:p>
    <w:p w14:paraId="3E18CBC8">
      <w:pPr>
        <w:spacing w:line="440" w:lineRule="exact"/>
        <w:ind w:firstLine="660" w:firstLineChars="300"/>
        <w:jc w:val="left"/>
        <w:outlineLvl w:val="9"/>
        <w:rPr>
          <w:rFonts w:ascii="宋体" w:hAnsi="宋体"/>
          <w:color w:val="auto"/>
          <w:sz w:val="22"/>
          <w:szCs w:val="22"/>
        </w:rPr>
      </w:pPr>
      <w:r>
        <w:rPr>
          <w:rFonts w:hint="eastAsia" w:ascii="宋体" w:hAnsi="宋体"/>
          <w:color w:val="auto"/>
          <w:sz w:val="22"/>
          <w:szCs w:val="22"/>
        </w:rPr>
        <w:t>承包人需要提交的竣工资料套数：</w:t>
      </w:r>
      <w:r>
        <w:rPr>
          <w:rFonts w:hint="eastAsia" w:ascii="宋体" w:hAnsi="宋体"/>
          <w:color w:val="auto"/>
          <w:sz w:val="22"/>
          <w:szCs w:val="22"/>
          <w:u w:val="single"/>
        </w:rPr>
        <w:t>提供6套竣工图及所需技术档案资料6套</w:t>
      </w:r>
      <w:r>
        <w:rPr>
          <w:rFonts w:hint="eastAsia" w:ascii="宋体" w:hAnsi="宋体"/>
          <w:color w:val="auto"/>
          <w:sz w:val="22"/>
          <w:szCs w:val="22"/>
        </w:rPr>
        <w:t>。</w:t>
      </w:r>
    </w:p>
    <w:p w14:paraId="5FECEE32">
      <w:pPr>
        <w:spacing w:line="440" w:lineRule="exact"/>
        <w:ind w:left="638" w:leftChars="304" w:firstLine="420"/>
        <w:jc w:val="left"/>
        <w:outlineLvl w:val="9"/>
        <w:rPr>
          <w:rFonts w:ascii="宋体" w:hAnsi="宋体"/>
          <w:color w:val="auto"/>
          <w:sz w:val="22"/>
          <w:szCs w:val="22"/>
        </w:rPr>
      </w:pPr>
      <w:r>
        <w:rPr>
          <w:rFonts w:hint="eastAsia" w:ascii="宋体" w:hAnsi="宋体"/>
          <w:color w:val="auto"/>
          <w:sz w:val="22"/>
          <w:szCs w:val="22"/>
        </w:rPr>
        <w:t>承包人提交的竣工资料的费用承担：</w:t>
      </w:r>
      <w:r>
        <w:rPr>
          <w:rFonts w:hint="eastAsia" w:ascii="宋体" w:hAnsi="宋体"/>
          <w:color w:val="auto"/>
          <w:sz w:val="22"/>
          <w:szCs w:val="22"/>
          <w:u w:val="single"/>
        </w:rPr>
        <w:t xml:space="preserve">  由承包人自行承担</w:t>
      </w:r>
      <w:r>
        <w:rPr>
          <w:rFonts w:hint="eastAsia" w:ascii="宋体" w:hAnsi="宋体"/>
          <w:color w:val="auto"/>
          <w:sz w:val="22"/>
          <w:szCs w:val="22"/>
        </w:rPr>
        <w:t>。</w:t>
      </w:r>
    </w:p>
    <w:p w14:paraId="194D8BC0">
      <w:pPr>
        <w:spacing w:line="440" w:lineRule="exact"/>
        <w:ind w:left="638" w:leftChars="304" w:firstLine="420"/>
        <w:jc w:val="left"/>
        <w:outlineLvl w:val="9"/>
        <w:rPr>
          <w:rFonts w:ascii="宋体" w:hAnsi="宋体"/>
          <w:color w:val="auto"/>
          <w:sz w:val="22"/>
          <w:szCs w:val="22"/>
        </w:rPr>
      </w:pPr>
      <w:r>
        <w:rPr>
          <w:rFonts w:hint="eastAsia" w:ascii="宋体" w:hAnsi="宋体"/>
          <w:color w:val="auto"/>
          <w:sz w:val="22"/>
          <w:szCs w:val="22"/>
        </w:rPr>
        <w:t>承包人提交的竣工资料移交时间：</w:t>
      </w:r>
      <w:r>
        <w:rPr>
          <w:rFonts w:hint="eastAsia" w:ascii="宋体" w:hAnsi="宋体"/>
          <w:color w:val="auto"/>
          <w:sz w:val="22"/>
          <w:szCs w:val="22"/>
          <w:u w:val="single"/>
        </w:rPr>
        <w:t>竣工验收后15天内</w:t>
      </w:r>
      <w:r>
        <w:rPr>
          <w:rFonts w:hint="eastAsia" w:ascii="宋体" w:hAnsi="宋体"/>
          <w:color w:val="auto"/>
          <w:sz w:val="22"/>
          <w:szCs w:val="22"/>
        </w:rPr>
        <w:t>。</w:t>
      </w:r>
    </w:p>
    <w:p w14:paraId="5ABAD383">
      <w:pPr>
        <w:spacing w:line="440" w:lineRule="exact"/>
        <w:ind w:firstLine="660" w:firstLineChars="300"/>
        <w:jc w:val="left"/>
        <w:outlineLvl w:val="9"/>
        <w:rPr>
          <w:rFonts w:ascii="宋体" w:hAnsi="宋体"/>
          <w:color w:val="auto"/>
          <w:sz w:val="22"/>
          <w:szCs w:val="22"/>
        </w:rPr>
      </w:pPr>
      <w:r>
        <w:rPr>
          <w:rFonts w:hint="eastAsia" w:ascii="宋体" w:hAnsi="宋体"/>
          <w:color w:val="auto"/>
          <w:sz w:val="22"/>
          <w:szCs w:val="22"/>
        </w:rPr>
        <w:t>承包人提交的竣工资料形式要求：</w:t>
      </w:r>
      <w:r>
        <w:rPr>
          <w:rFonts w:hint="eastAsia" w:ascii="宋体" w:hAnsi="宋体"/>
          <w:color w:val="auto"/>
          <w:sz w:val="22"/>
          <w:szCs w:val="22"/>
          <w:u w:val="single"/>
        </w:rPr>
        <w:t>纸质文件及电子文件</w:t>
      </w:r>
      <w:r>
        <w:rPr>
          <w:rFonts w:hint="eastAsia" w:ascii="宋体" w:hAnsi="宋体"/>
          <w:color w:val="auto"/>
          <w:sz w:val="22"/>
          <w:szCs w:val="22"/>
        </w:rPr>
        <w:t>。</w:t>
      </w:r>
    </w:p>
    <w:p w14:paraId="1B4FF173">
      <w:pPr>
        <w:spacing w:line="440" w:lineRule="exact"/>
        <w:ind w:firstLine="420"/>
        <w:outlineLvl w:val="9"/>
        <w:rPr>
          <w:rFonts w:hint="eastAsia" w:ascii="宋体" w:hAnsi="宋体"/>
          <w:color w:val="auto"/>
          <w:sz w:val="22"/>
          <w:szCs w:val="22"/>
        </w:rPr>
      </w:pPr>
      <w:r>
        <w:rPr>
          <w:rFonts w:hint="eastAsia" w:ascii="宋体" w:hAnsi="宋体"/>
          <w:color w:val="auto"/>
          <w:sz w:val="22"/>
          <w:szCs w:val="22"/>
        </w:rPr>
        <w:t>（6）承包人应履行的其他义务：</w:t>
      </w:r>
    </w:p>
    <w:p w14:paraId="7F489B19">
      <w:pPr>
        <w:numPr>
          <w:ilvl w:val="1"/>
          <w:numId w:val="5"/>
        </w:numPr>
        <w:snapToGrid w:val="0"/>
        <w:spacing w:line="440" w:lineRule="exact"/>
        <w:outlineLvl w:val="9"/>
        <w:rPr>
          <w:rFonts w:hint="eastAsia" w:ascii="宋体" w:hAnsi="宋体"/>
          <w:color w:val="auto"/>
          <w:sz w:val="22"/>
          <w:szCs w:val="22"/>
          <w:u w:val="single"/>
        </w:rPr>
      </w:pPr>
      <w:bookmarkStart w:id="50" w:name="OLE_LINK3"/>
      <w:r>
        <w:rPr>
          <w:rFonts w:hint="eastAsia" w:ascii="宋体" w:hAnsi="宋体"/>
          <w:color w:val="auto"/>
          <w:sz w:val="22"/>
          <w:szCs w:val="22"/>
          <w:u w:val="single"/>
        </w:rPr>
        <w:t>每月提供实际完成工程量月报表，下月进度计划表，报发包人、监理人。</w:t>
      </w:r>
    </w:p>
    <w:p w14:paraId="451A2886">
      <w:pPr>
        <w:numPr>
          <w:ilvl w:val="1"/>
          <w:numId w:val="5"/>
        </w:numPr>
        <w:snapToGrid w:val="0"/>
        <w:spacing w:line="440" w:lineRule="exact"/>
        <w:outlineLvl w:val="9"/>
        <w:rPr>
          <w:rFonts w:hint="eastAsia" w:ascii="宋体" w:hAnsi="宋体"/>
          <w:color w:val="auto"/>
          <w:sz w:val="22"/>
          <w:szCs w:val="22"/>
          <w:u w:val="single"/>
        </w:rPr>
      </w:pPr>
      <w:r>
        <w:rPr>
          <w:rFonts w:hint="eastAsia" w:ascii="宋体" w:hAnsi="宋体"/>
          <w:color w:val="auto"/>
          <w:sz w:val="22"/>
          <w:szCs w:val="22"/>
          <w:u w:val="single"/>
        </w:rPr>
        <w:t>承包人自行办理有关施工场地交通、环卫和施工噪声管理等手续，包括解决施工噪音、物体坠落、材料抛落、建筑垃圾、现场排污等涉及环境保护、卫生、交通、城管等有关部门的问题，费用由承包人负责，发包人给予配合。</w:t>
      </w:r>
    </w:p>
    <w:p w14:paraId="043ACAF5">
      <w:pPr>
        <w:numPr>
          <w:ilvl w:val="1"/>
          <w:numId w:val="5"/>
        </w:numPr>
        <w:snapToGrid w:val="0"/>
        <w:spacing w:line="440" w:lineRule="exact"/>
        <w:outlineLvl w:val="9"/>
        <w:rPr>
          <w:rFonts w:hint="eastAsia" w:ascii="宋体" w:hAnsi="宋体"/>
          <w:color w:val="auto"/>
          <w:sz w:val="22"/>
          <w:szCs w:val="22"/>
          <w:u w:val="single"/>
        </w:rPr>
      </w:pPr>
      <w:r>
        <w:rPr>
          <w:rFonts w:hint="eastAsia" w:ascii="宋体" w:hAnsi="宋体"/>
          <w:color w:val="auto"/>
          <w:sz w:val="22"/>
          <w:szCs w:val="22"/>
          <w:u w:val="single"/>
        </w:rPr>
        <w:t>已完工程成品在竣工验收完成前，由承包人明确施工界面、负责相应的保护工作并承担费用。如有损失，由承包人自费负责予以修复。</w:t>
      </w:r>
    </w:p>
    <w:p w14:paraId="29CCD98B">
      <w:pPr>
        <w:numPr>
          <w:ilvl w:val="1"/>
          <w:numId w:val="5"/>
        </w:numPr>
        <w:snapToGrid w:val="0"/>
        <w:spacing w:line="440" w:lineRule="exact"/>
        <w:outlineLvl w:val="9"/>
        <w:rPr>
          <w:rFonts w:ascii="宋体" w:hAnsi="宋体"/>
          <w:color w:val="auto"/>
          <w:sz w:val="22"/>
          <w:szCs w:val="22"/>
        </w:rPr>
      </w:pPr>
      <w:r>
        <w:rPr>
          <w:rFonts w:hint="eastAsia" w:ascii="宋体" w:hAnsi="宋体"/>
          <w:color w:val="auto"/>
          <w:sz w:val="22"/>
          <w:szCs w:val="22"/>
          <w:u w:val="single"/>
        </w:rPr>
        <w:t>承包人发现清单漏项或者发包人要求承包人完成工程量清单以外的工作、采购的货物，承包人应按甲方进度安排完成，合同价格按按专用条款中相应的条款进行调整。</w:t>
      </w:r>
    </w:p>
    <w:p w14:paraId="56A7F87C">
      <w:pPr>
        <w:numPr>
          <w:ilvl w:val="1"/>
          <w:numId w:val="5"/>
        </w:numPr>
        <w:snapToGrid w:val="0"/>
        <w:spacing w:line="440" w:lineRule="exact"/>
        <w:outlineLvl w:val="9"/>
        <w:rPr>
          <w:rFonts w:hint="eastAsia" w:ascii="宋体" w:hAnsi="宋体"/>
          <w:color w:val="auto"/>
          <w:sz w:val="22"/>
          <w:szCs w:val="22"/>
          <w:u w:val="single"/>
        </w:rPr>
      </w:pPr>
      <w:r>
        <w:rPr>
          <w:rFonts w:hint="eastAsia" w:ascii="宋体" w:hAnsi="宋体"/>
          <w:color w:val="auto"/>
          <w:sz w:val="22"/>
          <w:szCs w:val="22"/>
          <w:u w:val="single"/>
        </w:rPr>
        <w:t>承包人出具的工程进度款发票必须为增值税专用发票。</w:t>
      </w:r>
    </w:p>
    <w:bookmarkEnd w:id="50"/>
    <w:p w14:paraId="071A12F9">
      <w:pPr>
        <w:spacing w:line="440" w:lineRule="exact"/>
        <w:ind w:firstLine="420"/>
        <w:outlineLvl w:val="9"/>
        <w:rPr>
          <w:rFonts w:ascii="宋体" w:hAnsi="宋体"/>
          <w:color w:val="auto"/>
          <w:sz w:val="22"/>
          <w:szCs w:val="22"/>
        </w:rPr>
      </w:pPr>
      <w:r>
        <w:rPr>
          <w:rFonts w:hint="eastAsia" w:ascii="宋体" w:hAnsi="宋体"/>
          <w:color w:val="auto"/>
          <w:sz w:val="22"/>
          <w:szCs w:val="22"/>
        </w:rPr>
        <w:t>3.2 项目经理</w:t>
      </w:r>
    </w:p>
    <w:p w14:paraId="7D462FC7">
      <w:pPr>
        <w:spacing w:line="440" w:lineRule="exact"/>
        <w:ind w:firstLine="420"/>
        <w:outlineLvl w:val="9"/>
        <w:rPr>
          <w:rFonts w:ascii="宋体" w:hAnsi="宋体"/>
          <w:color w:val="auto"/>
          <w:sz w:val="22"/>
          <w:szCs w:val="22"/>
        </w:rPr>
      </w:pPr>
      <w:r>
        <w:rPr>
          <w:rFonts w:hint="eastAsia" w:ascii="宋体" w:hAnsi="宋体"/>
          <w:color w:val="auto"/>
          <w:sz w:val="22"/>
          <w:szCs w:val="22"/>
        </w:rPr>
        <w:t>3.2.1 项目经理：</w:t>
      </w:r>
    </w:p>
    <w:p w14:paraId="0295F9BE">
      <w:pPr>
        <w:spacing w:line="440" w:lineRule="exact"/>
        <w:ind w:firstLine="420"/>
        <w:outlineLvl w:val="9"/>
        <w:rPr>
          <w:rFonts w:ascii="宋体" w:hAnsi="宋体"/>
          <w:color w:val="auto"/>
          <w:sz w:val="22"/>
          <w:szCs w:val="22"/>
        </w:rPr>
      </w:pPr>
      <w:r>
        <w:rPr>
          <w:rFonts w:hint="eastAsia" w:ascii="宋体" w:hAnsi="宋体"/>
          <w:color w:val="auto"/>
          <w:sz w:val="22"/>
          <w:szCs w:val="22"/>
        </w:rPr>
        <w:t>姓    名：</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4D4E4957">
      <w:pPr>
        <w:spacing w:line="440" w:lineRule="exact"/>
        <w:ind w:firstLine="420"/>
        <w:outlineLvl w:val="9"/>
        <w:rPr>
          <w:rFonts w:ascii="宋体" w:hAnsi="宋体"/>
          <w:color w:val="auto"/>
          <w:sz w:val="22"/>
          <w:szCs w:val="22"/>
        </w:rPr>
      </w:pPr>
      <w:r>
        <w:rPr>
          <w:rFonts w:hint="eastAsia" w:ascii="宋体" w:hAnsi="宋体"/>
          <w:color w:val="auto"/>
          <w:sz w:val="22"/>
          <w:szCs w:val="22"/>
        </w:rPr>
        <w:t>身份证号：</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28B605F7">
      <w:pPr>
        <w:spacing w:line="440" w:lineRule="exact"/>
        <w:ind w:firstLine="420"/>
        <w:outlineLvl w:val="9"/>
        <w:rPr>
          <w:rFonts w:ascii="宋体" w:hAnsi="宋体"/>
          <w:color w:val="auto"/>
          <w:sz w:val="22"/>
          <w:szCs w:val="22"/>
        </w:rPr>
      </w:pPr>
      <w:r>
        <w:rPr>
          <w:rFonts w:hint="eastAsia" w:ascii="宋体" w:hAnsi="宋体"/>
          <w:color w:val="auto"/>
          <w:sz w:val="22"/>
          <w:szCs w:val="22"/>
        </w:rPr>
        <w:t>建造师执业资格等级：</w:t>
      </w:r>
      <w:r>
        <w:rPr>
          <w:rFonts w:hint="eastAsia" w:ascii="宋体" w:hAnsi="宋体" w:cs="仿宋_GB2312"/>
          <w:color w:val="auto"/>
          <w:sz w:val="22"/>
          <w:szCs w:val="22"/>
          <w:u w:val="single"/>
        </w:rPr>
        <w:t>签订合同时根据磋商响应文件确定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1FBFB5E2">
      <w:pPr>
        <w:spacing w:line="440" w:lineRule="exact"/>
        <w:ind w:firstLine="420"/>
        <w:outlineLvl w:val="9"/>
        <w:rPr>
          <w:rFonts w:ascii="宋体" w:hAnsi="宋体"/>
          <w:color w:val="auto"/>
          <w:sz w:val="22"/>
          <w:szCs w:val="22"/>
        </w:rPr>
      </w:pPr>
      <w:r>
        <w:rPr>
          <w:rFonts w:hint="eastAsia" w:ascii="宋体" w:hAnsi="宋体"/>
          <w:color w:val="auto"/>
          <w:sz w:val="22"/>
          <w:szCs w:val="22"/>
        </w:rPr>
        <w:t>建造师注册证书号：</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03926D45">
      <w:pPr>
        <w:spacing w:line="440" w:lineRule="exact"/>
        <w:ind w:firstLine="420"/>
        <w:outlineLvl w:val="9"/>
        <w:rPr>
          <w:rFonts w:ascii="宋体" w:hAnsi="宋体"/>
          <w:color w:val="auto"/>
          <w:sz w:val="22"/>
          <w:szCs w:val="22"/>
        </w:rPr>
      </w:pPr>
      <w:r>
        <w:rPr>
          <w:rFonts w:hint="eastAsia" w:ascii="宋体" w:hAnsi="宋体"/>
          <w:color w:val="auto"/>
          <w:sz w:val="22"/>
          <w:szCs w:val="22"/>
        </w:rPr>
        <w:t>建造师执业印章号：</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46C12E67">
      <w:pPr>
        <w:spacing w:line="440" w:lineRule="exact"/>
        <w:ind w:firstLine="420"/>
        <w:outlineLvl w:val="9"/>
        <w:rPr>
          <w:rFonts w:ascii="宋体" w:hAnsi="宋体"/>
          <w:color w:val="auto"/>
          <w:sz w:val="22"/>
          <w:szCs w:val="22"/>
        </w:rPr>
      </w:pPr>
      <w:r>
        <w:rPr>
          <w:rFonts w:hint="eastAsia" w:ascii="宋体" w:hAnsi="宋体"/>
          <w:color w:val="auto"/>
          <w:sz w:val="22"/>
          <w:szCs w:val="22"/>
        </w:rPr>
        <w:t>安全生产考核合格证书号：</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w:t>
      </w:r>
      <w:r>
        <w:rPr>
          <w:rFonts w:hint="eastAsia" w:ascii="宋体" w:hAnsi="宋体" w:cs="仿宋_GB2312"/>
          <w:color w:val="auto"/>
          <w:sz w:val="22"/>
          <w:szCs w:val="22"/>
          <w:u w:val="single"/>
        </w:rPr>
        <w:t>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2AC7AFBA">
      <w:pPr>
        <w:spacing w:line="440" w:lineRule="exact"/>
        <w:ind w:firstLine="420"/>
        <w:outlineLvl w:val="9"/>
        <w:rPr>
          <w:rFonts w:ascii="宋体" w:hAnsi="宋体"/>
          <w:color w:val="auto"/>
          <w:sz w:val="22"/>
          <w:szCs w:val="22"/>
        </w:rPr>
      </w:pPr>
      <w:r>
        <w:rPr>
          <w:rFonts w:hint="eastAsia" w:ascii="宋体" w:hAnsi="宋体"/>
          <w:color w:val="auto"/>
          <w:sz w:val="22"/>
          <w:szCs w:val="22"/>
        </w:rPr>
        <w:t>联系电话：</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74596442">
      <w:pPr>
        <w:spacing w:line="440" w:lineRule="exact"/>
        <w:ind w:firstLine="420"/>
        <w:outlineLvl w:val="9"/>
        <w:rPr>
          <w:rFonts w:ascii="宋体" w:hAnsi="宋体"/>
          <w:color w:val="auto"/>
          <w:sz w:val="22"/>
          <w:szCs w:val="22"/>
        </w:rPr>
      </w:pPr>
      <w:r>
        <w:rPr>
          <w:rFonts w:hint="eastAsia" w:ascii="宋体" w:hAnsi="宋体"/>
          <w:color w:val="auto"/>
          <w:sz w:val="22"/>
          <w:szCs w:val="22"/>
        </w:rPr>
        <w:t>电子信箱：</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5C7C9F98">
      <w:pPr>
        <w:spacing w:line="440" w:lineRule="exact"/>
        <w:ind w:firstLine="420"/>
        <w:outlineLvl w:val="9"/>
        <w:rPr>
          <w:rFonts w:ascii="宋体" w:hAnsi="宋体"/>
          <w:color w:val="auto"/>
          <w:sz w:val="22"/>
          <w:szCs w:val="22"/>
        </w:rPr>
      </w:pPr>
      <w:r>
        <w:rPr>
          <w:rFonts w:hint="eastAsia" w:ascii="宋体" w:hAnsi="宋体"/>
          <w:color w:val="auto"/>
          <w:sz w:val="22"/>
          <w:szCs w:val="22"/>
        </w:rPr>
        <w:t>通信地址：</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签订合同时根据磋商响应文件确定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3F9C9759">
      <w:pPr>
        <w:spacing w:line="440" w:lineRule="exact"/>
        <w:ind w:firstLine="420"/>
        <w:outlineLvl w:val="9"/>
        <w:rPr>
          <w:rFonts w:ascii="宋体" w:hAnsi="宋体"/>
          <w:color w:val="auto"/>
          <w:sz w:val="22"/>
          <w:szCs w:val="22"/>
        </w:rPr>
      </w:pPr>
      <w:r>
        <w:rPr>
          <w:rFonts w:hint="eastAsia" w:ascii="宋体" w:hAnsi="宋体"/>
          <w:color w:val="auto"/>
          <w:sz w:val="22"/>
          <w:szCs w:val="22"/>
        </w:rPr>
        <w:t>承包人对项目经理的授权范围如下：</w:t>
      </w:r>
      <w:r>
        <w:rPr>
          <w:rFonts w:hint="eastAsia" w:ascii="宋体" w:hAnsi="宋体"/>
          <w:color w:val="auto"/>
          <w:sz w:val="22"/>
          <w:szCs w:val="22"/>
          <w:u w:val="single"/>
        </w:rPr>
        <w:t xml:space="preserve">  签订合同时另行确定      </w:t>
      </w:r>
      <w:r>
        <w:rPr>
          <w:rFonts w:hint="eastAsia" w:ascii="宋体" w:hAnsi="宋体"/>
          <w:color w:val="auto"/>
          <w:sz w:val="22"/>
          <w:szCs w:val="22"/>
        </w:rPr>
        <w:t>。</w:t>
      </w:r>
    </w:p>
    <w:p w14:paraId="0ADF4292">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关于项目经理每月在施工现场的时间要求：</w:t>
      </w:r>
      <w:r>
        <w:rPr>
          <w:rFonts w:hint="eastAsia" w:ascii="宋体" w:hAnsi="宋体"/>
          <w:color w:val="auto"/>
          <w:sz w:val="22"/>
          <w:szCs w:val="22"/>
          <w:u w:val="single"/>
        </w:rPr>
        <w:t>项目负责人和技术负责人每月到岗天数均为24天，每缺一天，</w:t>
      </w:r>
      <w:r>
        <w:rPr>
          <w:rFonts w:ascii="宋体" w:hAnsi="宋体"/>
          <w:color w:val="auto"/>
          <w:sz w:val="22"/>
          <w:szCs w:val="22"/>
          <w:u w:val="single"/>
        </w:rPr>
        <w:t>支付违约金每人</w:t>
      </w:r>
      <w:r>
        <w:rPr>
          <w:rFonts w:hint="eastAsia" w:ascii="宋体" w:hAnsi="宋体"/>
          <w:color w:val="auto"/>
          <w:sz w:val="22"/>
          <w:szCs w:val="22"/>
          <w:u w:val="single"/>
        </w:rPr>
        <w:t>2000元；每天到岗低于6小时的，视为缺勤；未能参加相关会议的、会议迟到或者未履行责任，承包人向发包人支付500元/人次的违约金。</w:t>
      </w:r>
    </w:p>
    <w:p w14:paraId="6CA475FE">
      <w:pPr>
        <w:spacing w:line="440" w:lineRule="exact"/>
        <w:ind w:firstLine="420"/>
        <w:outlineLvl w:val="9"/>
        <w:rPr>
          <w:rFonts w:ascii="宋体" w:hAnsi="宋体"/>
          <w:color w:val="auto"/>
          <w:sz w:val="22"/>
          <w:szCs w:val="22"/>
        </w:rPr>
      </w:pPr>
      <w:r>
        <w:rPr>
          <w:rFonts w:hint="eastAsia" w:ascii="宋体" w:hAnsi="宋体"/>
          <w:color w:val="auto"/>
          <w:sz w:val="22"/>
          <w:szCs w:val="22"/>
        </w:rPr>
        <w:t>承包人未提交劳动合同，以及没有为项目经理缴纳社会保险证明的违约责任：</w:t>
      </w:r>
      <w:r>
        <w:rPr>
          <w:rFonts w:hint="eastAsia" w:ascii="宋体" w:hAnsi="宋体"/>
          <w:color w:val="auto"/>
          <w:sz w:val="22"/>
          <w:szCs w:val="22"/>
          <w:u w:val="single"/>
        </w:rPr>
        <w:t>承包人不提交上述文件的，项目经理无权履行职责，发包人有权要求更换项目经理，由此增加的费用和（或）延误的工期由承包人承担</w:t>
      </w:r>
      <w:r>
        <w:rPr>
          <w:rFonts w:hint="eastAsia" w:ascii="宋体" w:hAnsi="宋体"/>
          <w:color w:val="auto"/>
          <w:sz w:val="22"/>
          <w:szCs w:val="22"/>
        </w:rPr>
        <w:t>。</w:t>
      </w:r>
    </w:p>
    <w:p w14:paraId="0CED42ED">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项目经理未经批准，擅自离开施工现场的违约责任：</w:t>
      </w:r>
      <w:r>
        <w:rPr>
          <w:rFonts w:hint="eastAsia" w:ascii="宋体" w:hAnsi="宋体"/>
          <w:color w:val="auto"/>
          <w:sz w:val="22"/>
          <w:szCs w:val="22"/>
          <w:u w:val="single"/>
        </w:rPr>
        <w:t>按项目经理未到位处理</w:t>
      </w:r>
      <w:r>
        <w:rPr>
          <w:rFonts w:hint="eastAsia" w:ascii="宋体" w:hAnsi="宋体"/>
          <w:color w:val="auto"/>
          <w:sz w:val="22"/>
          <w:szCs w:val="22"/>
        </w:rPr>
        <w:t>。</w:t>
      </w:r>
    </w:p>
    <w:p w14:paraId="02AA6535">
      <w:pPr>
        <w:spacing w:line="440" w:lineRule="exact"/>
        <w:ind w:firstLine="420"/>
        <w:outlineLvl w:val="9"/>
        <w:rPr>
          <w:rFonts w:ascii="宋体" w:hAnsi="宋体"/>
          <w:color w:val="auto"/>
          <w:sz w:val="22"/>
          <w:szCs w:val="22"/>
        </w:rPr>
      </w:pPr>
      <w:r>
        <w:rPr>
          <w:rFonts w:hint="eastAsia" w:ascii="宋体" w:hAnsi="宋体"/>
          <w:color w:val="auto"/>
          <w:sz w:val="22"/>
          <w:szCs w:val="22"/>
        </w:rPr>
        <w:t>3.2.3 承包人擅自更换项目经理的违约责任：</w:t>
      </w:r>
      <w:r>
        <w:rPr>
          <w:rFonts w:hint="eastAsia" w:ascii="宋体" w:hAnsi="宋体"/>
          <w:color w:val="auto"/>
          <w:sz w:val="22"/>
          <w:szCs w:val="22"/>
          <w:u w:val="single"/>
        </w:rPr>
        <w:t>成交后未经发包人同意，不得擅自更换项目经理，否则按每次支付违约金20000元。</w:t>
      </w:r>
    </w:p>
    <w:p w14:paraId="1672262E">
      <w:pPr>
        <w:spacing w:line="440" w:lineRule="exact"/>
        <w:ind w:firstLine="420"/>
        <w:outlineLvl w:val="9"/>
        <w:rPr>
          <w:rFonts w:ascii="宋体" w:hAnsi="宋体"/>
          <w:color w:val="auto"/>
          <w:sz w:val="22"/>
          <w:szCs w:val="22"/>
        </w:rPr>
      </w:pPr>
      <w:r>
        <w:rPr>
          <w:rFonts w:hint="eastAsia" w:ascii="宋体" w:hAnsi="宋体"/>
          <w:color w:val="auto"/>
          <w:sz w:val="22"/>
          <w:szCs w:val="22"/>
        </w:rPr>
        <w:t xml:space="preserve">    3.2.4 承包人无正当理由拒绝更换项目经理的违约责任：</w:t>
      </w:r>
      <w:r>
        <w:rPr>
          <w:rFonts w:hint="eastAsia" w:ascii="宋体" w:hAnsi="宋体"/>
          <w:color w:val="auto"/>
          <w:sz w:val="22"/>
          <w:szCs w:val="22"/>
          <w:u w:val="single"/>
        </w:rPr>
        <w:t>发包人有权要求撤换工作不负责、管理不力、不到位、贻误工作的项目经理，或者造成严重的安全事故和工程质量事故的项目经理，更换的项目经理到位时间为发包人发出书面通知后15天内，逾期视为未到位，并按项目经理到位率处罚处理</w:t>
      </w:r>
      <w:r>
        <w:rPr>
          <w:rFonts w:hint="eastAsia" w:ascii="宋体" w:hAnsi="宋体"/>
          <w:color w:val="auto"/>
          <w:sz w:val="22"/>
          <w:szCs w:val="22"/>
        </w:rPr>
        <w:t>。</w:t>
      </w:r>
    </w:p>
    <w:p w14:paraId="6976A14B">
      <w:pPr>
        <w:spacing w:line="440" w:lineRule="exact"/>
        <w:ind w:firstLine="420"/>
        <w:outlineLvl w:val="9"/>
        <w:rPr>
          <w:rFonts w:ascii="宋体" w:hAnsi="宋体"/>
          <w:color w:val="auto"/>
          <w:sz w:val="22"/>
          <w:szCs w:val="22"/>
        </w:rPr>
      </w:pPr>
      <w:r>
        <w:rPr>
          <w:rFonts w:hint="eastAsia" w:ascii="宋体" w:hAnsi="宋体"/>
          <w:color w:val="auto"/>
          <w:sz w:val="22"/>
          <w:szCs w:val="22"/>
        </w:rPr>
        <w:t>3.3 承包人人员</w:t>
      </w:r>
    </w:p>
    <w:p w14:paraId="76496438">
      <w:pPr>
        <w:spacing w:line="440" w:lineRule="exact"/>
        <w:ind w:firstLine="420"/>
        <w:outlineLvl w:val="9"/>
        <w:rPr>
          <w:rFonts w:ascii="宋体" w:hAnsi="宋体"/>
          <w:color w:val="auto"/>
          <w:sz w:val="22"/>
          <w:szCs w:val="22"/>
        </w:rPr>
      </w:pPr>
      <w:r>
        <w:rPr>
          <w:rFonts w:hint="eastAsia" w:ascii="宋体" w:hAnsi="宋体"/>
          <w:color w:val="auto"/>
          <w:sz w:val="22"/>
          <w:szCs w:val="22"/>
        </w:rPr>
        <w:t>3.3.1 承包人提交项目管理机构及施工现场管理人员安排报告的期限：</w:t>
      </w:r>
      <w:r>
        <w:rPr>
          <w:rFonts w:hint="eastAsia" w:ascii="宋体" w:hAnsi="宋体"/>
          <w:color w:val="auto"/>
          <w:sz w:val="22"/>
          <w:szCs w:val="22"/>
          <w:u w:val="single"/>
        </w:rPr>
        <w:t>接到开工通知后7天内</w:t>
      </w:r>
      <w:r>
        <w:rPr>
          <w:rFonts w:hint="eastAsia" w:ascii="宋体" w:hAnsi="宋体"/>
          <w:color w:val="auto"/>
          <w:sz w:val="22"/>
          <w:szCs w:val="22"/>
        </w:rPr>
        <w:t>。</w:t>
      </w:r>
    </w:p>
    <w:p w14:paraId="3E235BEF">
      <w:pPr>
        <w:spacing w:line="440" w:lineRule="exact"/>
        <w:ind w:firstLine="420"/>
        <w:outlineLvl w:val="9"/>
        <w:rPr>
          <w:rFonts w:ascii="宋体" w:hAnsi="宋体"/>
          <w:color w:val="auto"/>
          <w:sz w:val="22"/>
          <w:szCs w:val="22"/>
        </w:rPr>
      </w:pPr>
      <w:r>
        <w:rPr>
          <w:rFonts w:hint="eastAsia" w:ascii="宋体" w:hAnsi="宋体"/>
          <w:color w:val="auto"/>
          <w:sz w:val="22"/>
          <w:szCs w:val="22"/>
        </w:rPr>
        <w:t>3.3.3 承包人无正当理由拒绝撤换主要施工管理人员的违约责任：</w:t>
      </w:r>
      <w:r>
        <w:rPr>
          <w:rFonts w:hint="eastAsia" w:ascii="宋体" w:hAnsi="宋体"/>
          <w:color w:val="auto"/>
          <w:sz w:val="22"/>
          <w:szCs w:val="22"/>
          <w:u w:val="single"/>
        </w:rPr>
        <w:t>更换人员应在规定的时间内更换并到岗，逾期视为应到人员未到位按项目班组人员到位率的担保处理办法处理</w:t>
      </w:r>
      <w:r>
        <w:rPr>
          <w:rFonts w:hint="eastAsia" w:ascii="宋体" w:hAnsi="宋体"/>
          <w:color w:val="auto"/>
          <w:sz w:val="22"/>
          <w:szCs w:val="22"/>
        </w:rPr>
        <w:t>。</w:t>
      </w:r>
    </w:p>
    <w:p w14:paraId="01EF7626">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3.3.4 承包人主要施工管理人员离开施工现场的批准要求：</w:t>
      </w:r>
      <w:r>
        <w:rPr>
          <w:rFonts w:hint="eastAsia" w:ascii="宋体" w:hAnsi="宋体"/>
          <w:color w:val="auto"/>
          <w:sz w:val="22"/>
          <w:szCs w:val="22"/>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和发包人的同意</w:t>
      </w:r>
      <w:r>
        <w:rPr>
          <w:rFonts w:hint="eastAsia" w:ascii="宋体" w:hAnsi="宋体"/>
          <w:color w:val="auto"/>
          <w:sz w:val="22"/>
          <w:szCs w:val="22"/>
        </w:rPr>
        <w:t>。</w:t>
      </w:r>
    </w:p>
    <w:p w14:paraId="5089BA98">
      <w:pPr>
        <w:spacing w:line="440" w:lineRule="exact"/>
        <w:ind w:firstLine="420"/>
        <w:outlineLvl w:val="9"/>
        <w:rPr>
          <w:rFonts w:hint="eastAsia" w:ascii="宋体" w:hAnsi="宋体"/>
          <w:color w:val="auto"/>
          <w:sz w:val="22"/>
          <w:szCs w:val="22"/>
        </w:rPr>
      </w:pPr>
      <w:r>
        <w:rPr>
          <w:rFonts w:hint="eastAsia" w:ascii="宋体" w:hAnsi="宋体"/>
          <w:color w:val="auto"/>
          <w:sz w:val="22"/>
          <w:szCs w:val="22"/>
        </w:rPr>
        <w:t>3.3.5承包人擅自更换主要施工管理人员的违约责任：</w:t>
      </w:r>
      <w:r>
        <w:rPr>
          <w:rFonts w:hint="eastAsia" w:ascii="宋体" w:hAnsi="宋体"/>
          <w:color w:val="auto"/>
          <w:sz w:val="22"/>
          <w:szCs w:val="22"/>
          <w:u w:val="single"/>
        </w:rPr>
        <w:t>成交后未经发包人同意，不得擅自更换主要管理人员，否则</w:t>
      </w:r>
      <w:r>
        <w:rPr>
          <w:rFonts w:ascii="宋体" w:hAnsi="宋体"/>
          <w:color w:val="auto"/>
          <w:sz w:val="22"/>
          <w:szCs w:val="22"/>
          <w:u w:val="single"/>
        </w:rPr>
        <w:t>支付违约金10000</w:t>
      </w:r>
      <w:r>
        <w:rPr>
          <w:rFonts w:hint="eastAsia" w:ascii="宋体" w:hAnsi="宋体"/>
          <w:color w:val="auto"/>
          <w:sz w:val="22"/>
          <w:szCs w:val="22"/>
          <w:u w:val="single"/>
        </w:rPr>
        <w:t>元/人。其他管理人员到位率为100%，每少一天按1000元/人支付违约金；项目负责人、项目技术负责人以监理现场签到管理为准。技术负责人每月到岗天数均应达到24天以上，每少一天按2000元/天支付违约金，项目负责人和项目技术负责人严禁同时缺勤或休假，如果同时缺勤或休假一天按每人5000元支付违约金。</w:t>
      </w:r>
    </w:p>
    <w:p w14:paraId="5BCC331F">
      <w:pPr>
        <w:spacing w:line="440" w:lineRule="exact"/>
        <w:ind w:firstLine="420"/>
        <w:outlineLvl w:val="9"/>
        <w:rPr>
          <w:rFonts w:ascii="宋体" w:hAnsi="宋体"/>
          <w:color w:val="auto"/>
          <w:sz w:val="22"/>
          <w:szCs w:val="22"/>
        </w:rPr>
      </w:pPr>
      <w:r>
        <w:rPr>
          <w:rFonts w:hint="eastAsia" w:ascii="宋体" w:hAnsi="宋体"/>
          <w:color w:val="auto"/>
          <w:sz w:val="22"/>
          <w:szCs w:val="22"/>
        </w:rPr>
        <w:t>承包人主要施工管理人员擅自离开施工现场的违约责任：</w:t>
      </w:r>
      <w:r>
        <w:rPr>
          <w:rFonts w:hint="eastAsia" w:ascii="宋体" w:hAnsi="宋体"/>
          <w:color w:val="auto"/>
          <w:sz w:val="22"/>
          <w:szCs w:val="22"/>
          <w:u w:val="single"/>
        </w:rPr>
        <w:t>按不到位违约处理</w:t>
      </w:r>
      <w:r>
        <w:rPr>
          <w:rFonts w:hint="eastAsia" w:ascii="宋体" w:hAnsi="宋体"/>
          <w:color w:val="auto"/>
          <w:sz w:val="22"/>
          <w:szCs w:val="22"/>
        </w:rPr>
        <w:t>。</w:t>
      </w:r>
    </w:p>
    <w:p w14:paraId="7B7F59C1">
      <w:pPr>
        <w:spacing w:line="440" w:lineRule="exact"/>
        <w:ind w:firstLine="420"/>
        <w:outlineLvl w:val="9"/>
        <w:rPr>
          <w:rFonts w:ascii="宋体" w:hAnsi="宋体"/>
          <w:color w:val="auto"/>
          <w:sz w:val="22"/>
          <w:szCs w:val="22"/>
        </w:rPr>
      </w:pPr>
      <w:r>
        <w:rPr>
          <w:rFonts w:hint="eastAsia" w:ascii="宋体" w:hAnsi="宋体"/>
          <w:color w:val="auto"/>
          <w:sz w:val="22"/>
          <w:szCs w:val="22"/>
        </w:rPr>
        <w:t>3.5 分包</w:t>
      </w:r>
    </w:p>
    <w:p w14:paraId="549C407F">
      <w:pPr>
        <w:spacing w:line="440" w:lineRule="exact"/>
        <w:ind w:firstLine="420"/>
        <w:outlineLvl w:val="9"/>
        <w:rPr>
          <w:rFonts w:ascii="宋体" w:hAnsi="宋体"/>
          <w:color w:val="auto"/>
          <w:sz w:val="22"/>
          <w:szCs w:val="22"/>
        </w:rPr>
      </w:pPr>
      <w:r>
        <w:rPr>
          <w:rFonts w:hint="eastAsia" w:ascii="宋体" w:hAnsi="宋体"/>
          <w:color w:val="auto"/>
          <w:sz w:val="22"/>
          <w:szCs w:val="22"/>
        </w:rPr>
        <w:t>3.5.1 分包的一般约定</w:t>
      </w:r>
    </w:p>
    <w:p w14:paraId="143BF438">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禁止分包的工程包括：</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执行通用条款</w:t>
      </w:r>
      <w:r>
        <w:rPr>
          <w:rFonts w:hint="eastAsia" w:ascii="宋体" w:hAnsi="宋体"/>
          <w:color w:val="auto"/>
          <w:sz w:val="22"/>
          <w:szCs w:val="22"/>
        </w:rPr>
        <w:t>。</w:t>
      </w:r>
    </w:p>
    <w:p w14:paraId="1E9211BF">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主体结构、关键性工作的范围：</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执行通用条款</w:t>
      </w:r>
      <w:r>
        <w:rPr>
          <w:rFonts w:hint="eastAsia" w:ascii="宋体" w:hAnsi="宋体"/>
          <w:color w:val="auto"/>
          <w:sz w:val="22"/>
          <w:szCs w:val="22"/>
        </w:rPr>
        <w:t>。</w:t>
      </w:r>
    </w:p>
    <w:p w14:paraId="0ED73175">
      <w:pPr>
        <w:spacing w:line="440" w:lineRule="exact"/>
        <w:ind w:firstLine="420"/>
        <w:outlineLvl w:val="9"/>
        <w:rPr>
          <w:rFonts w:ascii="宋体" w:hAnsi="宋体"/>
          <w:color w:val="auto"/>
          <w:sz w:val="22"/>
          <w:szCs w:val="22"/>
        </w:rPr>
      </w:pPr>
      <w:r>
        <w:rPr>
          <w:rFonts w:hint="eastAsia" w:ascii="宋体" w:hAnsi="宋体"/>
          <w:color w:val="auto"/>
          <w:sz w:val="22"/>
          <w:szCs w:val="22"/>
        </w:rPr>
        <w:t xml:space="preserve">    3.5.2分包的确定</w:t>
      </w:r>
    </w:p>
    <w:p w14:paraId="23490DAE">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允许分包的专业工程包括：</w:t>
      </w:r>
      <w:r>
        <w:rPr>
          <w:rFonts w:hint="eastAsia" w:ascii="宋体" w:hAnsi="宋体" w:cs="MingLiU_HKSCS"/>
          <w:color w:val="auto"/>
          <w:sz w:val="22"/>
          <w:szCs w:val="22"/>
          <w:u w:val="single"/>
        </w:rPr>
        <w:t xml:space="preserve"> </w:t>
      </w:r>
      <w:r>
        <w:rPr>
          <w:rFonts w:hint="eastAsia" w:ascii="宋体" w:hAnsi="宋体" w:cs="宋体"/>
          <w:color w:val="auto"/>
          <w:sz w:val="22"/>
          <w:szCs w:val="22"/>
          <w:u w:val="single"/>
        </w:rPr>
        <w:t xml:space="preserve">执行通用条款  </w:t>
      </w:r>
      <w:r>
        <w:rPr>
          <w:rFonts w:hint="eastAsia" w:ascii="宋体" w:hAnsi="宋体"/>
          <w:color w:val="auto"/>
          <w:sz w:val="22"/>
          <w:szCs w:val="22"/>
        </w:rPr>
        <w:t>。</w:t>
      </w:r>
    </w:p>
    <w:p w14:paraId="6C121CA3">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其他关于分包的约定：</w:t>
      </w:r>
      <w:r>
        <w:rPr>
          <w:rFonts w:hint="eastAsia" w:ascii="宋体" w:hAnsi="宋体"/>
          <w:color w:val="auto"/>
          <w:sz w:val="22"/>
          <w:szCs w:val="22"/>
          <w:u w:val="single"/>
        </w:rPr>
        <w:t xml:space="preserve"> </w:t>
      </w:r>
      <w:r>
        <w:rPr>
          <w:rFonts w:hint="eastAsia" w:ascii="宋体" w:hAnsi="宋体" w:cs="宋体"/>
          <w:color w:val="auto"/>
          <w:sz w:val="22"/>
          <w:szCs w:val="22"/>
          <w:u w:val="single"/>
        </w:rPr>
        <w:t>执行通用条款</w:t>
      </w:r>
      <w:r>
        <w:rPr>
          <w:rFonts w:hint="eastAsia" w:ascii="宋体" w:hAnsi="宋体"/>
          <w:color w:val="auto"/>
          <w:sz w:val="22"/>
          <w:szCs w:val="22"/>
        </w:rPr>
        <w:t>。</w:t>
      </w:r>
    </w:p>
    <w:p w14:paraId="62427315">
      <w:pPr>
        <w:spacing w:line="440" w:lineRule="exact"/>
        <w:ind w:firstLine="420"/>
        <w:outlineLvl w:val="9"/>
        <w:rPr>
          <w:rFonts w:ascii="宋体" w:hAnsi="宋体"/>
          <w:color w:val="auto"/>
          <w:sz w:val="22"/>
          <w:szCs w:val="22"/>
        </w:rPr>
      </w:pPr>
      <w:r>
        <w:rPr>
          <w:rFonts w:hint="eastAsia" w:ascii="宋体" w:hAnsi="宋体"/>
          <w:color w:val="auto"/>
          <w:sz w:val="22"/>
          <w:szCs w:val="22"/>
        </w:rPr>
        <w:t>3.5.4 分包合同价款</w:t>
      </w:r>
    </w:p>
    <w:p w14:paraId="767A3D6F">
      <w:pPr>
        <w:spacing w:line="440" w:lineRule="exact"/>
        <w:ind w:firstLine="420"/>
        <w:outlineLvl w:val="9"/>
        <w:rPr>
          <w:rFonts w:ascii="宋体" w:hAnsi="宋体"/>
          <w:color w:val="auto"/>
          <w:sz w:val="22"/>
          <w:szCs w:val="22"/>
        </w:rPr>
      </w:pPr>
      <w:r>
        <w:rPr>
          <w:rFonts w:hint="eastAsia" w:ascii="宋体" w:hAnsi="宋体"/>
          <w:color w:val="auto"/>
          <w:sz w:val="22"/>
          <w:szCs w:val="22"/>
        </w:rPr>
        <w:t>关于分包合同价款支付的约定：</w:t>
      </w:r>
      <w:r>
        <w:rPr>
          <w:rFonts w:hint="eastAsia" w:ascii="宋体" w:hAnsi="宋体"/>
          <w:color w:val="auto"/>
          <w:sz w:val="22"/>
          <w:szCs w:val="22"/>
          <w:u w:val="single"/>
        </w:rPr>
        <w:t>按通用合同条款第3.5.4款执行</w:t>
      </w:r>
      <w:r>
        <w:rPr>
          <w:rFonts w:hint="eastAsia" w:ascii="宋体" w:hAnsi="宋体"/>
          <w:color w:val="auto"/>
          <w:sz w:val="22"/>
          <w:szCs w:val="22"/>
        </w:rPr>
        <w:t>。</w:t>
      </w:r>
    </w:p>
    <w:p w14:paraId="61726CAB">
      <w:pPr>
        <w:spacing w:line="440" w:lineRule="exact"/>
        <w:ind w:firstLine="420"/>
        <w:outlineLvl w:val="9"/>
        <w:rPr>
          <w:rFonts w:ascii="宋体" w:hAnsi="宋体"/>
          <w:color w:val="auto"/>
          <w:sz w:val="22"/>
          <w:szCs w:val="22"/>
        </w:rPr>
      </w:pPr>
      <w:r>
        <w:rPr>
          <w:rFonts w:hint="eastAsia" w:ascii="宋体" w:hAnsi="宋体"/>
          <w:color w:val="auto"/>
          <w:sz w:val="22"/>
          <w:szCs w:val="22"/>
        </w:rPr>
        <w:t>3.6 工程照管与成品、半成品保护</w:t>
      </w:r>
    </w:p>
    <w:p w14:paraId="0FD4D799">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承包人负责照管工程及工程相关的材料、工程设备的起始时间：</w:t>
      </w:r>
      <w:r>
        <w:rPr>
          <w:rFonts w:hint="eastAsia" w:ascii="宋体" w:hAnsi="宋体"/>
          <w:color w:val="auto"/>
          <w:sz w:val="22"/>
          <w:szCs w:val="22"/>
          <w:u w:val="single"/>
        </w:rPr>
        <w:t>按通用合同条款第3.6款执行</w:t>
      </w:r>
      <w:r>
        <w:rPr>
          <w:rFonts w:hint="eastAsia" w:ascii="宋体" w:hAnsi="宋体"/>
          <w:color w:val="auto"/>
          <w:sz w:val="22"/>
          <w:szCs w:val="22"/>
        </w:rPr>
        <w:t>。</w:t>
      </w:r>
    </w:p>
    <w:p w14:paraId="066B27CB">
      <w:pPr>
        <w:spacing w:line="440" w:lineRule="exact"/>
        <w:ind w:firstLine="420"/>
        <w:outlineLvl w:val="9"/>
        <w:rPr>
          <w:rFonts w:ascii="宋体" w:hAnsi="宋体"/>
          <w:color w:val="auto"/>
          <w:sz w:val="22"/>
          <w:szCs w:val="22"/>
        </w:rPr>
      </w:pPr>
      <w:r>
        <w:rPr>
          <w:rFonts w:hint="eastAsia" w:ascii="宋体" w:hAnsi="宋体"/>
          <w:color w:val="auto"/>
          <w:sz w:val="22"/>
          <w:szCs w:val="22"/>
        </w:rPr>
        <w:t>3.7 履约担保</w:t>
      </w:r>
    </w:p>
    <w:p w14:paraId="0EC28A5C">
      <w:pPr>
        <w:spacing w:line="440" w:lineRule="exact"/>
        <w:ind w:firstLine="420"/>
        <w:jc w:val="left"/>
        <w:outlineLvl w:val="9"/>
        <w:rPr>
          <w:rFonts w:hint="eastAsia" w:ascii="宋体" w:hAnsi="宋体"/>
          <w:color w:val="auto"/>
          <w:sz w:val="22"/>
          <w:szCs w:val="22"/>
          <w:u w:val="single"/>
        </w:rPr>
      </w:pPr>
      <w:r>
        <w:rPr>
          <w:rFonts w:hint="eastAsia" w:ascii="宋体" w:hAnsi="宋体"/>
          <w:color w:val="auto"/>
          <w:sz w:val="22"/>
          <w:szCs w:val="22"/>
        </w:rPr>
        <w:t>承包人是否提供履约担保：</w:t>
      </w:r>
      <w:r>
        <w:rPr>
          <w:rFonts w:hint="eastAsia" w:ascii="宋体" w:hAnsi="宋体"/>
          <w:color w:val="auto"/>
          <w:sz w:val="22"/>
          <w:szCs w:val="22"/>
          <w:u w:val="single"/>
        </w:rPr>
        <w:t>是</w:t>
      </w:r>
      <w:r>
        <w:rPr>
          <w:rFonts w:ascii="宋体" w:hAnsi="宋体"/>
          <w:color w:val="auto"/>
          <w:sz w:val="22"/>
          <w:szCs w:val="22"/>
          <w:u w:val="single"/>
        </w:rPr>
        <w:t>。</w:t>
      </w:r>
    </w:p>
    <w:p w14:paraId="58F14591">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承包人提供履约担保的形式、金额及期限的：</w:t>
      </w:r>
      <w:r>
        <w:rPr>
          <w:rFonts w:hint="eastAsia" w:ascii="宋体" w:hAnsi="宋体"/>
          <w:color w:val="auto"/>
          <w:sz w:val="22"/>
          <w:szCs w:val="22"/>
          <w:u w:val="single"/>
        </w:rPr>
        <w:t>银行转账或保函（银行、保险公司出具），工程合同价款的</w:t>
      </w:r>
      <w:r>
        <w:rPr>
          <w:rFonts w:hint="eastAsia" w:ascii="宋体" w:hAnsi="宋体"/>
          <w:color w:val="auto"/>
          <w:sz w:val="22"/>
          <w:szCs w:val="22"/>
          <w:u w:val="single"/>
          <w:lang w:val="en-US" w:eastAsia="zh-CN"/>
        </w:rPr>
        <w:t>1</w:t>
      </w:r>
      <w:r>
        <w:rPr>
          <w:rFonts w:hint="eastAsia" w:ascii="宋体" w:hAnsi="宋体"/>
          <w:color w:val="auto"/>
          <w:sz w:val="22"/>
          <w:szCs w:val="22"/>
          <w:u w:val="single"/>
        </w:rPr>
        <w:t>%，在签订施工合同时提交，</w:t>
      </w:r>
      <w:r>
        <w:rPr>
          <w:rFonts w:ascii="宋体" w:hAnsi="宋体"/>
          <w:color w:val="auto"/>
          <w:sz w:val="22"/>
          <w:szCs w:val="22"/>
          <w:u w:val="single"/>
        </w:rPr>
        <w:t>期限自提供担保之日起</w:t>
      </w:r>
      <w:r>
        <w:rPr>
          <w:rFonts w:hint="eastAsia" w:ascii="宋体" w:hAnsi="宋体"/>
          <w:color w:val="auto"/>
          <w:sz w:val="22"/>
          <w:szCs w:val="22"/>
          <w:u w:val="single"/>
        </w:rPr>
        <w:t>至工程竣工验收合格后28内结清，不计利息。</w:t>
      </w:r>
    </w:p>
    <w:p w14:paraId="387AA592">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4. 监理人</w:t>
      </w:r>
    </w:p>
    <w:p w14:paraId="7FB99761">
      <w:pPr>
        <w:spacing w:line="440" w:lineRule="exact"/>
        <w:ind w:firstLine="420"/>
        <w:outlineLvl w:val="9"/>
        <w:rPr>
          <w:rFonts w:ascii="宋体" w:hAnsi="宋体"/>
          <w:color w:val="auto"/>
          <w:sz w:val="22"/>
          <w:szCs w:val="22"/>
        </w:rPr>
      </w:pPr>
      <w:r>
        <w:rPr>
          <w:rFonts w:hint="eastAsia" w:ascii="宋体" w:hAnsi="宋体"/>
          <w:color w:val="auto"/>
          <w:sz w:val="22"/>
          <w:szCs w:val="22"/>
        </w:rPr>
        <w:t>4.1监理人的一般规定</w:t>
      </w:r>
    </w:p>
    <w:p w14:paraId="22307A9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关于监理人的监理内容：</w:t>
      </w:r>
      <w:r>
        <w:rPr>
          <w:rFonts w:hint="eastAsia" w:ascii="宋体" w:hAnsi="宋体"/>
          <w:color w:val="auto"/>
          <w:sz w:val="22"/>
          <w:szCs w:val="22"/>
          <w:u w:val="single"/>
        </w:rPr>
        <w:t>按《建设工程监理规范</w:t>
      </w:r>
      <w:r>
        <w:rPr>
          <w:rFonts w:ascii="宋体" w:hAnsi="宋体"/>
          <w:color w:val="auto"/>
          <w:sz w:val="22"/>
          <w:szCs w:val="22"/>
          <w:u w:val="single"/>
        </w:rPr>
        <w:t>GB50319-2013</w:t>
      </w:r>
      <w:r>
        <w:rPr>
          <w:rFonts w:hint="eastAsia" w:ascii="宋体" w:hAnsi="宋体"/>
          <w:color w:val="auto"/>
          <w:sz w:val="22"/>
          <w:szCs w:val="22"/>
          <w:u w:val="single"/>
        </w:rPr>
        <w:t>》规定的工程质量监督、进度控制、安全管理、核实工程量工程款等工作</w:t>
      </w:r>
      <w:r>
        <w:rPr>
          <w:rFonts w:hint="eastAsia" w:ascii="宋体" w:hAnsi="宋体"/>
          <w:color w:val="auto"/>
          <w:sz w:val="22"/>
          <w:szCs w:val="22"/>
        </w:rPr>
        <w:t>。</w:t>
      </w:r>
    </w:p>
    <w:p w14:paraId="48B4B9B3">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关于监理人的监理权限：</w:t>
      </w:r>
      <w:r>
        <w:rPr>
          <w:rFonts w:hint="eastAsia" w:ascii="宋体" w:hAnsi="宋体"/>
          <w:color w:val="auto"/>
          <w:sz w:val="22"/>
          <w:szCs w:val="22"/>
          <w:u w:val="single"/>
        </w:rPr>
        <w:t>执行《建设工程监理规范GB50319-2013》规定的总监理工程师应履行的职责，全过程监理工程质量、进度、安全文明施工及工程造价控制（详见监理合同）。</w:t>
      </w:r>
    </w:p>
    <w:p w14:paraId="0349D2AE">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取得发包人批准才能行使的职权：</w:t>
      </w:r>
      <w:r>
        <w:rPr>
          <w:rFonts w:hint="eastAsia" w:ascii="宋体" w:hAnsi="宋体"/>
          <w:color w:val="auto"/>
          <w:sz w:val="22"/>
          <w:szCs w:val="22"/>
          <w:u w:val="single"/>
        </w:rPr>
        <w:t>工程变更联系单、停工报告、索赔事项等（详见监理合同）。</w:t>
      </w:r>
    </w:p>
    <w:p w14:paraId="2A877838">
      <w:pPr>
        <w:spacing w:line="440" w:lineRule="exact"/>
        <w:ind w:firstLine="420"/>
        <w:outlineLvl w:val="9"/>
        <w:rPr>
          <w:rFonts w:ascii="宋体" w:hAnsi="宋体"/>
          <w:color w:val="auto"/>
          <w:sz w:val="22"/>
          <w:szCs w:val="22"/>
        </w:rPr>
      </w:pPr>
      <w:r>
        <w:rPr>
          <w:rFonts w:hint="eastAsia" w:ascii="宋体" w:hAnsi="宋体"/>
          <w:color w:val="auto"/>
          <w:sz w:val="22"/>
          <w:szCs w:val="22"/>
        </w:rPr>
        <w:t>关于监理人在施工现场的办公场所、生活场所的提供和费用承担的约定：</w:t>
      </w:r>
      <w:r>
        <w:rPr>
          <w:rFonts w:hint="eastAsia" w:ascii="宋体" w:hAnsi="宋体"/>
          <w:color w:val="auto"/>
          <w:sz w:val="22"/>
          <w:szCs w:val="22"/>
          <w:u w:val="single"/>
        </w:rPr>
        <w:t xml:space="preserve">  签订合同时确定  </w:t>
      </w:r>
      <w:r>
        <w:rPr>
          <w:rFonts w:hint="eastAsia" w:ascii="宋体" w:hAnsi="宋体"/>
          <w:color w:val="auto"/>
          <w:sz w:val="22"/>
          <w:szCs w:val="22"/>
        </w:rPr>
        <w:t>。</w:t>
      </w:r>
    </w:p>
    <w:p w14:paraId="11C0E584">
      <w:pPr>
        <w:spacing w:line="440" w:lineRule="exact"/>
        <w:ind w:firstLine="420"/>
        <w:outlineLvl w:val="9"/>
        <w:rPr>
          <w:rFonts w:ascii="宋体" w:hAnsi="宋体"/>
          <w:color w:val="auto"/>
          <w:sz w:val="22"/>
          <w:szCs w:val="22"/>
        </w:rPr>
      </w:pPr>
      <w:r>
        <w:rPr>
          <w:rFonts w:hint="eastAsia" w:ascii="宋体" w:hAnsi="宋体"/>
          <w:color w:val="auto"/>
          <w:sz w:val="22"/>
          <w:szCs w:val="22"/>
        </w:rPr>
        <w:t>4.2 监理人员</w:t>
      </w:r>
    </w:p>
    <w:p w14:paraId="307990F4">
      <w:pPr>
        <w:spacing w:line="440" w:lineRule="exact"/>
        <w:ind w:firstLine="420"/>
        <w:outlineLvl w:val="9"/>
        <w:rPr>
          <w:rFonts w:ascii="宋体" w:hAnsi="宋体"/>
          <w:color w:val="auto"/>
          <w:sz w:val="22"/>
          <w:szCs w:val="22"/>
        </w:rPr>
      </w:pPr>
      <w:r>
        <w:rPr>
          <w:rFonts w:hint="eastAsia" w:ascii="宋体" w:hAnsi="宋体"/>
          <w:color w:val="auto"/>
          <w:sz w:val="22"/>
          <w:szCs w:val="22"/>
        </w:rPr>
        <w:t>总监理工程师：</w:t>
      </w:r>
    </w:p>
    <w:p w14:paraId="4027C5D2">
      <w:pPr>
        <w:spacing w:line="440" w:lineRule="exact"/>
        <w:ind w:firstLine="420"/>
        <w:outlineLvl w:val="9"/>
        <w:rPr>
          <w:rFonts w:ascii="宋体" w:hAnsi="宋体"/>
          <w:color w:val="auto"/>
          <w:sz w:val="22"/>
          <w:szCs w:val="22"/>
        </w:rPr>
      </w:pPr>
      <w:r>
        <w:rPr>
          <w:rFonts w:hint="eastAsia" w:ascii="宋体" w:hAnsi="宋体"/>
          <w:color w:val="auto"/>
          <w:sz w:val="22"/>
          <w:szCs w:val="22"/>
        </w:rPr>
        <w:t>姓    名：</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1A73134A">
      <w:pPr>
        <w:spacing w:line="440" w:lineRule="exact"/>
        <w:ind w:firstLine="420"/>
        <w:outlineLvl w:val="9"/>
        <w:rPr>
          <w:rFonts w:ascii="宋体" w:hAnsi="宋体"/>
          <w:color w:val="auto"/>
          <w:sz w:val="22"/>
          <w:szCs w:val="22"/>
        </w:rPr>
      </w:pPr>
      <w:r>
        <w:rPr>
          <w:rFonts w:hint="eastAsia" w:ascii="宋体" w:hAnsi="宋体"/>
          <w:color w:val="auto"/>
          <w:sz w:val="22"/>
          <w:szCs w:val="22"/>
        </w:rPr>
        <w:t>职    务：</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0856163F">
      <w:pPr>
        <w:spacing w:line="440" w:lineRule="exact"/>
        <w:ind w:firstLine="420"/>
        <w:outlineLvl w:val="9"/>
        <w:rPr>
          <w:rFonts w:ascii="宋体" w:hAnsi="宋体"/>
          <w:color w:val="auto"/>
          <w:sz w:val="22"/>
          <w:szCs w:val="22"/>
        </w:rPr>
      </w:pPr>
      <w:r>
        <w:rPr>
          <w:rFonts w:hint="eastAsia" w:ascii="宋体" w:hAnsi="宋体"/>
          <w:color w:val="auto"/>
          <w:sz w:val="22"/>
          <w:szCs w:val="22"/>
        </w:rPr>
        <w:t>监理工程师执业资格证书号：</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签订合同时确定</w:t>
      </w:r>
      <w:r>
        <w:rPr>
          <w:rFonts w:hint="eastAsia" w:ascii="宋体" w:hAnsi="宋体" w:cs="仿宋_GB2312"/>
          <w:color w:val="auto"/>
          <w:sz w:val="22"/>
          <w:szCs w:val="22"/>
          <w:u w:val="single"/>
        </w:rPr>
        <w:t xml:space="preserve"> </w:t>
      </w:r>
      <w:r>
        <w:rPr>
          <w:rFonts w:hint="eastAsia" w:ascii="宋体" w:hAnsi="宋体"/>
          <w:color w:val="auto"/>
          <w:sz w:val="22"/>
          <w:szCs w:val="22"/>
        </w:rPr>
        <w:t>；</w:t>
      </w:r>
    </w:p>
    <w:p w14:paraId="6A773DFB">
      <w:pPr>
        <w:spacing w:line="440" w:lineRule="exact"/>
        <w:ind w:firstLine="420"/>
        <w:outlineLvl w:val="9"/>
        <w:rPr>
          <w:rFonts w:ascii="宋体" w:hAnsi="宋体"/>
          <w:color w:val="auto"/>
          <w:sz w:val="22"/>
          <w:szCs w:val="22"/>
        </w:rPr>
      </w:pPr>
      <w:r>
        <w:rPr>
          <w:rFonts w:hint="eastAsia" w:ascii="宋体" w:hAnsi="宋体"/>
          <w:color w:val="auto"/>
          <w:sz w:val="22"/>
          <w:szCs w:val="22"/>
        </w:rPr>
        <w:t>联系电话：</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4B0F67B2">
      <w:pPr>
        <w:spacing w:line="440" w:lineRule="exact"/>
        <w:ind w:firstLine="420"/>
        <w:outlineLvl w:val="9"/>
        <w:rPr>
          <w:rFonts w:ascii="宋体" w:hAnsi="宋体"/>
          <w:color w:val="auto"/>
          <w:sz w:val="22"/>
          <w:szCs w:val="22"/>
        </w:rPr>
      </w:pPr>
      <w:r>
        <w:rPr>
          <w:rFonts w:hint="eastAsia" w:ascii="宋体" w:hAnsi="宋体"/>
          <w:color w:val="auto"/>
          <w:sz w:val="22"/>
          <w:szCs w:val="22"/>
        </w:rPr>
        <w:t>电子信箱：</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14BF7603">
      <w:pPr>
        <w:spacing w:line="440" w:lineRule="exact"/>
        <w:ind w:firstLine="420"/>
        <w:outlineLvl w:val="9"/>
        <w:rPr>
          <w:rFonts w:ascii="宋体" w:hAnsi="宋体"/>
          <w:color w:val="auto"/>
          <w:sz w:val="22"/>
          <w:szCs w:val="22"/>
        </w:rPr>
      </w:pPr>
      <w:r>
        <w:rPr>
          <w:rFonts w:hint="eastAsia" w:ascii="宋体" w:hAnsi="宋体"/>
          <w:color w:val="auto"/>
          <w:sz w:val="22"/>
          <w:szCs w:val="22"/>
        </w:rPr>
        <w:t>通信地址：</w:t>
      </w:r>
      <w:r>
        <w:rPr>
          <w:rFonts w:hint="eastAsia" w:ascii="宋体" w:hAnsi="宋体" w:cs="MingLiU_HKSCS"/>
          <w:color w:val="auto"/>
          <w:sz w:val="22"/>
          <w:szCs w:val="22"/>
          <w:u w:val="single"/>
        </w:rPr>
        <w:t xml:space="preserve"> </w:t>
      </w:r>
      <w:r>
        <w:rPr>
          <w:rFonts w:hint="eastAsia" w:ascii="宋体" w:hAnsi="宋体"/>
          <w:color w:val="auto"/>
          <w:sz w:val="22"/>
          <w:szCs w:val="22"/>
          <w:u w:val="single"/>
        </w:rPr>
        <w:t>签订合同时确定</w:t>
      </w:r>
      <w:r>
        <w:rPr>
          <w:rFonts w:hint="eastAsia" w:ascii="宋体" w:hAnsi="宋体" w:cs="MingLiU_HKSCS"/>
          <w:color w:val="auto"/>
          <w:sz w:val="22"/>
          <w:szCs w:val="22"/>
          <w:u w:val="single"/>
        </w:rPr>
        <w:t xml:space="preserve"> </w:t>
      </w:r>
      <w:r>
        <w:rPr>
          <w:rFonts w:hint="eastAsia" w:ascii="宋体" w:hAnsi="宋体"/>
          <w:color w:val="auto"/>
          <w:sz w:val="22"/>
          <w:szCs w:val="22"/>
        </w:rPr>
        <w:t>；</w:t>
      </w:r>
    </w:p>
    <w:p w14:paraId="1855431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关于监理人的其他约定：</w:t>
      </w:r>
      <w:r>
        <w:rPr>
          <w:rFonts w:hint="eastAsia" w:ascii="宋体" w:hAnsi="宋体"/>
          <w:color w:val="auto"/>
          <w:sz w:val="22"/>
          <w:szCs w:val="22"/>
          <w:u w:val="single"/>
        </w:rPr>
        <w:t xml:space="preserve">  签订合同时确定 </w:t>
      </w:r>
      <w:r>
        <w:rPr>
          <w:rFonts w:hint="eastAsia" w:ascii="宋体" w:hAnsi="宋体"/>
          <w:color w:val="auto"/>
          <w:sz w:val="22"/>
          <w:szCs w:val="22"/>
        </w:rPr>
        <w:t>。</w:t>
      </w:r>
    </w:p>
    <w:p w14:paraId="55F81D38">
      <w:pPr>
        <w:spacing w:line="440" w:lineRule="exact"/>
        <w:ind w:firstLine="420"/>
        <w:outlineLvl w:val="9"/>
        <w:rPr>
          <w:rFonts w:ascii="宋体" w:hAnsi="宋体"/>
          <w:color w:val="auto"/>
          <w:sz w:val="22"/>
          <w:szCs w:val="22"/>
        </w:rPr>
      </w:pPr>
      <w:r>
        <w:rPr>
          <w:rFonts w:hint="eastAsia" w:ascii="宋体" w:hAnsi="宋体"/>
          <w:color w:val="auto"/>
          <w:sz w:val="22"/>
          <w:szCs w:val="22"/>
        </w:rPr>
        <w:t>4.4 商定或确定</w:t>
      </w:r>
    </w:p>
    <w:p w14:paraId="64E8B627">
      <w:pPr>
        <w:spacing w:line="440" w:lineRule="exact"/>
        <w:ind w:firstLine="420"/>
        <w:outlineLvl w:val="9"/>
        <w:rPr>
          <w:rFonts w:ascii="宋体" w:hAnsi="宋体"/>
          <w:color w:val="auto"/>
          <w:sz w:val="22"/>
          <w:szCs w:val="22"/>
        </w:rPr>
      </w:pPr>
      <w:r>
        <w:rPr>
          <w:rFonts w:hint="eastAsia" w:ascii="宋体" w:hAnsi="宋体"/>
          <w:color w:val="auto"/>
          <w:sz w:val="22"/>
          <w:szCs w:val="22"/>
        </w:rPr>
        <w:t>在发包人和承包人不能通过协商达成一致意见时，发包人授权监理人对以下事项进行确定：</w:t>
      </w:r>
    </w:p>
    <w:p w14:paraId="0EAD4ED3">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（1）</w:t>
      </w:r>
      <w:r>
        <w:rPr>
          <w:rFonts w:hint="eastAsia" w:ascii="宋体" w:hAnsi="宋体"/>
          <w:color w:val="auto"/>
          <w:sz w:val="22"/>
          <w:szCs w:val="22"/>
          <w:u w:val="single"/>
        </w:rPr>
        <w:t xml:space="preserve">      另行确定                  </w:t>
      </w:r>
      <w:r>
        <w:rPr>
          <w:rFonts w:hint="eastAsia" w:ascii="宋体" w:hAnsi="宋体"/>
          <w:color w:val="auto"/>
          <w:sz w:val="22"/>
          <w:szCs w:val="22"/>
        </w:rPr>
        <w:t>；</w:t>
      </w:r>
    </w:p>
    <w:p w14:paraId="7924D1C4">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5. 工程质量</w:t>
      </w:r>
    </w:p>
    <w:p w14:paraId="7A87EDD5">
      <w:pPr>
        <w:spacing w:line="440" w:lineRule="exact"/>
        <w:ind w:firstLine="420"/>
        <w:outlineLvl w:val="9"/>
        <w:rPr>
          <w:rFonts w:ascii="宋体" w:hAnsi="宋体"/>
          <w:color w:val="auto"/>
          <w:sz w:val="22"/>
          <w:szCs w:val="22"/>
        </w:rPr>
      </w:pPr>
      <w:r>
        <w:rPr>
          <w:rFonts w:hint="eastAsia" w:ascii="宋体" w:hAnsi="宋体"/>
          <w:color w:val="auto"/>
          <w:sz w:val="22"/>
          <w:szCs w:val="22"/>
        </w:rPr>
        <w:t>5.1 质量要求</w:t>
      </w:r>
    </w:p>
    <w:p w14:paraId="578E0515">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5.1.1 特殊质量标准和要求：</w:t>
      </w:r>
      <w:r>
        <w:rPr>
          <w:rFonts w:hint="eastAsia" w:ascii="宋体" w:hAnsi="宋体"/>
          <w:color w:val="auto"/>
          <w:sz w:val="22"/>
          <w:szCs w:val="22"/>
          <w:u w:val="single"/>
        </w:rPr>
        <w:t xml:space="preserve">              /               </w:t>
      </w:r>
    </w:p>
    <w:p w14:paraId="6C983B53">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关于工程奖项的约定：</w:t>
      </w:r>
      <w:r>
        <w:rPr>
          <w:rFonts w:hint="eastAsia" w:ascii="宋体" w:hAnsi="宋体"/>
          <w:color w:val="auto"/>
          <w:sz w:val="22"/>
          <w:szCs w:val="22"/>
          <w:u w:val="single"/>
        </w:rPr>
        <w:t xml:space="preserve">       /         </w:t>
      </w:r>
    </w:p>
    <w:p w14:paraId="564BB048">
      <w:pPr>
        <w:spacing w:line="440" w:lineRule="exact"/>
        <w:ind w:firstLine="420"/>
        <w:outlineLvl w:val="9"/>
        <w:rPr>
          <w:rFonts w:ascii="宋体" w:hAnsi="宋体"/>
          <w:color w:val="auto"/>
          <w:sz w:val="22"/>
          <w:szCs w:val="22"/>
        </w:rPr>
      </w:pPr>
      <w:r>
        <w:rPr>
          <w:rFonts w:hint="eastAsia" w:ascii="宋体" w:hAnsi="宋体"/>
          <w:color w:val="auto"/>
          <w:sz w:val="22"/>
          <w:szCs w:val="22"/>
        </w:rPr>
        <w:t>5.3 隐蔽工程检查</w:t>
      </w:r>
    </w:p>
    <w:p w14:paraId="6E037DF3">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5.3.2承包人提前通知监理人隐蔽工程检查的期限的约定：</w:t>
      </w:r>
      <w:r>
        <w:rPr>
          <w:rFonts w:hint="eastAsia" w:ascii="宋体" w:hAnsi="宋体"/>
          <w:color w:val="auto"/>
          <w:sz w:val="22"/>
          <w:szCs w:val="22"/>
          <w:u w:val="single"/>
        </w:rPr>
        <w:t>按通用合同条款第5.3.2款执行。</w:t>
      </w:r>
    </w:p>
    <w:p w14:paraId="436D8F3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监理人不能按时进行检查时，应提前</w:t>
      </w:r>
      <w:r>
        <w:rPr>
          <w:rFonts w:hint="eastAsia" w:ascii="宋体" w:hAnsi="宋体"/>
          <w:color w:val="auto"/>
          <w:sz w:val="22"/>
          <w:szCs w:val="22"/>
          <w:u w:val="single"/>
        </w:rPr>
        <w:t>24</w:t>
      </w:r>
      <w:r>
        <w:rPr>
          <w:rFonts w:hint="eastAsia" w:ascii="宋体" w:hAnsi="宋体"/>
          <w:color w:val="auto"/>
          <w:sz w:val="22"/>
          <w:szCs w:val="22"/>
        </w:rPr>
        <w:t>小时提交书面延期要求。</w:t>
      </w:r>
    </w:p>
    <w:p w14:paraId="1880D49C">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关于延期最长不得超过：</w:t>
      </w:r>
      <w:r>
        <w:rPr>
          <w:rFonts w:hint="eastAsia" w:ascii="宋体" w:hAnsi="宋体"/>
          <w:color w:val="auto"/>
          <w:sz w:val="22"/>
          <w:szCs w:val="22"/>
          <w:u w:val="single"/>
        </w:rPr>
        <w:t>48</w:t>
      </w:r>
      <w:r>
        <w:rPr>
          <w:rFonts w:hint="eastAsia" w:ascii="宋体" w:hAnsi="宋体"/>
          <w:color w:val="auto"/>
          <w:sz w:val="22"/>
          <w:szCs w:val="22"/>
        </w:rPr>
        <w:t>小时。</w:t>
      </w:r>
    </w:p>
    <w:p w14:paraId="6C5DFEDB">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6. 安全文明施工与环境保护</w:t>
      </w:r>
    </w:p>
    <w:p w14:paraId="14DCB0AD">
      <w:pPr>
        <w:spacing w:line="440" w:lineRule="exact"/>
        <w:ind w:firstLine="420"/>
        <w:outlineLvl w:val="9"/>
        <w:rPr>
          <w:rFonts w:ascii="宋体" w:hAnsi="宋体"/>
          <w:color w:val="auto"/>
          <w:sz w:val="22"/>
          <w:szCs w:val="22"/>
        </w:rPr>
      </w:pPr>
      <w:r>
        <w:rPr>
          <w:rFonts w:hint="eastAsia" w:ascii="宋体" w:hAnsi="宋体"/>
          <w:color w:val="auto"/>
          <w:sz w:val="22"/>
          <w:szCs w:val="22"/>
        </w:rPr>
        <w:t>6.1安全文明施工</w:t>
      </w:r>
    </w:p>
    <w:p w14:paraId="662731F5">
      <w:pPr>
        <w:spacing w:line="440" w:lineRule="exact"/>
        <w:ind w:firstLine="420"/>
        <w:jc w:val="left"/>
        <w:outlineLvl w:val="9"/>
        <w:rPr>
          <w:rFonts w:hint="eastAsia" w:ascii="宋体" w:hAnsi="宋体"/>
          <w:color w:val="auto"/>
          <w:sz w:val="22"/>
          <w:szCs w:val="22"/>
          <w:u w:val="single"/>
        </w:rPr>
      </w:pPr>
      <w:r>
        <w:rPr>
          <w:rFonts w:hint="eastAsia" w:ascii="宋体" w:hAnsi="宋体"/>
          <w:color w:val="auto"/>
          <w:sz w:val="22"/>
          <w:szCs w:val="22"/>
        </w:rPr>
        <w:t>6.</w:t>
      </w:r>
      <w:r>
        <w:rPr>
          <w:rFonts w:hint="eastAsia" w:ascii="宋体" w:hAnsi="宋体"/>
          <w:color w:val="auto"/>
          <w:sz w:val="22"/>
          <w:szCs w:val="22"/>
          <w:u w:val="single"/>
        </w:rPr>
        <w:t>1.1 项目安全生产的达标目标及相应事项的约定：</w:t>
      </w:r>
    </w:p>
    <w:p w14:paraId="45ED850A">
      <w:pPr>
        <w:spacing w:line="440" w:lineRule="exact"/>
        <w:ind w:firstLine="444" w:firstLineChars="202"/>
        <w:outlineLvl w:val="9"/>
        <w:rPr>
          <w:rFonts w:hint="eastAsia" w:ascii="宋体" w:hAnsi="宋体"/>
          <w:color w:val="auto"/>
          <w:sz w:val="22"/>
          <w:szCs w:val="22"/>
          <w:u w:val="single"/>
        </w:rPr>
      </w:pPr>
      <w:r>
        <w:rPr>
          <w:rFonts w:hint="eastAsia" w:ascii="宋体" w:hAnsi="宋体"/>
          <w:color w:val="auto"/>
          <w:sz w:val="22"/>
          <w:szCs w:val="22"/>
          <w:u w:val="single"/>
        </w:rPr>
        <w:t>1）安全生产费用包括建设工程安全施工费(含扬尘防治增加费)、文明施工费、环境保护费、临时设施费、创标化工地增加费等，具体详见温住建发[2013]190号文件附件安全生产费用项目一览表。</w:t>
      </w:r>
    </w:p>
    <w:p w14:paraId="1F63D4DF">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u w:val="single"/>
        </w:rPr>
        <w:t>2）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且发包人保留因此而缓付工程进度款的权利。</w:t>
      </w:r>
    </w:p>
    <w:p w14:paraId="634B43C7">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6.1.4 关于治安保卫的特别约定：</w:t>
      </w:r>
      <w:r>
        <w:rPr>
          <w:rFonts w:hint="eastAsia" w:ascii="宋体" w:hAnsi="宋体"/>
          <w:color w:val="auto"/>
          <w:sz w:val="22"/>
          <w:szCs w:val="22"/>
          <w:u w:val="single"/>
        </w:rPr>
        <w:t>由承包人负责。</w:t>
      </w:r>
    </w:p>
    <w:p w14:paraId="596B7D1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关于编制施工场地治安管理计划的约定：</w:t>
      </w:r>
      <w:r>
        <w:rPr>
          <w:rFonts w:hint="eastAsia" w:ascii="宋体" w:hAnsi="宋体"/>
          <w:color w:val="auto"/>
          <w:sz w:val="22"/>
          <w:szCs w:val="22"/>
          <w:u w:val="single"/>
        </w:rPr>
        <w:t>按通用合同条款第6.1.4款执行。</w:t>
      </w:r>
    </w:p>
    <w:p w14:paraId="30A4564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6.1.5 文明施工</w:t>
      </w:r>
    </w:p>
    <w:p w14:paraId="6F4609C1">
      <w:pPr>
        <w:spacing w:line="440" w:lineRule="exact"/>
        <w:ind w:firstLine="420"/>
        <w:jc w:val="left"/>
        <w:outlineLvl w:val="9"/>
        <w:rPr>
          <w:rFonts w:hint="eastAsia" w:ascii="宋体" w:hAnsi="宋体"/>
          <w:color w:val="auto"/>
          <w:sz w:val="22"/>
          <w:szCs w:val="22"/>
          <w:u w:val="single"/>
        </w:rPr>
      </w:pPr>
      <w:r>
        <w:rPr>
          <w:rFonts w:hint="eastAsia" w:ascii="宋体" w:hAnsi="宋体"/>
          <w:color w:val="auto"/>
          <w:sz w:val="22"/>
          <w:szCs w:val="22"/>
        </w:rPr>
        <w:t>合同当事人对文明施工的要求：</w:t>
      </w:r>
      <w:r>
        <w:rPr>
          <w:rFonts w:hint="eastAsia" w:ascii="宋体" w:hAnsi="宋体"/>
          <w:color w:val="auto"/>
          <w:sz w:val="22"/>
          <w:szCs w:val="22"/>
          <w:u w:val="single"/>
        </w:rPr>
        <w:t>按有关规定做好文明施工，保证施工场地清洁，符合环境卫生管理要求，承担自身原因造成的损失和罚款。</w:t>
      </w:r>
    </w:p>
    <w:p w14:paraId="0C000A8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6.1.6 关于安全文明施工费支付比例和支付期限的约定：</w:t>
      </w:r>
    </w:p>
    <w:p w14:paraId="62C7F81C">
      <w:pPr>
        <w:spacing w:line="440" w:lineRule="exact"/>
        <w:ind w:firstLine="420"/>
        <w:jc w:val="left"/>
        <w:outlineLvl w:val="9"/>
        <w:rPr>
          <w:rFonts w:ascii="宋体" w:hAnsi="宋体"/>
          <w:color w:val="auto"/>
          <w:sz w:val="22"/>
          <w:szCs w:val="22"/>
          <w:u w:val="single"/>
        </w:rPr>
      </w:pPr>
      <w:r>
        <w:rPr>
          <w:rFonts w:hint="eastAsia" w:ascii="宋体" w:hAnsi="宋体" w:cs="Arial"/>
          <w:color w:val="auto"/>
          <w:sz w:val="22"/>
          <w:szCs w:val="22"/>
          <w:u w:val="single"/>
        </w:rPr>
        <w:t>按温住建发[2016]87号《转发关于建筑业实施营改增后浙江省建设工程计价规则、施工取费费率及工程材料价格信息发布调整的通知》、温住建发</w:t>
      </w:r>
      <w:r>
        <w:rPr>
          <w:rFonts w:ascii="宋体" w:hAnsi="宋体" w:cs="Arial"/>
          <w:color w:val="auto"/>
          <w:sz w:val="22"/>
          <w:szCs w:val="22"/>
          <w:u w:val="single"/>
        </w:rPr>
        <w:t>[2012]190</w:t>
      </w:r>
      <w:r>
        <w:rPr>
          <w:rFonts w:hint="eastAsia" w:ascii="宋体" w:hAnsi="宋体" w:cs="Arial"/>
          <w:color w:val="auto"/>
          <w:sz w:val="22"/>
          <w:szCs w:val="22"/>
          <w:u w:val="single"/>
        </w:rPr>
        <w:t>号《关于转发</w:t>
      </w:r>
      <w:r>
        <w:rPr>
          <w:rFonts w:ascii="宋体" w:hAnsi="宋体" w:cs="Arial"/>
          <w:color w:val="auto"/>
          <w:sz w:val="22"/>
          <w:szCs w:val="22"/>
          <w:u w:val="single"/>
        </w:rPr>
        <w:t>&lt;</w:t>
      </w:r>
      <w:r>
        <w:rPr>
          <w:rFonts w:hint="eastAsia" w:ascii="宋体" w:hAnsi="宋体" w:cs="Arial"/>
          <w:color w:val="auto"/>
          <w:sz w:val="22"/>
          <w:szCs w:val="22"/>
          <w:u w:val="single"/>
        </w:rPr>
        <w:t>企业安全生产费用提取和使用管理办法</w:t>
      </w:r>
      <w:r>
        <w:rPr>
          <w:rFonts w:ascii="宋体" w:hAnsi="宋体" w:cs="Arial"/>
          <w:color w:val="auto"/>
          <w:sz w:val="22"/>
          <w:szCs w:val="22"/>
          <w:u w:val="single"/>
        </w:rPr>
        <w:t>&gt;</w:t>
      </w:r>
      <w:r>
        <w:rPr>
          <w:rFonts w:hint="eastAsia" w:ascii="宋体" w:hAnsi="宋体" w:cs="Arial"/>
          <w:color w:val="auto"/>
          <w:sz w:val="22"/>
          <w:szCs w:val="22"/>
          <w:u w:val="single"/>
        </w:rPr>
        <w:t>的通知》文件，合同签订之日起五日内将安全生产费用全额划拨至专项资金账户，并在工程项目开工前向施工单位预付不低于安全生产费用总额的50%，剩余部分按照施工进度支付。</w:t>
      </w:r>
      <w:r>
        <w:rPr>
          <w:rFonts w:hint="eastAsia" w:ascii="宋体" w:hAnsi="宋体"/>
          <w:color w:val="auto"/>
          <w:sz w:val="22"/>
          <w:szCs w:val="22"/>
          <w:u w:val="single"/>
        </w:rPr>
        <w:t>。</w:t>
      </w:r>
    </w:p>
    <w:p w14:paraId="70C297B1">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7. 工期和进度</w:t>
      </w:r>
    </w:p>
    <w:p w14:paraId="524E0028">
      <w:pPr>
        <w:spacing w:line="440" w:lineRule="exact"/>
        <w:ind w:firstLine="420"/>
        <w:outlineLvl w:val="9"/>
        <w:rPr>
          <w:rFonts w:ascii="宋体" w:hAnsi="宋体"/>
          <w:color w:val="auto"/>
          <w:sz w:val="22"/>
          <w:szCs w:val="22"/>
        </w:rPr>
      </w:pPr>
      <w:r>
        <w:rPr>
          <w:rFonts w:hint="eastAsia" w:ascii="宋体" w:hAnsi="宋体"/>
          <w:color w:val="auto"/>
          <w:sz w:val="22"/>
          <w:szCs w:val="22"/>
        </w:rPr>
        <w:t>7.1 施工组织设计</w:t>
      </w:r>
    </w:p>
    <w:p w14:paraId="3D2EC402">
      <w:pPr>
        <w:autoSpaceDE w:val="0"/>
        <w:autoSpaceDN w:val="0"/>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7.1.1 合同当事人约定的施工组织设计应包括的其他内容：</w:t>
      </w:r>
      <w:r>
        <w:rPr>
          <w:rFonts w:hint="eastAsia" w:ascii="宋体" w:hAnsi="宋体"/>
          <w:color w:val="auto"/>
          <w:sz w:val="22"/>
          <w:szCs w:val="22"/>
          <w:u w:val="single"/>
        </w:rPr>
        <w:t xml:space="preserve">      /       </w:t>
      </w:r>
    </w:p>
    <w:p w14:paraId="618B6AB9">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7.1.2 施工组织设计的提交和修改</w:t>
      </w:r>
    </w:p>
    <w:p w14:paraId="10E9411E">
      <w:pPr>
        <w:autoSpaceDE w:val="0"/>
        <w:autoSpaceDN w:val="0"/>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承包人提交详细施工组织设计的期限的约定：</w:t>
      </w:r>
      <w:r>
        <w:rPr>
          <w:rFonts w:hint="eastAsia" w:ascii="宋体" w:hAnsi="宋体"/>
          <w:color w:val="auto"/>
          <w:sz w:val="22"/>
          <w:szCs w:val="22"/>
          <w:u w:val="single"/>
        </w:rPr>
        <w:t>不得晚于开工日期前7天。</w:t>
      </w:r>
    </w:p>
    <w:p w14:paraId="3D54224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发包人和监理人在收到详细的施工组织设计后确认或提出修改意见的期限：</w:t>
      </w:r>
      <w:r>
        <w:rPr>
          <w:rFonts w:hint="eastAsia" w:ascii="宋体" w:hAnsi="宋体"/>
          <w:color w:val="auto"/>
          <w:sz w:val="22"/>
          <w:szCs w:val="22"/>
          <w:u w:val="single"/>
        </w:rPr>
        <w:t>监理人收到施工组织设计后7天内</w:t>
      </w:r>
      <w:r>
        <w:rPr>
          <w:rFonts w:hint="eastAsia" w:ascii="宋体" w:hAnsi="宋体"/>
          <w:color w:val="auto"/>
          <w:sz w:val="22"/>
          <w:szCs w:val="22"/>
        </w:rPr>
        <w:t>。</w:t>
      </w:r>
    </w:p>
    <w:p w14:paraId="7C5B4CC9">
      <w:pPr>
        <w:spacing w:line="440" w:lineRule="exact"/>
        <w:ind w:firstLine="420"/>
        <w:outlineLvl w:val="9"/>
        <w:rPr>
          <w:rFonts w:ascii="宋体" w:hAnsi="宋体"/>
          <w:color w:val="auto"/>
          <w:sz w:val="22"/>
          <w:szCs w:val="22"/>
        </w:rPr>
      </w:pPr>
      <w:r>
        <w:rPr>
          <w:rFonts w:hint="eastAsia" w:ascii="宋体" w:hAnsi="宋体"/>
          <w:color w:val="auto"/>
          <w:sz w:val="22"/>
          <w:szCs w:val="22"/>
        </w:rPr>
        <w:t>7.2 施工进度计划</w:t>
      </w:r>
    </w:p>
    <w:p w14:paraId="0406F0C2">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7.2.2 施工进度计划的修订</w:t>
      </w:r>
    </w:p>
    <w:p w14:paraId="1B347E3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发包人和监理人在收到修订的施工进度计划后确认或提出修改意见的期限：</w:t>
      </w:r>
      <w:r>
        <w:rPr>
          <w:rFonts w:hint="eastAsia" w:ascii="宋体" w:hAnsi="宋体"/>
          <w:color w:val="auto"/>
          <w:sz w:val="22"/>
          <w:szCs w:val="22"/>
          <w:u w:val="single"/>
        </w:rPr>
        <w:t>在收到修订的施工进度计划后7天内</w:t>
      </w:r>
      <w:r>
        <w:rPr>
          <w:rFonts w:hint="eastAsia" w:ascii="宋体" w:hAnsi="宋体"/>
          <w:color w:val="auto"/>
          <w:sz w:val="22"/>
          <w:szCs w:val="22"/>
        </w:rPr>
        <w:t>。</w:t>
      </w:r>
    </w:p>
    <w:p w14:paraId="4FE51C41">
      <w:pPr>
        <w:spacing w:line="440" w:lineRule="exact"/>
        <w:ind w:firstLine="420"/>
        <w:outlineLvl w:val="9"/>
        <w:rPr>
          <w:rFonts w:ascii="宋体" w:hAnsi="宋体"/>
          <w:color w:val="auto"/>
          <w:sz w:val="22"/>
          <w:szCs w:val="22"/>
        </w:rPr>
      </w:pPr>
      <w:r>
        <w:rPr>
          <w:rFonts w:hint="eastAsia" w:ascii="宋体" w:hAnsi="宋体"/>
          <w:color w:val="auto"/>
          <w:sz w:val="22"/>
          <w:szCs w:val="22"/>
        </w:rPr>
        <w:t>7.3 开工</w:t>
      </w:r>
    </w:p>
    <w:p w14:paraId="18B3EE93">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7.3.1 开工准备</w:t>
      </w:r>
    </w:p>
    <w:p w14:paraId="6F169A19">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关于承包人提交工程开工报审表的期限：</w:t>
      </w:r>
      <w:r>
        <w:rPr>
          <w:rFonts w:hint="eastAsia" w:ascii="宋体" w:hAnsi="宋体"/>
          <w:color w:val="auto"/>
          <w:sz w:val="22"/>
          <w:szCs w:val="22"/>
          <w:u w:val="single"/>
        </w:rPr>
        <w:t>不得晚于开工日期前7天。</w:t>
      </w:r>
    </w:p>
    <w:p w14:paraId="0A42722E">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关于发包人应完成的其他开工准备工作及期限：</w:t>
      </w:r>
      <w:r>
        <w:rPr>
          <w:rFonts w:hint="eastAsia" w:ascii="宋体" w:hAnsi="宋体"/>
          <w:color w:val="auto"/>
          <w:sz w:val="22"/>
          <w:szCs w:val="22"/>
          <w:u w:val="single"/>
        </w:rPr>
        <w:t>发包人应按照法律规定获得工程施工所需的许可。</w:t>
      </w:r>
    </w:p>
    <w:p w14:paraId="026D11EC">
      <w:pPr>
        <w:spacing w:line="440" w:lineRule="exact"/>
        <w:ind w:firstLine="550" w:firstLineChars="250"/>
        <w:jc w:val="left"/>
        <w:outlineLvl w:val="9"/>
        <w:rPr>
          <w:rFonts w:ascii="宋体" w:hAnsi="宋体"/>
          <w:color w:val="auto"/>
          <w:sz w:val="22"/>
          <w:szCs w:val="22"/>
          <w:u w:val="single"/>
        </w:rPr>
      </w:pPr>
      <w:r>
        <w:rPr>
          <w:rFonts w:hint="eastAsia" w:ascii="宋体" w:hAnsi="宋体"/>
          <w:color w:val="auto"/>
          <w:sz w:val="22"/>
          <w:szCs w:val="22"/>
        </w:rPr>
        <w:t>关于承包人应完成的其他开工准备工作及期限：</w:t>
      </w:r>
      <w:r>
        <w:rPr>
          <w:rFonts w:hint="eastAsia" w:ascii="宋体" w:hAnsi="宋体"/>
          <w:color w:val="auto"/>
          <w:sz w:val="22"/>
          <w:szCs w:val="22"/>
          <w:u w:val="single"/>
        </w:rPr>
        <w:t xml:space="preserve">  执行通用条款   </w:t>
      </w:r>
      <w:r>
        <w:rPr>
          <w:rFonts w:hint="eastAsia" w:ascii="宋体" w:hAnsi="宋体"/>
          <w:color w:val="auto"/>
          <w:sz w:val="22"/>
          <w:szCs w:val="22"/>
        </w:rPr>
        <w:t>。</w:t>
      </w:r>
    </w:p>
    <w:p w14:paraId="10DBABF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7.3.2开工通知</w:t>
      </w:r>
    </w:p>
    <w:p w14:paraId="1DFC9C49">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因发包人原因造成监理人未能在计划开工日期之日起</w:t>
      </w:r>
      <w:r>
        <w:rPr>
          <w:rFonts w:hint="eastAsia" w:ascii="宋体" w:hAnsi="宋体"/>
          <w:color w:val="auto"/>
          <w:sz w:val="22"/>
          <w:szCs w:val="22"/>
          <w:u w:val="single"/>
        </w:rPr>
        <w:t>90</w:t>
      </w:r>
      <w:r>
        <w:rPr>
          <w:rFonts w:hint="eastAsia" w:ascii="宋体" w:hAnsi="宋体"/>
          <w:color w:val="auto"/>
          <w:sz w:val="22"/>
          <w:szCs w:val="22"/>
        </w:rPr>
        <w:t>天内发出开工通知的，承包人有权提出价格调整要求，或者解除合同。</w:t>
      </w:r>
    </w:p>
    <w:p w14:paraId="6DFF205B">
      <w:pPr>
        <w:spacing w:line="440" w:lineRule="exact"/>
        <w:ind w:firstLine="420"/>
        <w:outlineLvl w:val="9"/>
        <w:rPr>
          <w:rFonts w:ascii="宋体" w:hAnsi="宋体"/>
          <w:color w:val="auto"/>
          <w:sz w:val="22"/>
          <w:szCs w:val="22"/>
        </w:rPr>
      </w:pPr>
      <w:r>
        <w:rPr>
          <w:rFonts w:hint="eastAsia" w:ascii="宋体" w:hAnsi="宋体"/>
          <w:color w:val="auto"/>
          <w:sz w:val="22"/>
          <w:szCs w:val="22"/>
        </w:rPr>
        <w:t>7.4 测量放线</w:t>
      </w:r>
    </w:p>
    <w:p w14:paraId="1D4D928E">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7.4.1发包人通过监理人向承包人提供测量基准点、基准线和水准点及其书面资料的期限：</w:t>
      </w:r>
      <w:r>
        <w:rPr>
          <w:rFonts w:hint="eastAsia" w:ascii="宋体" w:hAnsi="宋体"/>
          <w:color w:val="auto"/>
          <w:sz w:val="22"/>
          <w:szCs w:val="22"/>
          <w:u w:val="single"/>
        </w:rPr>
        <w:t>开工日期前7天</w:t>
      </w:r>
      <w:r>
        <w:rPr>
          <w:rFonts w:hint="eastAsia" w:ascii="宋体" w:hAnsi="宋体"/>
          <w:color w:val="auto"/>
          <w:sz w:val="22"/>
          <w:szCs w:val="22"/>
        </w:rPr>
        <w:t>。</w:t>
      </w:r>
    </w:p>
    <w:p w14:paraId="6EA29928">
      <w:pPr>
        <w:spacing w:line="440" w:lineRule="exact"/>
        <w:ind w:firstLine="420"/>
        <w:outlineLvl w:val="9"/>
        <w:rPr>
          <w:rFonts w:ascii="宋体" w:hAnsi="宋体"/>
          <w:color w:val="auto"/>
          <w:sz w:val="22"/>
          <w:szCs w:val="22"/>
        </w:rPr>
      </w:pPr>
      <w:r>
        <w:rPr>
          <w:rFonts w:hint="eastAsia" w:ascii="宋体" w:hAnsi="宋体"/>
          <w:color w:val="auto"/>
          <w:sz w:val="22"/>
          <w:szCs w:val="22"/>
        </w:rPr>
        <w:t>7.5 工期延误</w:t>
      </w:r>
    </w:p>
    <w:p w14:paraId="77546872">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7.5.1 因发包人原因导致工期延误</w:t>
      </w:r>
    </w:p>
    <w:p w14:paraId="093D03F8">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（7）因发包人原因导致工期延误的其他情形：</w:t>
      </w:r>
      <w:r>
        <w:rPr>
          <w:rFonts w:hint="eastAsia" w:ascii="宋体" w:hAnsi="宋体"/>
          <w:color w:val="auto"/>
          <w:sz w:val="22"/>
          <w:szCs w:val="22"/>
          <w:u w:val="single"/>
        </w:rPr>
        <w:t>按通用合同条款第7.5.1款执行。</w:t>
      </w:r>
    </w:p>
    <w:p w14:paraId="0696604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7.5.2 因承包人原因导致工期延误</w:t>
      </w:r>
    </w:p>
    <w:p w14:paraId="1B7C59CC">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因承包人原因造成工期延误，逾期竣工违约金的计算方法为：</w:t>
      </w:r>
      <w:r>
        <w:rPr>
          <w:rFonts w:hint="eastAsia" w:ascii="宋体" w:hAnsi="宋体"/>
          <w:color w:val="auto"/>
          <w:sz w:val="22"/>
          <w:szCs w:val="22"/>
          <w:u w:val="single"/>
        </w:rPr>
        <w:t>：因承包人原因不能按协议书中约定的竣工日期或工程师同意顺延的工期按时竣工的责任，每延期1天，支付违约金人民币3000元，尾数不足1天的按1天计算。</w:t>
      </w:r>
    </w:p>
    <w:p w14:paraId="0E66FEB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因承包人原因造成工期延误，逾期竣工违约金的上限：</w:t>
      </w:r>
      <w:r>
        <w:rPr>
          <w:rFonts w:hint="eastAsia" w:ascii="宋体" w:hAnsi="宋体"/>
          <w:color w:val="auto"/>
          <w:sz w:val="22"/>
          <w:szCs w:val="22"/>
          <w:u w:val="single"/>
        </w:rPr>
        <w:t>合同总价的3%，一旦达到最高限额，发包人有权终止合同。</w:t>
      </w:r>
    </w:p>
    <w:p w14:paraId="1F7B55D1">
      <w:pPr>
        <w:spacing w:line="440" w:lineRule="exact"/>
        <w:ind w:firstLine="420"/>
        <w:outlineLvl w:val="9"/>
        <w:rPr>
          <w:rFonts w:ascii="宋体" w:hAnsi="宋体"/>
          <w:color w:val="auto"/>
          <w:sz w:val="22"/>
          <w:szCs w:val="22"/>
        </w:rPr>
      </w:pPr>
      <w:r>
        <w:rPr>
          <w:rFonts w:hint="eastAsia" w:ascii="宋体" w:hAnsi="宋体"/>
          <w:color w:val="auto"/>
          <w:sz w:val="22"/>
          <w:szCs w:val="22"/>
        </w:rPr>
        <w:t>7.6 不利物质条件</w:t>
      </w:r>
    </w:p>
    <w:p w14:paraId="747F1295">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不利物质条件的其他情形和有关约定：</w:t>
      </w:r>
      <w:r>
        <w:rPr>
          <w:rFonts w:hint="eastAsia" w:ascii="宋体" w:hAnsi="宋体"/>
          <w:color w:val="auto"/>
          <w:sz w:val="22"/>
          <w:szCs w:val="22"/>
          <w:u w:val="single"/>
        </w:rPr>
        <w:t xml:space="preserve">    无            </w:t>
      </w:r>
      <w:r>
        <w:rPr>
          <w:rFonts w:hint="eastAsia" w:ascii="宋体" w:hAnsi="宋体"/>
          <w:color w:val="auto"/>
          <w:sz w:val="22"/>
          <w:szCs w:val="22"/>
        </w:rPr>
        <w:t>。</w:t>
      </w:r>
    </w:p>
    <w:p w14:paraId="5A0534FB">
      <w:pPr>
        <w:spacing w:line="440" w:lineRule="exact"/>
        <w:ind w:firstLine="420"/>
        <w:outlineLvl w:val="9"/>
        <w:rPr>
          <w:rFonts w:ascii="宋体" w:hAnsi="宋体"/>
          <w:color w:val="auto"/>
          <w:sz w:val="22"/>
          <w:szCs w:val="22"/>
        </w:rPr>
      </w:pPr>
      <w:r>
        <w:rPr>
          <w:rFonts w:hint="eastAsia" w:ascii="宋体" w:hAnsi="宋体"/>
          <w:color w:val="auto"/>
          <w:sz w:val="22"/>
          <w:szCs w:val="22"/>
        </w:rPr>
        <w:t>7.7异常恶劣的气候条件</w:t>
      </w:r>
    </w:p>
    <w:p w14:paraId="2F06E73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发包人和承包人同意以下情形视为异常恶劣的气候条件：</w:t>
      </w:r>
    </w:p>
    <w:p w14:paraId="464575C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w:t>
      </w:r>
      <w:r>
        <w:rPr>
          <w:rFonts w:hint="eastAsia" w:ascii="宋体" w:hAnsi="宋体"/>
          <w:color w:val="auto"/>
          <w:sz w:val="22"/>
          <w:szCs w:val="22"/>
          <w:u w:val="single"/>
        </w:rPr>
        <w:t>温州气象台发布的以下天气预警信号，其他不计：台风预警黄色及以上、暴雨预警橙色及以上、暴雪预警橙色及以上、大风预警橙色及以上、雷电预警橙色及以上、高温预警橙色及以上，同时以上预警信号需结合实际天气情况确定</w:t>
      </w:r>
      <w:r>
        <w:rPr>
          <w:rFonts w:hint="eastAsia" w:ascii="宋体" w:hAnsi="宋体"/>
          <w:color w:val="auto"/>
          <w:sz w:val="22"/>
          <w:szCs w:val="22"/>
        </w:rPr>
        <w:t>；</w:t>
      </w:r>
    </w:p>
    <w:p w14:paraId="26251731">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（2）</w:t>
      </w:r>
      <w:r>
        <w:rPr>
          <w:rFonts w:hint="eastAsia" w:ascii="宋体" w:hAnsi="宋体"/>
          <w:color w:val="auto"/>
          <w:sz w:val="22"/>
          <w:szCs w:val="22"/>
          <w:u w:val="single"/>
        </w:rPr>
        <w:t xml:space="preserve">              /                    </w:t>
      </w:r>
      <w:r>
        <w:rPr>
          <w:rFonts w:hint="eastAsia" w:ascii="宋体" w:hAnsi="宋体"/>
          <w:color w:val="auto"/>
          <w:sz w:val="22"/>
          <w:szCs w:val="22"/>
        </w:rPr>
        <w:t>；</w:t>
      </w:r>
    </w:p>
    <w:p w14:paraId="596CD838">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（3）</w:t>
      </w:r>
      <w:r>
        <w:rPr>
          <w:rFonts w:hint="eastAsia" w:ascii="宋体" w:hAnsi="宋体"/>
          <w:color w:val="auto"/>
          <w:sz w:val="22"/>
          <w:szCs w:val="22"/>
          <w:u w:val="single"/>
        </w:rPr>
        <w:t xml:space="preserve">              /                    </w:t>
      </w:r>
      <w:r>
        <w:rPr>
          <w:rFonts w:hint="eastAsia" w:ascii="宋体" w:hAnsi="宋体"/>
          <w:color w:val="auto"/>
          <w:sz w:val="22"/>
          <w:szCs w:val="22"/>
        </w:rPr>
        <w:t>。</w:t>
      </w:r>
    </w:p>
    <w:p w14:paraId="48D0FF83">
      <w:pPr>
        <w:spacing w:line="440" w:lineRule="exact"/>
        <w:ind w:firstLine="420"/>
        <w:outlineLvl w:val="9"/>
        <w:rPr>
          <w:rFonts w:ascii="宋体" w:hAnsi="宋体"/>
          <w:color w:val="auto"/>
          <w:sz w:val="22"/>
          <w:szCs w:val="22"/>
        </w:rPr>
      </w:pPr>
      <w:r>
        <w:rPr>
          <w:rFonts w:hint="eastAsia" w:ascii="宋体" w:hAnsi="宋体"/>
          <w:color w:val="auto"/>
          <w:sz w:val="22"/>
          <w:szCs w:val="22"/>
        </w:rPr>
        <w:t>7.9 提前竣工的奖励</w:t>
      </w:r>
    </w:p>
    <w:p w14:paraId="7A89C336">
      <w:pPr>
        <w:spacing w:line="440" w:lineRule="exact"/>
        <w:ind w:firstLine="444" w:firstLineChars="202"/>
        <w:outlineLvl w:val="9"/>
        <w:rPr>
          <w:rFonts w:hint="eastAsia" w:ascii="宋体" w:hAnsi="宋体"/>
          <w:color w:val="auto"/>
          <w:sz w:val="22"/>
          <w:szCs w:val="22"/>
        </w:rPr>
      </w:pPr>
      <w:r>
        <w:rPr>
          <w:rFonts w:hint="eastAsia" w:ascii="宋体" w:hAnsi="宋体"/>
          <w:color w:val="auto"/>
          <w:sz w:val="22"/>
          <w:szCs w:val="22"/>
        </w:rPr>
        <w:t>7.9.2提前竣工的奖励：</w:t>
      </w:r>
      <w:r>
        <w:rPr>
          <w:rFonts w:hint="eastAsia" w:ascii="宋体" w:hAnsi="宋体"/>
          <w:color w:val="auto"/>
          <w:sz w:val="22"/>
          <w:szCs w:val="22"/>
          <w:u w:val="single"/>
        </w:rPr>
        <w:t xml:space="preserve">      不奖励    </w:t>
      </w:r>
      <w:r>
        <w:rPr>
          <w:rFonts w:hint="eastAsia" w:ascii="宋体" w:hAnsi="宋体"/>
          <w:color w:val="auto"/>
          <w:sz w:val="22"/>
          <w:szCs w:val="22"/>
        </w:rPr>
        <w:t>。</w:t>
      </w:r>
    </w:p>
    <w:p w14:paraId="7598E328">
      <w:pPr>
        <w:widowControl/>
        <w:numPr>
          <w:ilvl w:val="0"/>
          <w:numId w:val="6"/>
        </w:numPr>
        <w:tabs>
          <w:tab w:val="left" w:pos="360"/>
        </w:tabs>
        <w:spacing w:before="0" w:after="0" w:line="440" w:lineRule="exact"/>
        <w:outlineLvl w:val="9"/>
        <w:rPr>
          <w:rFonts w:hint="eastAsia" w:ascii="宋体" w:hAnsi="宋体" w:eastAsia="宋体"/>
          <w:color w:val="auto"/>
          <w:sz w:val="22"/>
          <w:szCs w:val="22"/>
        </w:rPr>
      </w:pPr>
      <w:r>
        <w:rPr>
          <w:rFonts w:hint="eastAsia" w:ascii="宋体" w:hAnsi="宋体" w:eastAsia="宋体"/>
          <w:color w:val="auto"/>
          <w:sz w:val="22"/>
          <w:szCs w:val="22"/>
        </w:rPr>
        <w:t>材料与设备</w:t>
      </w:r>
    </w:p>
    <w:p w14:paraId="75198024">
      <w:pPr>
        <w:spacing w:line="440" w:lineRule="exact"/>
        <w:ind w:firstLine="420"/>
        <w:outlineLvl w:val="9"/>
        <w:rPr>
          <w:rFonts w:ascii="宋体" w:hAnsi="宋体"/>
          <w:color w:val="auto"/>
          <w:sz w:val="22"/>
          <w:szCs w:val="22"/>
        </w:rPr>
      </w:pPr>
      <w:r>
        <w:rPr>
          <w:rFonts w:hint="eastAsia" w:ascii="宋体" w:hAnsi="宋体"/>
          <w:color w:val="auto"/>
          <w:sz w:val="22"/>
          <w:szCs w:val="22"/>
        </w:rPr>
        <w:t>8.4材料与工程设备的保管与使用</w:t>
      </w:r>
    </w:p>
    <w:p w14:paraId="43EA504E">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8.4.1发包人供应的材料设备的保管费用的承担：</w:t>
      </w:r>
      <w:r>
        <w:rPr>
          <w:rFonts w:hint="eastAsia" w:ascii="宋体" w:hAnsi="宋体"/>
          <w:color w:val="auto"/>
          <w:sz w:val="22"/>
          <w:szCs w:val="22"/>
          <w:u w:val="single"/>
        </w:rPr>
        <w:t>由承包人妥善保管及承担费用。</w:t>
      </w:r>
    </w:p>
    <w:p w14:paraId="72CC3F83">
      <w:pPr>
        <w:spacing w:line="440" w:lineRule="exact"/>
        <w:ind w:firstLine="420"/>
        <w:outlineLvl w:val="9"/>
        <w:rPr>
          <w:rFonts w:ascii="宋体" w:hAnsi="宋体"/>
          <w:color w:val="auto"/>
          <w:sz w:val="22"/>
          <w:szCs w:val="22"/>
        </w:rPr>
      </w:pPr>
      <w:r>
        <w:rPr>
          <w:rFonts w:hint="eastAsia" w:ascii="宋体" w:hAnsi="宋体"/>
          <w:color w:val="auto"/>
          <w:sz w:val="22"/>
          <w:szCs w:val="22"/>
        </w:rPr>
        <w:t>8.6 样品</w:t>
      </w:r>
    </w:p>
    <w:p w14:paraId="1BBE0BA3">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8.6.1样品的报送与封存</w:t>
      </w:r>
    </w:p>
    <w:p w14:paraId="1939A9BF">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需要承包人报送样品的材料或工程设备，样品的种类、名称、规格、数量要求：</w:t>
      </w:r>
      <w:r>
        <w:rPr>
          <w:rFonts w:hint="eastAsia" w:ascii="宋体" w:hAnsi="宋体"/>
          <w:color w:val="auto"/>
          <w:sz w:val="22"/>
          <w:szCs w:val="22"/>
          <w:u w:val="single"/>
        </w:rPr>
        <w:t xml:space="preserve">     /    </w:t>
      </w:r>
      <w:r>
        <w:rPr>
          <w:rFonts w:hint="eastAsia" w:ascii="宋体" w:hAnsi="宋体"/>
          <w:color w:val="auto"/>
          <w:sz w:val="22"/>
          <w:szCs w:val="22"/>
        </w:rPr>
        <w:t>。</w:t>
      </w:r>
    </w:p>
    <w:p w14:paraId="428739C6">
      <w:pPr>
        <w:spacing w:line="440" w:lineRule="exact"/>
        <w:ind w:firstLine="420"/>
        <w:outlineLvl w:val="9"/>
        <w:rPr>
          <w:rFonts w:ascii="宋体" w:hAnsi="宋体"/>
          <w:color w:val="auto"/>
          <w:sz w:val="22"/>
          <w:szCs w:val="22"/>
        </w:rPr>
      </w:pPr>
      <w:r>
        <w:rPr>
          <w:rFonts w:hint="eastAsia" w:ascii="宋体" w:hAnsi="宋体"/>
          <w:color w:val="auto"/>
          <w:sz w:val="22"/>
          <w:szCs w:val="22"/>
        </w:rPr>
        <w:t>8.8 施工设备和临时设施</w:t>
      </w:r>
    </w:p>
    <w:p w14:paraId="44A25F69">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8.8.1 承包人提供的施工设备和临时设施</w:t>
      </w:r>
    </w:p>
    <w:p w14:paraId="69F879CF">
      <w:pPr>
        <w:autoSpaceDE w:val="0"/>
        <w:autoSpaceDN w:val="0"/>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关于修建临时设施费用承担的约定：</w:t>
      </w:r>
      <w:r>
        <w:rPr>
          <w:rFonts w:hint="eastAsia" w:ascii="宋体" w:hAnsi="宋体"/>
          <w:color w:val="auto"/>
          <w:sz w:val="22"/>
          <w:szCs w:val="22"/>
          <w:u w:val="single"/>
        </w:rPr>
        <w:t>按通用合同条款第8.8.1款执行。</w:t>
      </w:r>
    </w:p>
    <w:p w14:paraId="4A075B60">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9. 试验与检验</w:t>
      </w:r>
    </w:p>
    <w:p w14:paraId="2C241D55">
      <w:pPr>
        <w:spacing w:line="440" w:lineRule="exact"/>
        <w:ind w:firstLine="420"/>
        <w:outlineLvl w:val="9"/>
        <w:rPr>
          <w:rFonts w:ascii="宋体" w:hAnsi="宋体"/>
          <w:color w:val="auto"/>
          <w:sz w:val="22"/>
          <w:szCs w:val="22"/>
        </w:rPr>
      </w:pPr>
      <w:r>
        <w:rPr>
          <w:rFonts w:hint="eastAsia" w:ascii="宋体" w:hAnsi="宋体"/>
          <w:color w:val="auto"/>
          <w:sz w:val="22"/>
          <w:szCs w:val="22"/>
        </w:rPr>
        <w:t>9.1试验设备与试验人员</w:t>
      </w:r>
    </w:p>
    <w:p w14:paraId="55E47A0A">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9.1.2 试验设备</w:t>
      </w:r>
    </w:p>
    <w:p w14:paraId="448D7D14">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施工现场需要配置的试验场所：</w:t>
      </w:r>
      <w:r>
        <w:rPr>
          <w:rFonts w:hint="eastAsia" w:ascii="宋体" w:hAnsi="宋体"/>
          <w:color w:val="auto"/>
          <w:sz w:val="22"/>
          <w:szCs w:val="22"/>
          <w:u w:val="single"/>
        </w:rPr>
        <w:t xml:space="preserve">  承包人解决                 </w:t>
      </w:r>
      <w:r>
        <w:rPr>
          <w:rFonts w:hint="eastAsia" w:ascii="宋体" w:hAnsi="宋体"/>
          <w:color w:val="auto"/>
          <w:sz w:val="22"/>
          <w:szCs w:val="22"/>
        </w:rPr>
        <w:t xml:space="preserve">。 </w:t>
      </w:r>
    </w:p>
    <w:p w14:paraId="0C2B215E">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施工现场需要配备的试验设备：</w:t>
      </w:r>
      <w:r>
        <w:rPr>
          <w:rFonts w:hint="eastAsia" w:ascii="宋体" w:hAnsi="宋体"/>
          <w:color w:val="auto"/>
          <w:sz w:val="22"/>
          <w:szCs w:val="22"/>
          <w:u w:val="single"/>
        </w:rPr>
        <w:t xml:space="preserve">   承包人解决                </w:t>
      </w:r>
      <w:r>
        <w:rPr>
          <w:rFonts w:hint="eastAsia" w:ascii="宋体" w:hAnsi="宋体"/>
          <w:color w:val="auto"/>
          <w:sz w:val="22"/>
          <w:szCs w:val="22"/>
        </w:rPr>
        <w:t>。</w:t>
      </w:r>
    </w:p>
    <w:p w14:paraId="1F3E9745">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施工现场需要具备的其他试验条件：</w:t>
      </w:r>
      <w:r>
        <w:rPr>
          <w:rFonts w:hint="eastAsia" w:ascii="宋体" w:hAnsi="宋体"/>
          <w:color w:val="auto"/>
          <w:sz w:val="22"/>
          <w:szCs w:val="22"/>
          <w:u w:val="single"/>
        </w:rPr>
        <w:t xml:space="preserve">    承包人解决            </w:t>
      </w:r>
      <w:r>
        <w:rPr>
          <w:rFonts w:hint="eastAsia" w:ascii="宋体" w:hAnsi="宋体"/>
          <w:color w:val="auto"/>
          <w:sz w:val="22"/>
          <w:szCs w:val="22"/>
        </w:rPr>
        <w:t>。</w:t>
      </w:r>
    </w:p>
    <w:p w14:paraId="66564006">
      <w:pPr>
        <w:spacing w:line="440" w:lineRule="exact"/>
        <w:ind w:firstLine="420"/>
        <w:outlineLvl w:val="9"/>
        <w:rPr>
          <w:rFonts w:ascii="宋体" w:hAnsi="宋体"/>
          <w:color w:val="auto"/>
          <w:sz w:val="22"/>
          <w:szCs w:val="22"/>
        </w:rPr>
      </w:pPr>
      <w:r>
        <w:rPr>
          <w:rFonts w:hint="eastAsia" w:ascii="宋体" w:hAnsi="宋体"/>
          <w:color w:val="auto"/>
          <w:sz w:val="22"/>
          <w:szCs w:val="22"/>
        </w:rPr>
        <w:t xml:space="preserve">9.4 现场工艺试验 </w:t>
      </w:r>
    </w:p>
    <w:p w14:paraId="31B06EA5">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现场工艺试验的有关约定：</w:t>
      </w:r>
      <w:r>
        <w:rPr>
          <w:rFonts w:hint="eastAsia" w:ascii="宋体" w:hAnsi="宋体"/>
          <w:color w:val="auto"/>
          <w:sz w:val="22"/>
          <w:szCs w:val="22"/>
          <w:u w:val="single"/>
        </w:rPr>
        <w:t xml:space="preserve">    执行通用条款         </w:t>
      </w:r>
      <w:r>
        <w:rPr>
          <w:rFonts w:hint="eastAsia" w:ascii="宋体" w:hAnsi="宋体"/>
          <w:color w:val="auto"/>
          <w:sz w:val="22"/>
          <w:szCs w:val="22"/>
        </w:rPr>
        <w:t>。</w:t>
      </w:r>
    </w:p>
    <w:p w14:paraId="0A9F9B43">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10. 变更</w:t>
      </w:r>
    </w:p>
    <w:p w14:paraId="61789ED5">
      <w:pPr>
        <w:spacing w:line="440" w:lineRule="exact"/>
        <w:ind w:firstLine="420"/>
        <w:outlineLvl w:val="9"/>
        <w:rPr>
          <w:rFonts w:ascii="宋体" w:hAnsi="宋体"/>
          <w:color w:val="auto"/>
          <w:sz w:val="22"/>
          <w:szCs w:val="22"/>
        </w:rPr>
      </w:pPr>
      <w:r>
        <w:rPr>
          <w:rFonts w:hint="eastAsia" w:ascii="宋体" w:hAnsi="宋体"/>
          <w:color w:val="auto"/>
          <w:sz w:val="22"/>
          <w:szCs w:val="22"/>
        </w:rPr>
        <w:t>10.1变更的范围</w:t>
      </w:r>
    </w:p>
    <w:p w14:paraId="4F7FA549">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关于变更的范围的约定：</w:t>
      </w:r>
      <w:r>
        <w:rPr>
          <w:rFonts w:hint="eastAsia" w:ascii="宋体" w:hAnsi="宋体" w:cs="宋体"/>
          <w:b/>
          <w:bCs/>
          <w:color w:val="auto"/>
          <w:sz w:val="22"/>
          <w:szCs w:val="22"/>
          <w:u w:val="single"/>
        </w:rPr>
        <w:t>为了满足工程施工需要，发包人设计变更或工程量调整，承包人必须服从和配合并应予以实施，否则视同承包人合同违约。</w:t>
      </w:r>
    </w:p>
    <w:p w14:paraId="7D471E08">
      <w:pPr>
        <w:spacing w:line="440" w:lineRule="exact"/>
        <w:ind w:firstLine="420"/>
        <w:outlineLvl w:val="9"/>
        <w:rPr>
          <w:rFonts w:ascii="宋体" w:hAnsi="宋体"/>
          <w:color w:val="auto"/>
          <w:sz w:val="22"/>
          <w:szCs w:val="22"/>
        </w:rPr>
      </w:pPr>
      <w:r>
        <w:rPr>
          <w:rFonts w:hint="eastAsia" w:ascii="宋体" w:hAnsi="宋体"/>
          <w:color w:val="auto"/>
          <w:sz w:val="22"/>
          <w:szCs w:val="22"/>
        </w:rPr>
        <w:t>10.4 变更估价</w:t>
      </w:r>
    </w:p>
    <w:p w14:paraId="05ED1180">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10.4.1 变更估价原则</w:t>
      </w:r>
    </w:p>
    <w:p w14:paraId="58BCF378">
      <w:pPr>
        <w:snapToGrid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关于变更估价的约定</w:t>
      </w:r>
      <w:r>
        <w:rPr>
          <w:rFonts w:ascii="宋体" w:hAnsi="宋体"/>
          <w:color w:val="auto"/>
          <w:sz w:val="22"/>
          <w:szCs w:val="22"/>
        </w:rPr>
        <w:t>:</w:t>
      </w:r>
    </w:p>
    <w:p w14:paraId="605C0D32">
      <w:pPr>
        <w:tabs>
          <w:tab w:val="left" w:pos="482"/>
          <w:tab w:val="left" w:pos="2183"/>
          <w:tab w:val="left" w:pos="3884"/>
          <w:tab w:val="left" w:pos="5585"/>
        </w:tabs>
        <w:spacing w:line="440" w:lineRule="exact"/>
        <w:ind w:firstLine="420"/>
        <w:jc w:val="left"/>
        <w:outlineLvl w:val="9"/>
        <w:rPr>
          <w:rFonts w:hint="eastAsia" w:ascii="宋体" w:hAnsi="宋体"/>
          <w:color w:val="auto"/>
          <w:sz w:val="22"/>
          <w:szCs w:val="22"/>
          <w:u w:val="single"/>
        </w:rPr>
      </w:pPr>
      <w:r>
        <w:rPr>
          <w:rFonts w:hint="eastAsia" w:ascii="宋体" w:hAnsi="宋体"/>
          <w:color w:val="auto"/>
          <w:sz w:val="22"/>
          <w:szCs w:val="22"/>
          <w:u w:val="single"/>
        </w:rPr>
        <w:t>1、关于变更估价的约定：凡合价金额占合同总价2%及以上的分部分项工程量清单项目，其工程量增加或减少超过本项目工程数量15%及以上时，或和价金额占合同总价不到2%的分部分项工程量清单项目，但其工程量增减超过本项目工程数量25%及以上时，其增加部分工程量或减少后剩余部分工程量相应综合单价应按第5条约定执行。</w:t>
      </w:r>
    </w:p>
    <w:p w14:paraId="1942250F">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2、采购人提供工程量清单项目漏项或设计变更引起新的工程项目或施工图纸、工程变更后与原招标工程量清单的特征描述不符的项目，其相应单价的确定方法为：</w:t>
      </w:r>
    </w:p>
    <w:p w14:paraId="45EEEFCD">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2.1中标商务标中有类似工程项目单价的，参照类似工程项目单价：</w:t>
      </w:r>
    </w:p>
    <w:p w14:paraId="2D6F767B">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2.1.1某种材料（或半场品及成品）等级、标准变化的，清单组合子目不变，仅调整不同的材料价格之差。调整时材料价格基数需一致，即信息价与信息价相比较，市场价与市场价相比较；</w:t>
      </w:r>
      <w:r>
        <w:rPr>
          <w:rFonts w:hint="eastAsia"/>
          <w:b w:val="0"/>
          <w:color w:val="auto"/>
          <w:sz w:val="22"/>
          <w:szCs w:val="22"/>
          <w:u w:val="single"/>
        </w:rPr>
        <w:tab/>
      </w:r>
    </w:p>
    <w:p w14:paraId="13038B48">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2.1.2清单项目某一特征或工程内容变化，不影响其他特征及工程内容价格的，其他特征组合标准不变，仅调整发生变化的组合子目价格。变化部分综合单价按第5条约定执行。</w:t>
      </w:r>
    </w:p>
    <w:p w14:paraId="5B2D76FF">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2.1.3如该类似工程项目综合单价异常，则不宜参照，按《浙江省建设工程计价规则2018版》中第8.3.5条“投标综合单价异常的处理”执行。</w:t>
      </w:r>
    </w:p>
    <w:p w14:paraId="73ECD9C9">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2.2中标商务标中无类似工程项目单价的，应按第5条约定执行。如当前施行的计价依据缺项内容，承包人应通过市场调查等手段提出单价，经监理人和发包人确定后执行。</w:t>
      </w:r>
    </w:p>
    <w:p w14:paraId="670BAB20">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3、措施项目的调整：</w:t>
      </w:r>
    </w:p>
    <w:p w14:paraId="079BD7B7">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分部分项工程量清单漏缺项项、重复列项、招标工程量清单工程数量有误、特征描述不符或非承包人原因的施工图、工程变更引起工程项目增减、工程量增减、特征描述不符，造成施工组织设计或施工方案变更，应调整技术措施项目内容和措施费，调整方法按《浙江省建设工程计价规则2018版》中第8.3.6条执行，但是招标文件中约定不予调整的项目除外。施工组织措施费调整按招标文件约定执行。</w:t>
      </w:r>
    </w:p>
    <w:p w14:paraId="51D9CF3B">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4、其他项目费的调整按《浙江省建设工程计价规则》（2018版）第8.3.8条执行。</w:t>
      </w:r>
    </w:p>
    <w:p w14:paraId="4AA62E14">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5、本文第1条、第2.1.2条、第2.2条、第3条中说明造价计算原则和执行计价依据文件如下：</w:t>
      </w:r>
    </w:p>
    <w:p w14:paraId="1917DF7C">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（1）《建设工程工程量清单计价规范（GB50500-2013）》；</w:t>
      </w:r>
    </w:p>
    <w:p w14:paraId="5931F1E4">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（2）《浙江省建设工程工程量清单计价指引》；</w:t>
      </w:r>
    </w:p>
    <w:p w14:paraId="38B99BA0">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（3）《浙江省建设工程计价规则（2018版）》；</w:t>
      </w:r>
    </w:p>
    <w:p w14:paraId="6A8D7A68">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（4）《浙江省房屋建筑与装饰工程预算定额》2018版、《浙江省通用安装工程预算定额（2018版）》、《浙江省市政工程预算定额》（2018版）、《浙江省园林绿化及仿古建筑工程预算定额》（2018版）；</w:t>
      </w:r>
    </w:p>
    <w:p w14:paraId="1D42C4B7">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（5）《浙江省建设工程施工机械台班费用定额（2018版）》；</w:t>
      </w:r>
    </w:p>
    <w:p w14:paraId="1A64C474">
      <w:pPr>
        <w:pStyle w:val="70"/>
        <w:adjustRightInd w:val="0"/>
        <w:snapToGrid w:val="0"/>
        <w:spacing w:line="440" w:lineRule="exact"/>
        <w:ind w:left="0" w:firstLine="440"/>
        <w:outlineLvl w:val="9"/>
        <w:rPr>
          <w:rFonts w:hint="eastAsia"/>
          <w:b w:val="0"/>
          <w:color w:val="auto"/>
          <w:sz w:val="22"/>
          <w:szCs w:val="22"/>
          <w:u w:val="single"/>
        </w:rPr>
      </w:pPr>
      <w:r>
        <w:rPr>
          <w:rFonts w:hint="eastAsia"/>
          <w:b w:val="0"/>
          <w:color w:val="auto"/>
          <w:sz w:val="22"/>
          <w:szCs w:val="22"/>
          <w:u w:val="single"/>
        </w:rPr>
        <w:t>（6）如属于招标工程量清单错误的应套用本项目招标基准价格；如属于施工图、工程变更的应套用变更批准月份的《温州工程造价信息》上的信息价；</w:t>
      </w:r>
    </w:p>
    <w:p w14:paraId="4C9798A7">
      <w:pPr>
        <w:pStyle w:val="15"/>
        <w:spacing w:line="440" w:lineRule="exact"/>
        <w:ind w:firstLine="420"/>
        <w:outlineLvl w:val="9"/>
        <w:rPr>
          <w:rFonts w:hint="eastAsia" w:ascii="宋体" w:hAnsi="宋体"/>
          <w:color w:val="auto"/>
          <w:sz w:val="22"/>
          <w:szCs w:val="22"/>
          <w:u w:val="single"/>
        </w:rPr>
      </w:pPr>
      <w:r>
        <w:rPr>
          <w:rFonts w:hint="eastAsia" w:ascii="宋体" w:hAnsi="宋体"/>
          <w:color w:val="auto"/>
          <w:sz w:val="22"/>
          <w:szCs w:val="22"/>
          <w:u w:val="single"/>
        </w:rPr>
        <w:t>（7）转发《关于发布浙江省房屋建筑人工综合价格指数的通知》（温建价（2018）42号）、浙建建发（2019）92号文《关于增值税调整后我省建设工程计价依据增值税税率及有关计价调整的通知》；</w:t>
      </w:r>
    </w:p>
    <w:p w14:paraId="6518B669">
      <w:pPr>
        <w:pStyle w:val="15"/>
        <w:spacing w:line="440" w:lineRule="exact"/>
        <w:ind w:firstLine="420"/>
        <w:outlineLvl w:val="9"/>
        <w:rPr>
          <w:rFonts w:hint="eastAsia" w:ascii="宋体" w:hAnsi="宋体"/>
          <w:color w:val="auto"/>
          <w:sz w:val="22"/>
          <w:szCs w:val="22"/>
        </w:rPr>
      </w:pPr>
      <w:r>
        <w:rPr>
          <w:rFonts w:hint="eastAsia" w:ascii="宋体" w:hAnsi="宋体"/>
          <w:color w:val="auto"/>
          <w:sz w:val="22"/>
          <w:szCs w:val="22"/>
          <w:u w:val="single"/>
        </w:rPr>
        <w:t>（8）按以上计价依据文件计算造价后需下浮中标下浮率，中标下浮率=（中标价格－招标控制价）/招标控制价×100%（不含暂估价和暂列金额及其税金），本工程下浮率为      。</w:t>
      </w:r>
    </w:p>
    <w:p w14:paraId="296E9507">
      <w:pPr>
        <w:spacing w:line="440" w:lineRule="exact"/>
        <w:ind w:firstLine="420"/>
        <w:outlineLvl w:val="9"/>
        <w:rPr>
          <w:rFonts w:ascii="宋体" w:hAnsi="宋体"/>
          <w:color w:val="auto"/>
          <w:sz w:val="22"/>
          <w:szCs w:val="22"/>
        </w:rPr>
      </w:pPr>
      <w:r>
        <w:rPr>
          <w:rFonts w:hint="eastAsia" w:ascii="宋体" w:hAnsi="宋体"/>
          <w:color w:val="auto"/>
          <w:sz w:val="22"/>
          <w:szCs w:val="22"/>
        </w:rPr>
        <w:t>10.5承包人的合理化建议</w:t>
      </w:r>
    </w:p>
    <w:p w14:paraId="09005F5C">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监理人审查承包人合理化建议的期限：</w:t>
      </w:r>
      <w:r>
        <w:rPr>
          <w:rFonts w:hint="eastAsia" w:ascii="宋体" w:hAnsi="宋体"/>
          <w:color w:val="auto"/>
          <w:sz w:val="22"/>
          <w:szCs w:val="22"/>
          <w:u w:val="single"/>
        </w:rPr>
        <w:t>收到承包人提交的合理化建议后7天内审核完毕并报送发包人，发现其中存在技术上的缺陷，应通知承包人修改</w:t>
      </w:r>
      <w:r>
        <w:rPr>
          <w:rFonts w:hint="eastAsia" w:ascii="宋体" w:hAnsi="宋体"/>
          <w:color w:val="auto"/>
          <w:sz w:val="22"/>
          <w:szCs w:val="22"/>
        </w:rPr>
        <w:t>。</w:t>
      </w:r>
    </w:p>
    <w:p w14:paraId="3BB88FD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发包人审批承包人合理化建议的期限：</w:t>
      </w:r>
      <w:r>
        <w:rPr>
          <w:rFonts w:hint="eastAsia" w:ascii="宋体" w:hAnsi="宋体"/>
          <w:color w:val="auto"/>
          <w:sz w:val="22"/>
          <w:szCs w:val="22"/>
          <w:u w:val="single"/>
        </w:rPr>
        <w:t>受到监理人报送的合理化建议后7天内</w:t>
      </w:r>
      <w:r>
        <w:rPr>
          <w:rFonts w:hint="eastAsia" w:ascii="宋体" w:hAnsi="宋体"/>
          <w:color w:val="auto"/>
          <w:sz w:val="22"/>
          <w:szCs w:val="22"/>
        </w:rPr>
        <w:t>。</w:t>
      </w:r>
    </w:p>
    <w:p w14:paraId="6A66F50C">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承包人提出的合理化建议降低了合同价格或者提高了工程经济效益的奖励的方法和金额为：</w:t>
      </w:r>
      <w:r>
        <w:rPr>
          <w:rFonts w:hint="eastAsia" w:ascii="宋体" w:hAnsi="宋体"/>
          <w:color w:val="auto"/>
          <w:sz w:val="22"/>
          <w:szCs w:val="22"/>
          <w:u w:val="single"/>
        </w:rPr>
        <w:t xml:space="preserve">    无    </w:t>
      </w:r>
      <w:r>
        <w:rPr>
          <w:rFonts w:hint="eastAsia" w:ascii="宋体" w:hAnsi="宋体"/>
          <w:color w:val="auto"/>
          <w:sz w:val="22"/>
          <w:szCs w:val="22"/>
        </w:rPr>
        <w:t>。</w:t>
      </w:r>
    </w:p>
    <w:p w14:paraId="07E9EA32">
      <w:pPr>
        <w:spacing w:line="440" w:lineRule="exact"/>
        <w:ind w:firstLine="420"/>
        <w:outlineLvl w:val="9"/>
        <w:rPr>
          <w:rFonts w:ascii="宋体" w:hAnsi="宋体"/>
          <w:color w:val="auto"/>
          <w:sz w:val="22"/>
          <w:szCs w:val="22"/>
        </w:rPr>
      </w:pPr>
      <w:r>
        <w:rPr>
          <w:rFonts w:hint="eastAsia" w:ascii="宋体" w:hAnsi="宋体"/>
          <w:color w:val="auto"/>
          <w:sz w:val="22"/>
          <w:szCs w:val="22"/>
        </w:rPr>
        <w:t>10.7 暂估价</w:t>
      </w:r>
    </w:p>
    <w:p w14:paraId="1927AFC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暂估价材料和工程设备的明细详见附件11：《暂估价一览表》。</w:t>
      </w:r>
    </w:p>
    <w:p w14:paraId="12CA65AC">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10.7.1 依法必须招标的暂估价项目</w:t>
      </w:r>
    </w:p>
    <w:p w14:paraId="7732D4EA">
      <w:pPr>
        <w:spacing w:line="440" w:lineRule="exact"/>
        <w:ind w:firstLine="420"/>
        <w:jc w:val="left"/>
        <w:outlineLvl w:val="9"/>
        <w:rPr>
          <w:rFonts w:hint="eastAsia" w:ascii="宋体" w:hAnsi="宋体"/>
          <w:color w:val="auto"/>
          <w:sz w:val="22"/>
          <w:szCs w:val="22"/>
        </w:rPr>
      </w:pPr>
      <w:r>
        <w:rPr>
          <w:rFonts w:hint="eastAsia" w:ascii="宋体" w:hAnsi="宋体"/>
          <w:color w:val="auto"/>
          <w:sz w:val="22"/>
          <w:szCs w:val="22"/>
        </w:rPr>
        <w:t>对于依法必须招标的暂估价项目的确认和批准采取第</w:t>
      </w:r>
      <w:r>
        <w:rPr>
          <w:rFonts w:hint="eastAsia" w:ascii="宋体" w:hAnsi="宋体"/>
          <w:color w:val="auto"/>
          <w:sz w:val="22"/>
          <w:szCs w:val="22"/>
          <w:u w:val="single"/>
        </w:rPr>
        <w:t xml:space="preserve">  /  </w:t>
      </w:r>
      <w:r>
        <w:rPr>
          <w:rFonts w:hint="eastAsia" w:ascii="宋体" w:hAnsi="宋体"/>
          <w:color w:val="auto"/>
          <w:sz w:val="22"/>
          <w:szCs w:val="22"/>
        </w:rPr>
        <w:t>种方式确定。</w:t>
      </w:r>
    </w:p>
    <w:p w14:paraId="4A186B70">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10.7.2 不属于依法必须招标的暂估价项目</w:t>
      </w:r>
    </w:p>
    <w:p w14:paraId="6221460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对于不属于依法必须招标的暂估价项目的确认和批准采取第</w:t>
      </w:r>
      <w:r>
        <w:rPr>
          <w:rFonts w:hint="eastAsia" w:ascii="宋体" w:hAnsi="宋体"/>
          <w:color w:val="auto"/>
          <w:sz w:val="22"/>
          <w:szCs w:val="22"/>
          <w:u w:val="single"/>
        </w:rPr>
        <w:t xml:space="preserve">  /   </w:t>
      </w:r>
      <w:r>
        <w:rPr>
          <w:rFonts w:hint="eastAsia" w:ascii="宋体" w:hAnsi="宋体"/>
          <w:color w:val="auto"/>
          <w:sz w:val="22"/>
          <w:szCs w:val="22"/>
        </w:rPr>
        <w:t>种方式确定。</w:t>
      </w:r>
    </w:p>
    <w:p w14:paraId="21CCD283">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第3种方式：承包人直接实施的暂估价项目</w:t>
      </w:r>
    </w:p>
    <w:p w14:paraId="5656E4E2">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承包人直接实施的暂估价项目的约定：</w:t>
      </w:r>
      <w:r>
        <w:rPr>
          <w:rFonts w:hint="eastAsia" w:ascii="宋体" w:hAnsi="宋体"/>
          <w:color w:val="auto"/>
          <w:sz w:val="22"/>
          <w:szCs w:val="22"/>
          <w:u w:val="single"/>
        </w:rPr>
        <w:t xml:space="preserve">  另行商定       </w:t>
      </w:r>
    </w:p>
    <w:p w14:paraId="3F5A7DB9">
      <w:pPr>
        <w:spacing w:line="440" w:lineRule="exact"/>
        <w:ind w:firstLine="420"/>
        <w:outlineLvl w:val="9"/>
        <w:rPr>
          <w:rFonts w:ascii="宋体" w:hAnsi="宋体"/>
          <w:color w:val="auto"/>
          <w:sz w:val="22"/>
          <w:szCs w:val="22"/>
        </w:rPr>
      </w:pPr>
      <w:r>
        <w:rPr>
          <w:rFonts w:hint="eastAsia" w:ascii="宋体" w:hAnsi="宋体"/>
          <w:color w:val="auto"/>
          <w:sz w:val="22"/>
          <w:szCs w:val="22"/>
        </w:rPr>
        <w:t>10.8 暂列金额</w:t>
      </w:r>
    </w:p>
    <w:p w14:paraId="51D47421">
      <w:pPr>
        <w:autoSpaceDE w:val="0"/>
        <w:autoSpaceDN w:val="0"/>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合同当事人关于暂列金额使用的约定：</w:t>
      </w:r>
      <w:r>
        <w:rPr>
          <w:rFonts w:hint="eastAsia" w:ascii="宋体" w:hAnsi="宋体"/>
          <w:color w:val="auto"/>
          <w:sz w:val="22"/>
          <w:szCs w:val="22"/>
          <w:u w:val="single"/>
        </w:rPr>
        <w:t>按通用合同条款第10.8款及磋商文件执行。</w:t>
      </w:r>
    </w:p>
    <w:p w14:paraId="31286307">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11. 价格调整</w:t>
      </w:r>
    </w:p>
    <w:p w14:paraId="4CE629AB">
      <w:pPr>
        <w:spacing w:line="440" w:lineRule="exact"/>
        <w:ind w:firstLine="420"/>
        <w:outlineLvl w:val="9"/>
        <w:rPr>
          <w:rFonts w:ascii="宋体" w:hAnsi="宋体"/>
          <w:color w:val="auto"/>
          <w:sz w:val="22"/>
          <w:szCs w:val="22"/>
        </w:rPr>
      </w:pPr>
      <w:r>
        <w:rPr>
          <w:rFonts w:hint="eastAsia" w:ascii="宋体" w:hAnsi="宋体"/>
          <w:color w:val="auto"/>
          <w:sz w:val="22"/>
          <w:szCs w:val="22"/>
        </w:rPr>
        <w:t>11.1 市场价格波动引起的调整</w:t>
      </w:r>
    </w:p>
    <w:p w14:paraId="5C9841F0">
      <w:pPr>
        <w:spacing w:line="440" w:lineRule="exact"/>
        <w:ind w:firstLine="420"/>
        <w:jc w:val="left"/>
        <w:outlineLvl w:val="9"/>
        <w:rPr>
          <w:rFonts w:hint="eastAsia" w:ascii="宋体" w:hAnsi="宋体"/>
          <w:color w:val="auto"/>
          <w:sz w:val="22"/>
          <w:szCs w:val="22"/>
        </w:rPr>
      </w:pPr>
      <w:r>
        <w:rPr>
          <w:rFonts w:hint="eastAsia" w:ascii="宋体" w:hAnsi="宋体"/>
          <w:color w:val="auto"/>
          <w:sz w:val="22"/>
          <w:szCs w:val="22"/>
        </w:rPr>
        <w:t>市场价格波动是否调整合同价格的约定：</w:t>
      </w:r>
      <w:r>
        <w:rPr>
          <w:rFonts w:hint="eastAsia" w:ascii="宋体" w:hAnsi="宋体"/>
          <w:color w:val="auto"/>
          <w:sz w:val="22"/>
          <w:szCs w:val="22"/>
          <w:u w:val="single"/>
        </w:rPr>
        <w:t xml:space="preserve">   否        </w:t>
      </w:r>
      <w:r>
        <w:rPr>
          <w:rFonts w:hint="eastAsia" w:ascii="宋体" w:hAnsi="宋体"/>
          <w:color w:val="auto"/>
          <w:sz w:val="22"/>
          <w:szCs w:val="22"/>
        </w:rPr>
        <w:t>。</w:t>
      </w:r>
    </w:p>
    <w:p w14:paraId="2D117290">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因市场价格波动调整合同价格，采用以下第</w:t>
      </w:r>
      <w:r>
        <w:rPr>
          <w:rFonts w:hint="eastAsia" w:ascii="宋体" w:hAnsi="宋体"/>
          <w:color w:val="auto"/>
          <w:sz w:val="22"/>
          <w:szCs w:val="22"/>
          <w:u w:val="single"/>
        </w:rPr>
        <w:t xml:space="preserve">  </w:t>
      </w:r>
      <w:r>
        <w:rPr>
          <w:rFonts w:hint="eastAsia" w:ascii="宋体" w:hAnsi="宋体"/>
          <w:color w:val="auto"/>
          <w:sz w:val="22"/>
          <w:szCs w:val="22"/>
        </w:rPr>
        <w:t>种方式对合同价格进行调整：</w:t>
      </w:r>
    </w:p>
    <w:p w14:paraId="4CACA6E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第1种方式：采用价格指数进行价格调整。</w:t>
      </w:r>
    </w:p>
    <w:p w14:paraId="697F26FE">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关于各可调因子、定值和变值权重，以及基本价格指数及其来源的约定：</w:t>
      </w:r>
      <w:r>
        <w:rPr>
          <w:rFonts w:hint="eastAsia" w:ascii="宋体" w:hAnsi="宋体"/>
          <w:color w:val="auto"/>
          <w:sz w:val="22"/>
          <w:szCs w:val="22"/>
          <w:u w:val="single"/>
        </w:rPr>
        <w:t xml:space="preserve">                                                </w:t>
      </w:r>
      <w:r>
        <w:rPr>
          <w:rFonts w:hint="eastAsia" w:ascii="宋体" w:hAnsi="宋体"/>
          <w:color w:val="auto"/>
          <w:sz w:val="22"/>
          <w:szCs w:val="22"/>
        </w:rPr>
        <w:t xml:space="preserve">；  </w:t>
      </w:r>
    </w:p>
    <w:p w14:paraId="5F2C20F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第2种方式：采用造价信息进行价格调整。</w:t>
      </w:r>
    </w:p>
    <w:p w14:paraId="69BDF631">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（2）关于基准价格的约定：</w:t>
      </w:r>
      <w:r>
        <w:rPr>
          <w:rFonts w:hint="eastAsia" w:ascii="宋体" w:hAnsi="宋体"/>
          <w:color w:val="auto"/>
          <w:sz w:val="22"/>
          <w:szCs w:val="22"/>
          <w:u w:val="single"/>
        </w:rPr>
        <w:t xml:space="preserve">                         </w:t>
      </w:r>
      <w:r>
        <w:rPr>
          <w:rFonts w:hint="eastAsia" w:ascii="宋体" w:hAnsi="宋体"/>
          <w:color w:val="auto"/>
          <w:sz w:val="22"/>
          <w:szCs w:val="22"/>
        </w:rPr>
        <w:t>。</w:t>
      </w:r>
    </w:p>
    <w:p w14:paraId="0758C83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专用合同条款</w:t>
      </w:r>
      <w:r>
        <w:rPr>
          <w:rFonts w:hint="eastAsia" w:ascii="宋体" w:hAnsi="宋体" w:cs="宋体"/>
          <w:color w:val="auto"/>
          <w:sz w:val="22"/>
          <w:szCs w:val="22"/>
        </w:rPr>
        <w:t>①</w:t>
      </w:r>
      <w:r>
        <w:rPr>
          <w:rFonts w:hint="eastAsia" w:ascii="宋体" w:hAnsi="宋体"/>
          <w:color w:val="auto"/>
          <w:sz w:val="22"/>
          <w:szCs w:val="22"/>
        </w:rPr>
        <w:t>承包人在已标价工程量清单或预算书中载明的材料单价低于基准价格的：专用合同条款合同履行期间材料单价涨幅以基准价格为基础超过</w:t>
      </w:r>
      <w:r>
        <w:rPr>
          <w:rFonts w:hint="eastAsia" w:ascii="宋体" w:hAnsi="宋体"/>
          <w:color w:val="auto"/>
          <w:sz w:val="22"/>
          <w:szCs w:val="22"/>
          <w:u w:val="single"/>
        </w:rPr>
        <w:t xml:space="preserve">   </w:t>
      </w:r>
      <w:r>
        <w:rPr>
          <w:rFonts w:hint="eastAsia" w:ascii="宋体" w:hAnsi="宋体"/>
          <w:color w:val="auto"/>
          <w:sz w:val="22"/>
          <w:szCs w:val="22"/>
        </w:rPr>
        <w:t>%时，或材料单价跌幅以已标价工程量清单或预算书中载明材料单价为基础超过</w:t>
      </w:r>
      <w:r>
        <w:rPr>
          <w:rFonts w:hint="eastAsia" w:ascii="宋体" w:hAnsi="宋体"/>
          <w:color w:val="auto"/>
          <w:sz w:val="22"/>
          <w:szCs w:val="22"/>
          <w:u w:val="single"/>
        </w:rPr>
        <w:t xml:space="preserve">   </w:t>
      </w:r>
      <w:r>
        <w:rPr>
          <w:rFonts w:hint="eastAsia" w:ascii="宋体" w:hAnsi="宋体"/>
          <w:color w:val="auto"/>
          <w:sz w:val="22"/>
          <w:szCs w:val="22"/>
        </w:rPr>
        <w:t>%时，其超过部分据实调整。</w:t>
      </w:r>
    </w:p>
    <w:p w14:paraId="32A9FAD0">
      <w:pPr>
        <w:spacing w:line="440" w:lineRule="exact"/>
        <w:ind w:firstLine="420"/>
        <w:jc w:val="left"/>
        <w:outlineLvl w:val="9"/>
        <w:rPr>
          <w:rFonts w:ascii="宋体" w:hAnsi="宋体"/>
          <w:color w:val="auto"/>
          <w:sz w:val="22"/>
          <w:szCs w:val="22"/>
        </w:rPr>
      </w:pPr>
      <w:r>
        <w:rPr>
          <w:rFonts w:hint="eastAsia" w:ascii="宋体" w:hAnsi="宋体" w:cs="宋体"/>
          <w:color w:val="auto"/>
          <w:sz w:val="22"/>
          <w:szCs w:val="22"/>
        </w:rPr>
        <w:t>②</w:t>
      </w:r>
      <w:r>
        <w:rPr>
          <w:rFonts w:hint="eastAsia" w:ascii="宋体" w:hAnsi="宋体"/>
          <w:color w:val="auto"/>
          <w:sz w:val="22"/>
          <w:szCs w:val="22"/>
        </w:rPr>
        <w:t>承包人在已标价工程量清单或预算书中载明的材料单价高于基准价格的：专用合同条款合同履行期间材料单价跌幅以基准价格为基础超过</w:t>
      </w:r>
      <w:r>
        <w:rPr>
          <w:rFonts w:hint="eastAsia" w:ascii="宋体" w:hAnsi="宋体"/>
          <w:color w:val="auto"/>
          <w:sz w:val="22"/>
          <w:szCs w:val="22"/>
          <w:u w:val="single"/>
        </w:rPr>
        <w:t xml:space="preserve">   </w:t>
      </w:r>
      <w:r>
        <w:rPr>
          <w:rFonts w:hint="eastAsia" w:ascii="宋体" w:hAnsi="宋体"/>
          <w:color w:val="auto"/>
          <w:sz w:val="22"/>
          <w:szCs w:val="22"/>
        </w:rPr>
        <w:t>%时，材料单价涨幅以已标价工程量清单或预算书中载明材料单价为基础超过</w:t>
      </w:r>
      <w:r>
        <w:rPr>
          <w:rFonts w:hint="eastAsia" w:ascii="宋体" w:hAnsi="宋体"/>
          <w:color w:val="auto"/>
          <w:sz w:val="22"/>
          <w:szCs w:val="22"/>
          <w:u w:val="single"/>
        </w:rPr>
        <w:t xml:space="preserve">   </w:t>
      </w:r>
      <w:r>
        <w:rPr>
          <w:rFonts w:hint="eastAsia" w:ascii="宋体" w:hAnsi="宋体"/>
          <w:color w:val="auto"/>
          <w:sz w:val="22"/>
          <w:szCs w:val="22"/>
        </w:rPr>
        <w:t>%时，其超过部分据实调整。</w:t>
      </w:r>
    </w:p>
    <w:p w14:paraId="2CA06032">
      <w:pPr>
        <w:spacing w:line="440" w:lineRule="exact"/>
        <w:ind w:firstLine="420"/>
        <w:jc w:val="left"/>
        <w:outlineLvl w:val="9"/>
        <w:rPr>
          <w:rFonts w:ascii="宋体" w:hAnsi="宋体"/>
          <w:color w:val="auto"/>
          <w:sz w:val="22"/>
          <w:szCs w:val="22"/>
        </w:rPr>
      </w:pPr>
      <w:r>
        <w:rPr>
          <w:rFonts w:hint="eastAsia" w:ascii="宋体" w:hAnsi="宋体" w:cs="宋体"/>
          <w:color w:val="auto"/>
          <w:sz w:val="22"/>
          <w:szCs w:val="22"/>
        </w:rPr>
        <w:t>③</w:t>
      </w:r>
      <w:r>
        <w:rPr>
          <w:rFonts w:hint="eastAsia" w:ascii="宋体" w:hAnsi="宋体"/>
          <w:color w:val="auto"/>
          <w:sz w:val="22"/>
          <w:szCs w:val="22"/>
        </w:rPr>
        <w:t>承包人在已标价工程量清单或预算书中载明的材料单价等于基准单价的：专用合同条款合同履行期间材料单价涨跌幅以基准单价为基础超过±</w:t>
      </w:r>
      <w:r>
        <w:rPr>
          <w:rFonts w:hint="eastAsia" w:ascii="宋体" w:hAnsi="宋体"/>
          <w:color w:val="auto"/>
          <w:sz w:val="22"/>
          <w:szCs w:val="22"/>
          <w:u w:val="single"/>
        </w:rPr>
        <w:t xml:space="preserve">   </w:t>
      </w:r>
      <w:r>
        <w:rPr>
          <w:rFonts w:hint="eastAsia" w:ascii="宋体" w:hAnsi="宋体"/>
          <w:color w:val="auto"/>
          <w:sz w:val="22"/>
          <w:szCs w:val="22"/>
        </w:rPr>
        <w:t>%时，其超过部分据实调整。</w:t>
      </w:r>
    </w:p>
    <w:p w14:paraId="337E2006">
      <w:pPr>
        <w:pStyle w:val="20"/>
        <w:spacing w:line="440" w:lineRule="exact"/>
        <w:ind w:firstLine="495" w:firstLineChars="225"/>
        <w:outlineLvl w:val="9"/>
        <w:rPr>
          <w:rFonts w:hAnsi="宋体"/>
          <w:color w:val="auto"/>
          <w:sz w:val="22"/>
          <w:szCs w:val="22"/>
          <w:u w:val="single"/>
        </w:rPr>
      </w:pPr>
      <w:r>
        <w:rPr>
          <w:rFonts w:hint="eastAsia" w:hAnsi="宋体"/>
          <w:color w:val="auto"/>
          <w:sz w:val="22"/>
          <w:szCs w:val="22"/>
        </w:rPr>
        <w:t>第3种方式：</w:t>
      </w:r>
    </w:p>
    <w:p w14:paraId="461F71F6">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12. 合同价格、计量与支付</w:t>
      </w:r>
    </w:p>
    <w:p w14:paraId="2AD842CA">
      <w:pPr>
        <w:spacing w:line="440" w:lineRule="exact"/>
        <w:ind w:firstLine="420"/>
        <w:outlineLvl w:val="9"/>
        <w:rPr>
          <w:rFonts w:ascii="宋体" w:hAnsi="宋体"/>
          <w:color w:val="auto"/>
          <w:sz w:val="22"/>
          <w:szCs w:val="22"/>
        </w:rPr>
      </w:pPr>
      <w:r>
        <w:rPr>
          <w:rFonts w:hint="eastAsia" w:ascii="宋体" w:hAnsi="宋体"/>
          <w:color w:val="auto"/>
          <w:sz w:val="22"/>
          <w:szCs w:val="22"/>
        </w:rPr>
        <w:t>12.1 合同价格形式</w:t>
      </w:r>
    </w:p>
    <w:p w14:paraId="3B8E659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1、单价合同。</w:t>
      </w:r>
    </w:p>
    <w:p w14:paraId="2C92AF21">
      <w:pPr>
        <w:spacing w:line="440" w:lineRule="exact"/>
        <w:ind w:firstLine="420"/>
        <w:jc w:val="left"/>
        <w:outlineLvl w:val="9"/>
        <w:rPr>
          <w:rFonts w:ascii="宋体" w:hAnsi="宋体"/>
          <w:color w:val="auto"/>
          <w:sz w:val="22"/>
          <w:szCs w:val="22"/>
        </w:rPr>
      </w:pPr>
      <w:r>
        <w:rPr>
          <w:rFonts w:ascii="宋体" w:hAnsi="宋体"/>
          <w:color w:val="auto"/>
          <w:sz w:val="22"/>
          <w:szCs w:val="22"/>
        </w:rPr>
        <w:t>综合单价包含的风险范围：</w:t>
      </w:r>
      <w:r>
        <w:rPr>
          <w:rFonts w:hint="eastAsia" w:ascii="宋体" w:hAnsi="宋体"/>
          <w:color w:val="auto"/>
          <w:sz w:val="22"/>
          <w:szCs w:val="22"/>
          <w:u w:val="single"/>
        </w:rPr>
        <w:t>今后除工程量清单修正、变更（包括设计变更和依据发包人指令的工程范围变更）、人工材料动态管理、优质工程增加费、因法律变化引起的调整外均不再调整</w:t>
      </w:r>
      <w:r>
        <w:rPr>
          <w:rFonts w:ascii="宋体" w:hAnsi="宋体"/>
          <w:color w:val="auto"/>
          <w:sz w:val="22"/>
          <w:szCs w:val="22"/>
        </w:rPr>
        <w:t>。</w:t>
      </w:r>
    </w:p>
    <w:p w14:paraId="5CE855D0">
      <w:pPr>
        <w:spacing w:line="440" w:lineRule="exact"/>
        <w:ind w:firstLine="420"/>
        <w:jc w:val="left"/>
        <w:outlineLvl w:val="9"/>
        <w:rPr>
          <w:rFonts w:ascii="宋体" w:hAnsi="宋体"/>
          <w:color w:val="auto"/>
          <w:sz w:val="22"/>
          <w:szCs w:val="22"/>
        </w:rPr>
      </w:pPr>
      <w:r>
        <w:rPr>
          <w:rFonts w:ascii="宋体" w:hAnsi="宋体"/>
          <w:color w:val="auto"/>
          <w:sz w:val="22"/>
          <w:szCs w:val="22"/>
        </w:rPr>
        <w:t>风险费用的计算方法：</w:t>
      </w:r>
      <w:r>
        <w:rPr>
          <w:rFonts w:hint="eastAsia" w:ascii="宋体" w:hAnsi="宋体"/>
          <w:color w:val="auto"/>
          <w:sz w:val="22"/>
          <w:szCs w:val="22"/>
          <w:u w:val="single"/>
        </w:rPr>
        <w:t>已包含在合同价中，由供应商在报价时综合考虑各项风险费用</w:t>
      </w:r>
      <w:r>
        <w:rPr>
          <w:rFonts w:ascii="宋体" w:hAnsi="宋体"/>
          <w:color w:val="auto"/>
          <w:sz w:val="22"/>
          <w:szCs w:val="22"/>
        </w:rPr>
        <w:t>。</w:t>
      </w:r>
    </w:p>
    <w:p w14:paraId="40F48AE3">
      <w:pPr>
        <w:spacing w:line="440" w:lineRule="exact"/>
        <w:ind w:firstLine="420"/>
        <w:jc w:val="left"/>
        <w:outlineLvl w:val="9"/>
        <w:rPr>
          <w:rFonts w:ascii="宋体" w:hAnsi="宋体"/>
          <w:color w:val="auto"/>
          <w:sz w:val="22"/>
          <w:szCs w:val="22"/>
        </w:rPr>
      </w:pPr>
      <w:r>
        <w:rPr>
          <w:rFonts w:ascii="宋体" w:hAnsi="宋体"/>
          <w:color w:val="auto"/>
          <w:sz w:val="22"/>
          <w:szCs w:val="22"/>
        </w:rPr>
        <w:t>风险范围以外合同价格的调整方法：</w:t>
      </w:r>
      <w:r>
        <w:rPr>
          <w:rFonts w:ascii="宋体" w:hAnsi="宋体"/>
          <w:color w:val="auto"/>
          <w:sz w:val="22"/>
          <w:szCs w:val="22"/>
          <w:u w:val="single"/>
        </w:rPr>
        <w:t>工程量清单错误修正、设计变更（审查后的施工图与招标时施工图不一致的调整视为设计变更）、因法律变化引起的调整</w:t>
      </w:r>
      <w:r>
        <w:rPr>
          <w:rFonts w:hint="eastAsia" w:ascii="宋体" w:hAnsi="宋体"/>
          <w:color w:val="auto"/>
          <w:sz w:val="22"/>
          <w:szCs w:val="22"/>
          <w:u w:val="single"/>
        </w:rPr>
        <w:t>均</w:t>
      </w:r>
      <w:r>
        <w:rPr>
          <w:rFonts w:ascii="宋体" w:hAnsi="宋体"/>
          <w:color w:val="auto"/>
          <w:sz w:val="22"/>
          <w:szCs w:val="22"/>
          <w:u w:val="single"/>
        </w:rPr>
        <w:t>按合同相关条款执行</w:t>
      </w:r>
      <w:r>
        <w:rPr>
          <w:rFonts w:ascii="宋体" w:hAnsi="宋体"/>
          <w:color w:val="auto"/>
          <w:sz w:val="22"/>
          <w:szCs w:val="22"/>
        </w:rPr>
        <w:t>。</w:t>
      </w:r>
    </w:p>
    <w:p w14:paraId="6D4D6D6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2、总价合同。</w:t>
      </w:r>
    </w:p>
    <w:p w14:paraId="4BDDFC2B">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总价包含的风险范围：</w:t>
      </w:r>
      <w:r>
        <w:rPr>
          <w:rFonts w:hint="eastAsia" w:ascii="宋体" w:hAnsi="宋体"/>
          <w:color w:val="auto"/>
          <w:sz w:val="22"/>
          <w:szCs w:val="22"/>
          <w:u w:val="single"/>
        </w:rPr>
        <w:t>不适用</w:t>
      </w:r>
      <w:r>
        <w:rPr>
          <w:rFonts w:hint="eastAsia" w:ascii="宋体" w:hAnsi="宋体"/>
          <w:color w:val="auto"/>
          <w:sz w:val="22"/>
          <w:szCs w:val="22"/>
        </w:rPr>
        <w:t>。</w:t>
      </w:r>
    </w:p>
    <w:p w14:paraId="7E226FA2">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风险费用的计算方法：</w:t>
      </w:r>
      <w:r>
        <w:rPr>
          <w:rFonts w:hint="eastAsia" w:ascii="宋体" w:hAnsi="宋体"/>
          <w:color w:val="auto"/>
          <w:sz w:val="22"/>
          <w:szCs w:val="22"/>
          <w:u w:val="single"/>
        </w:rPr>
        <w:t xml:space="preserve">  不适用  </w:t>
      </w:r>
      <w:r>
        <w:rPr>
          <w:rFonts w:hint="eastAsia" w:ascii="宋体" w:hAnsi="宋体"/>
          <w:color w:val="auto"/>
          <w:sz w:val="22"/>
          <w:szCs w:val="22"/>
        </w:rPr>
        <w:t>。</w:t>
      </w:r>
    </w:p>
    <w:p w14:paraId="21B7177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风险范围以外合同价格的调整方法：</w:t>
      </w:r>
      <w:r>
        <w:rPr>
          <w:rFonts w:hint="eastAsia" w:ascii="宋体" w:hAnsi="宋体"/>
          <w:color w:val="auto"/>
          <w:sz w:val="22"/>
          <w:szCs w:val="22"/>
          <w:u w:val="single"/>
        </w:rPr>
        <w:t xml:space="preserve">不适用   </w:t>
      </w:r>
      <w:r>
        <w:rPr>
          <w:rFonts w:hint="eastAsia" w:ascii="宋体" w:hAnsi="宋体"/>
          <w:color w:val="auto"/>
          <w:sz w:val="22"/>
          <w:szCs w:val="22"/>
        </w:rPr>
        <w:t xml:space="preserve"> </w:t>
      </w:r>
    </w:p>
    <w:p w14:paraId="36B353F4">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3、其他价格方式：/</w:t>
      </w:r>
    </w:p>
    <w:p w14:paraId="369470A0">
      <w:pPr>
        <w:spacing w:line="440" w:lineRule="exact"/>
        <w:ind w:firstLine="420"/>
        <w:outlineLvl w:val="9"/>
        <w:rPr>
          <w:rFonts w:ascii="宋体" w:hAnsi="宋体"/>
          <w:color w:val="auto"/>
          <w:sz w:val="22"/>
          <w:szCs w:val="22"/>
        </w:rPr>
      </w:pPr>
      <w:r>
        <w:rPr>
          <w:rFonts w:hint="eastAsia" w:ascii="宋体" w:hAnsi="宋体"/>
          <w:color w:val="auto"/>
          <w:sz w:val="22"/>
          <w:szCs w:val="22"/>
        </w:rPr>
        <w:t>12.2 预付款</w:t>
      </w:r>
    </w:p>
    <w:p w14:paraId="65EE73AF">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12.2.1 预付款的支付</w:t>
      </w:r>
    </w:p>
    <w:p w14:paraId="1AC28194">
      <w:pPr>
        <w:pStyle w:val="20"/>
        <w:spacing w:line="440" w:lineRule="exact"/>
        <w:ind w:firstLine="420"/>
        <w:outlineLvl w:val="9"/>
        <w:rPr>
          <w:rFonts w:hAnsi="宋体"/>
          <w:bCs/>
          <w:color w:val="auto"/>
          <w:sz w:val="22"/>
          <w:szCs w:val="22"/>
          <w:u w:val="single"/>
        </w:rPr>
      </w:pPr>
      <w:r>
        <w:rPr>
          <w:rFonts w:hint="eastAsia" w:hAnsi="宋体"/>
          <w:color w:val="auto"/>
          <w:sz w:val="22"/>
          <w:szCs w:val="22"/>
        </w:rPr>
        <w:t>预付款支付比例或金额：</w:t>
      </w:r>
      <w:r>
        <w:rPr>
          <w:rFonts w:hint="eastAsia" w:hAnsi="宋体"/>
          <w:bCs/>
          <w:color w:val="auto"/>
          <w:sz w:val="22"/>
          <w:szCs w:val="22"/>
          <w:u w:val="single"/>
        </w:rPr>
        <w:t>签订合同后7天内，发包人支付合同价款的30%</w:t>
      </w:r>
      <w:r>
        <w:rPr>
          <w:rFonts w:hint="eastAsia" w:hAnsi="宋体"/>
          <w:color w:val="auto"/>
          <w:sz w:val="22"/>
          <w:szCs w:val="22"/>
          <w:u w:val="single"/>
        </w:rPr>
        <w:t>（不包括暂列金额和安全文明施工费）</w:t>
      </w:r>
      <w:r>
        <w:rPr>
          <w:rFonts w:hint="eastAsia" w:hAnsi="宋体"/>
          <w:bCs/>
          <w:color w:val="auto"/>
          <w:sz w:val="22"/>
          <w:szCs w:val="22"/>
          <w:u w:val="single"/>
        </w:rPr>
        <w:t>。</w:t>
      </w:r>
    </w:p>
    <w:p w14:paraId="66F0F54B">
      <w:pPr>
        <w:pStyle w:val="20"/>
        <w:spacing w:line="440" w:lineRule="exact"/>
        <w:ind w:firstLine="420"/>
        <w:outlineLvl w:val="9"/>
        <w:rPr>
          <w:rFonts w:hAnsi="宋体"/>
          <w:color w:val="auto"/>
          <w:sz w:val="22"/>
          <w:szCs w:val="22"/>
          <w:u w:val="single"/>
        </w:rPr>
      </w:pPr>
      <w:r>
        <w:rPr>
          <w:rFonts w:hint="eastAsia" w:hAnsi="宋体"/>
          <w:color w:val="auto"/>
          <w:sz w:val="22"/>
          <w:szCs w:val="22"/>
        </w:rPr>
        <w:t>扣回预付工程款的时间、比例:</w:t>
      </w:r>
      <w:r>
        <w:rPr>
          <w:rFonts w:hint="eastAsia" w:hAnsi="宋体"/>
          <w:color w:val="auto"/>
          <w:sz w:val="22"/>
          <w:szCs w:val="22"/>
          <w:u w:val="single"/>
        </w:rPr>
        <w:t>　不扣回　。</w:t>
      </w:r>
    </w:p>
    <w:p w14:paraId="755A1D33">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12.2.2 预付款担保</w:t>
      </w:r>
    </w:p>
    <w:p w14:paraId="05ED1593">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承包人提交预付款担保的期限：</w:t>
      </w:r>
      <w:r>
        <w:rPr>
          <w:rFonts w:hint="eastAsia" w:ascii="宋体" w:hAnsi="宋体"/>
          <w:color w:val="auto"/>
          <w:sz w:val="22"/>
          <w:szCs w:val="22"/>
          <w:u w:val="single"/>
        </w:rPr>
        <w:t xml:space="preserve">    无                      </w:t>
      </w:r>
      <w:r>
        <w:rPr>
          <w:rFonts w:hint="eastAsia" w:ascii="宋体" w:hAnsi="宋体"/>
          <w:color w:val="auto"/>
          <w:sz w:val="22"/>
          <w:szCs w:val="22"/>
        </w:rPr>
        <w:t>。</w:t>
      </w:r>
    </w:p>
    <w:p w14:paraId="386D36DC">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预付款担保的形式为：</w:t>
      </w:r>
      <w:r>
        <w:rPr>
          <w:rFonts w:hint="eastAsia" w:ascii="宋体" w:hAnsi="宋体"/>
          <w:color w:val="auto"/>
          <w:sz w:val="22"/>
          <w:szCs w:val="22"/>
          <w:u w:val="single"/>
        </w:rPr>
        <w:t xml:space="preserve">      /                             </w:t>
      </w:r>
      <w:r>
        <w:rPr>
          <w:rFonts w:hint="eastAsia" w:ascii="宋体" w:hAnsi="宋体"/>
          <w:color w:val="auto"/>
          <w:sz w:val="22"/>
          <w:szCs w:val="22"/>
        </w:rPr>
        <w:t>。</w:t>
      </w:r>
    </w:p>
    <w:p w14:paraId="50A668F2">
      <w:pPr>
        <w:spacing w:line="440" w:lineRule="exact"/>
        <w:ind w:firstLine="420"/>
        <w:outlineLvl w:val="9"/>
        <w:rPr>
          <w:rFonts w:ascii="宋体" w:hAnsi="宋体"/>
          <w:color w:val="auto"/>
          <w:sz w:val="22"/>
          <w:szCs w:val="22"/>
        </w:rPr>
      </w:pPr>
      <w:r>
        <w:rPr>
          <w:rFonts w:hint="eastAsia" w:ascii="宋体" w:hAnsi="宋体"/>
          <w:color w:val="auto"/>
          <w:sz w:val="22"/>
          <w:szCs w:val="22"/>
        </w:rPr>
        <w:t>12.3 计量</w:t>
      </w:r>
    </w:p>
    <w:p w14:paraId="5F82F4B9">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12.3.1 计量原则</w:t>
      </w:r>
    </w:p>
    <w:p w14:paraId="56A767C3">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工程量计算规则：</w:t>
      </w:r>
      <w:r>
        <w:rPr>
          <w:rFonts w:hint="eastAsia" w:ascii="宋体" w:hAnsi="宋体"/>
          <w:b/>
          <w:color w:val="auto"/>
          <w:sz w:val="22"/>
          <w:szCs w:val="22"/>
          <w:u w:val="single"/>
        </w:rPr>
        <w:t>按图纸（如有）及变更联系单、建设工程工程量清单计价规范和工程量计算规范2013版，浙江省2018计价依据及浙江省、温州市的现行规定。</w:t>
      </w:r>
    </w:p>
    <w:p w14:paraId="33441068">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12.3.2 计量周期</w:t>
      </w:r>
    </w:p>
    <w:p w14:paraId="50F6654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关于计量周期的约定：</w:t>
      </w:r>
      <w:r>
        <w:rPr>
          <w:rFonts w:hint="eastAsia" w:ascii="宋体" w:hAnsi="宋体"/>
          <w:color w:val="auto"/>
          <w:sz w:val="22"/>
          <w:szCs w:val="22"/>
          <w:u w:val="single"/>
        </w:rPr>
        <w:t xml:space="preserve">   /   </w:t>
      </w:r>
      <w:r>
        <w:rPr>
          <w:rFonts w:hint="eastAsia" w:ascii="宋体" w:hAnsi="宋体"/>
          <w:color w:val="auto"/>
          <w:sz w:val="22"/>
          <w:szCs w:val="22"/>
        </w:rPr>
        <w:t>。</w:t>
      </w:r>
    </w:p>
    <w:p w14:paraId="085D43F7">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12.3.3 单价合同的计量</w:t>
      </w:r>
    </w:p>
    <w:p w14:paraId="5C6083C7">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关于单价合同计量的约定：</w:t>
      </w:r>
      <w:r>
        <w:rPr>
          <w:rFonts w:hint="eastAsia" w:ascii="宋体" w:hAnsi="宋体"/>
          <w:color w:val="auto"/>
          <w:sz w:val="22"/>
          <w:szCs w:val="22"/>
          <w:u w:val="single"/>
        </w:rPr>
        <w:t xml:space="preserve"> 1）承包人前向发包人报送已完成的工程量报告，并附具进度付款申请单、已完成工程量报表和有关资料。</w:t>
      </w:r>
    </w:p>
    <w:p w14:paraId="36709B53">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u w:val="single"/>
        </w:rPr>
        <w:t>（2）监理人应在收到承包人提交的工程量报告后7天内完成对承包人提交的工程量报表的审核并报送发包人，以确定当月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p>
    <w:p w14:paraId="3362773E">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u w:val="single"/>
        </w:rPr>
        <w:t>（3）发包人未在收到承包人提交的工程量报表后7天内完成审核的，承包人报送的工程量报告中的工程量视为承包人实际完成的工程量，据此计算工程价款。</w:t>
      </w:r>
    </w:p>
    <w:p w14:paraId="1C207F58">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12.3.4 总价合同的计量</w:t>
      </w:r>
    </w:p>
    <w:p w14:paraId="383D116B">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关于总价合同计量的约定：</w:t>
      </w:r>
      <w:r>
        <w:rPr>
          <w:rFonts w:hint="eastAsia" w:ascii="宋体" w:hAnsi="宋体"/>
          <w:color w:val="auto"/>
          <w:sz w:val="22"/>
          <w:szCs w:val="22"/>
          <w:u w:val="single"/>
        </w:rPr>
        <w:t xml:space="preserve">不适用  </w:t>
      </w:r>
    </w:p>
    <w:p w14:paraId="5C1FEDD1">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12.3.5总价合同采用支付分解表计量支付的，是否适用第12.3.4 项〔总价合同的计量〕约定进行计量：</w:t>
      </w:r>
      <w:r>
        <w:rPr>
          <w:rFonts w:hint="eastAsia" w:ascii="宋体" w:hAnsi="宋体"/>
          <w:color w:val="auto"/>
          <w:sz w:val="22"/>
          <w:szCs w:val="22"/>
          <w:u w:val="single"/>
        </w:rPr>
        <w:t xml:space="preserve">    不适用      </w:t>
      </w:r>
      <w:r>
        <w:rPr>
          <w:rFonts w:hint="eastAsia" w:ascii="宋体" w:hAnsi="宋体"/>
          <w:color w:val="auto"/>
          <w:sz w:val="22"/>
          <w:szCs w:val="22"/>
        </w:rPr>
        <w:t>。</w:t>
      </w:r>
    </w:p>
    <w:p w14:paraId="5969E334">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12.3.6 其他价格形式合同的计量</w:t>
      </w:r>
    </w:p>
    <w:p w14:paraId="70E222EA">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其他价格形式的计量方式和程序：</w:t>
      </w:r>
      <w:r>
        <w:rPr>
          <w:rFonts w:hint="eastAsia" w:ascii="宋体" w:hAnsi="宋体"/>
          <w:color w:val="auto"/>
          <w:sz w:val="22"/>
          <w:szCs w:val="22"/>
          <w:u w:val="single"/>
        </w:rPr>
        <w:t xml:space="preserve">    不适用      </w:t>
      </w:r>
      <w:r>
        <w:rPr>
          <w:rFonts w:hint="eastAsia" w:ascii="宋体" w:hAnsi="宋体"/>
          <w:color w:val="auto"/>
          <w:sz w:val="22"/>
          <w:szCs w:val="22"/>
        </w:rPr>
        <w:t>。</w:t>
      </w:r>
    </w:p>
    <w:p w14:paraId="067AB368">
      <w:pPr>
        <w:spacing w:line="440" w:lineRule="exact"/>
        <w:ind w:firstLine="420"/>
        <w:outlineLvl w:val="9"/>
        <w:rPr>
          <w:rFonts w:ascii="宋体" w:hAnsi="宋体"/>
          <w:color w:val="auto"/>
          <w:sz w:val="22"/>
          <w:szCs w:val="22"/>
        </w:rPr>
      </w:pPr>
      <w:r>
        <w:rPr>
          <w:rFonts w:hint="eastAsia" w:ascii="宋体" w:hAnsi="宋体"/>
          <w:color w:val="auto"/>
          <w:sz w:val="22"/>
          <w:szCs w:val="22"/>
        </w:rPr>
        <w:t>12.4 工程进度款支付</w:t>
      </w:r>
    </w:p>
    <w:p w14:paraId="1B9284C1">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12.4.1 付款周期</w:t>
      </w:r>
    </w:p>
    <w:p w14:paraId="690F7099">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关于付款周期的约定：</w:t>
      </w:r>
      <w:r>
        <w:rPr>
          <w:rFonts w:hint="eastAsia" w:ascii="宋体" w:hAnsi="宋体"/>
          <w:color w:val="auto"/>
          <w:sz w:val="22"/>
          <w:szCs w:val="22"/>
          <w:u w:val="single"/>
        </w:rPr>
        <w:t xml:space="preserve">  /   </w:t>
      </w:r>
      <w:r>
        <w:rPr>
          <w:rFonts w:hint="eastAsia" w:ascii="宋体" w:hAnsi="宋体"/>
          <w:color w:val="auto"/>
          <w:sz w:val="22"/>
          <w:szCs w:val="22"/>
        </w:rPr>
        <w:t>。</w:t>
      </w:r>
    </w:p>
    <w:p w14:paraId="10765B31">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12.4.2 进度付款申请单的编制</w:t>
      </w:r>
    </w:p>
    <w:p w14:paraId="5BE61368">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关于进度付款申请单编制的约定：</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w:t>
      </w:r>
    </w:p>
    <w:p w14:paraId="24F5D192">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12.4.3 进度付款申请单的提交</w:t>
      </w:r>
    </w:p>
    <w:p w14:paraId="6FD05980">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（1）单价合同进度付款申请单提交的约定：</w:t>
      </w:r>
      <w:r>
        <w:rPr>
          <w:rFonts w:hint="eastAsia" w:ascii="宋体" w:hAnsi="宋体"/>
          <w:color w:val="auto"/>
          <w:sz w:val="22"/>
          <w:szCs w:val="22"/>
          <w:u w:val="single"/>
        </w:rPr>
        <w:t xml:space="preserve">     /                      </w:t>
      </w:r>
      <w:r>
        <w:rPr>
          <w:rFonts w:hint="eastAsia" w:ascii="宋体" w:hAnsi="宋体"/>
          <w:color w:val="auto"/>
          <w:sz w:val="22"/>
          <w:szCs w:val="22"/>
        </w:rPr>
        <w:t>。</w:t>
      </w:r>
    </w:p>
    <w:p w14:paraId="6D8E843F">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（2）总价合同进度付款申请单提交的约定：</w:t>
      </w:r>
      <w:r>
        <w:rPr>
          <w:rFonts w:hint="eastAsia" w:ascii="宋体" w:hAnsi="宋体"/>
          <w:color w:val="auto"/>
          <w:sz w:val="22"/>
          <w:szCs w:val="22"/>
          <w:u w:val="single"/>
        </w:rPr>
        <w:t xml:space="preserve">    /                      </w:t>
      </w:r>
      <w:r>
        <w:rPr>
          <w:rFonts w:hint="eastAsia" w:ascii="宋体" w:hAnsi="宋体"/>
          <w:color w:val="auto"/>
          <w:sz w:val="22"/>
          <w:szCs w:val="22"/>
        </w:rPr>
        <w:t>。</w:t>
      </w:r>
    </w:p>
    <w:p w14:paraId="30BB53F6">
      <w:pPr>
        <w:spacing w:line="440" w:lineRule="exact"/>
        <w:ind w:firstLine="420"/>
        <w:jc w:val="left"/>
        <w:outlineLvl w:val="9"/>
        <w:rPr>
          <w:rFonts w:hint="eastAsia" w:ascii="宋体" w:hAnsi="宋体"/>
          <w:color w:val="auto"/>
          <w:sz w:val="22"/>
          <w:szCs w:val="22"/>
        </w:rPr>
      </w:pPr>
      <w:r>
        <w:rPr>
          <w:rFonts w:hint="eastAsia" w:ascii="宋体" w:hAnsi="宋体"/>
          <w:color w:val="auto"/>
          <w:sz w:val="22"/>
          <w:szCs w:val="22"/>
        </w:rPr>
        <w:t>（3）其他价格形式合同进度付款申请单提交的约定：</w:t>
      </w:r>
      <w:r>
        <w:rPr>
          <w:rFonts w:hint="eastAsia" w:ascii="宋体" w:hAnsi="宋体"/>
          <w:color w:val="auto"/>
          <w:sz w:val="22"/>
          <w:szCs w:val="22"/>
          <w:u w:val="single"/>
        </w:rPr>
        <w:t xml:space="preserve">   /                  </w:t>
      </w:r>
      <w:r>
        <w:rPr>
          <w:rFonts w:hint="eastAsia" w:ascii="宋体" w:hAnsi="宋体"/>
          <w:color w:val="auto"/>
          <w:sz w:val="22"/>
          <w:szCs w:val="22"/>
        </w:rPr>
        <w:t>。</w:t>
      </w:r>
    </w:p>
    <w:p w14:paraId="14611307">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12.4.4 进度款审核和支付</w:t>
      </w:r>
    </w:p>
    <w:p w14:paraId="2FCE972F">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（1）监理人审查并报送发包人的期限：</w:t>
      </w:r>
      <w:r>
        <w:rPr>
          <w:rFonts w:hint="eastAsia" w:ascii="宋体" w:hAnsi="宋体"/>
          <w:color w:val="auto"/>
          <w:sz w:val="22"/>
          <w:szCs w:val="22"/>
          <w:u w:val="single"/>
        </w:rPr>
        <w:t xml:space="preserve">                  </w:t>
      </w:r>
      <w:r>
        <w:rPr>
          <w:rFonts w:hint="eastAsia" w:ascii="宋体" w:hAnsi="宋体"/>
          <w:color w:val="auto"/>
          <w:sz w:val="22"/>
          <w:szCs w:val="22"/>
        </w:rPr>
        <w:t>。</w:t>
      </w:r>
    </w:p>
    <w:p w14:paraId="30DFD596">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发包人完成审批并签发进度款支付证书的期限：</w:t>
      </w:r>
      <w:r>
        <w:rPr>
          <w:rFonts w:hint="eastAsia" w:ascii="宋体" w:hAnsi="宋体"/>
          <w:color w:val="auto"/>
          <w:sz w:val="22"/>
          <w:szCs w:val="22"/>
          <w:u w:val="single"/>
        </w:rPr>
        <w:t xml:space="preserve">           </w:t>
      </w:r>
      <w:r>
        <w:rPr>
          <w:rFonts w:hint="eastAsia" w:ascii="宋体" w:hAnsi="宋体"/>
          <w:color w:val="auto"/>
          <w:sz w:val="22"/>
          <w:szCs w:val="22"/>
        </w:rPr>
        <w:t>。</w:t>
      </w:r>
    </w:p>
    <w:p w14:paraId="4248DB43">
      <w:pPr>
        <w:snapToGrid w:val="0"/>
        <w:spacing w:line="440" w:lineRule="exact"/>
        <w:ind w:firstLine="420"/>
        <w:jc w:val="left"/>
        <w:outlineLvl w:val="9"/>
        <w:rPr>
          <w:rFonts w:hint="eastAsia" w:ascii="宋体" w:hAnsi="宋体"/>
          <w:b/>
          <w:color w:val="auto"/>
          <w:sz w:val="22"/>
          <w:szCs w:val="22"/>
          <w:u w:val="single"/>
        </w:rPr>
      </w:pPr>
      <w:r>
        <w:rPr>
          <w:rFonts w:hint="eastAsia" w:ascii="宋体" w:hAnsi="宋体"/>
          <w:color w:val="auto"/>
          <w:sz w:val="22"/>
          <w:szCs w:val="22"/>
        </w:rPr>
        <w:t>（2）发包人支付进度款的期限：</w:t>
      </w:r>
      <w:r>
        <w:rPr>
          <w:rFonts w:hint="eastAsia" w:ascii="宋体" w:hAnsi="宋体"/>
          <w:b/>
          <w:bCs/>
          <w:color w:val="auto"/>
          <w:sz w:val="22"/>
          <w:szCs w:val="22"/>
          <w:u w:val="single"/>
        </w:rPr>
        <w:t>合同签订</w:t>
      </w:r>
      <w:r>
        <w:rPr>
          <w:rFonts w:hint="eastAsia" w:ascii="宋体" w:hAnsi="宋体"/>
          <w:b/>
          <w:bCs/>
          <w:color w:val="auto"/>
          <w:sz w:val="22"/>
          <w:szCs w:val="22"/>
          <w:u w:val="single"/>
          <w:lang w:val="en-US" w:eastAsia="zh-CN"/>
        </w:rPr>
        <w:t>并</w:t>
      </w:r>
      <w:r>
        <w:rPr>
          <w:rFonts w:hint="eastAsia" w:ascii="宋体" w:hAnsi="宋体"/>
          <w:b/>
          <w:color w:val="auto"/>
          <w:sz w:val="22"/>
          <w:szCs w:val="22"/>
          <w:u w:val="single"/>
          <w:lang w:val="en-US" w:eastAsia="zh-CN"/>
        </w:rPr>
        <w:t>待财政资金下达后</w:t>
      </w:r>
      <w:r>
        <w:rPr>
          <w:rFonts w:hint="eastAsia" w:ascii="宋体" w:hAnsi="宋体"/>
          <w:b/>
          <w:color w:val="auto"/>
          <w:sz w:val="22"/>
          <w:szCs w:val="22"/>
          <w:u w:val="single"/>
        </w:rPr>
        <w:t>支付合同总额</w:t>
      </w:r>
      <w:r>
        <w:rPr>
          <w:rFonts w:ascii="宋体" w:hAnsi="宋体"/>
          <w:b/>
          <w:color w:val="auto"/>
          <w:sz w:val="22"/>
          <w:szCs w:val="22"/>
          <w:u w:val="single"/>
        </w:rPr>
        <w:t>30%</w:t>
      </w:r>
      <w:r>
        <w:rPr>
          <w:rFonts w:hint="eastAsia" w:ascii="宋体" w:hAnsi="宋体"/>
          <w:b/>
          <w:color w:val="auto"/>
          <w:sz w:val="22"/>
          <w:szCs w:val="22"/>
          <w:u w:val="single"/>
        </w:rPr>
        <w:t>的预付款；工程竣工验收合格后</w:t>
      </w:r>
      <w:r>
        <w:rPr>
          <w:rFonts w:hint="eastAsia" w:ascii="宋体" w:hAnsi="宋体"/>
          <w:b/>
          <w:color w:val="auto"/>
          <w:sz w:val="22"/>
          <w:szCs w:val="22"/>
          <w:u w:val="single"/>
          <w:lang w:val="en-US" w:eastAsia="zh-CN"/>
        </w:rPr>
        <w:t>待财政资金下达后</w:t>
      </w:r>
      <w:r>
        <w:rPr>
          <w:rFonts w:hint="eastAsia" w:ascii="宋体" w:hAnsi="宋体"/>
          <w:b/>
          <w:color w:val="auto"/>
          <w:sz w:val="22"/>
          <w:szCs w:val="22"/>
          <w:u w:val="single"/>
        </w:rPr>
        <w:t>支付至</w:t>
      </w:r>
      <w:r>
        <w:rPr>
          <w:rFonts w:hint="eastAsia" w:ascii="宋体" w:hAnsi="宋体"/>
          <w:b/>
          <w:color w:val="auto"/>
          <w:sz w:val="22"/>
          <w:szCs w:val="22"/>
          <w:u w:val="single"/>
          <w:lang w:val="en-US" w:eastAsia="zh-CN"/>
        </w:rPr>
        <w:t>合同总额</w:t>
      </w:r>
      <w:r>
        <w:rPr>
          <w:rFonts w:hint="eastAsia" w:ascii="宋体" w:hAnsi="宋体"/>
          <w:b/>
          <w:color w:val="auto"/>
          <w:sz w:val="22"/>
          <w:szCs w:val="22"/>
          <w:u w:val="single"/>
        </w:rPr>
        <w:t>80%的工程</w:t>
      </w:r>
      <w:r>
        <w:rPr>
          <w:rFonts w:hint="eastAsia" w:ascii="宋体" w:hAnsi="宋体"/>
          <w:b/>
          <w:color w:val="auto"/>
          <w:sz w:val="22"/>
          <w:szCs w:val="22"/>
          <w:u w:val="single"/>
          <w:lang w:val="en-US" w:eastAsia="zh-CN"/>
        </w:rPr>
        <w:t>进度</w:t>
      </w:r>
      <w:r>
        <w:rPr>
          <w:rFonts w:hint="eastAsia" w:ascii="宋体" w:hAnsi="宋体"/>
          <w:b/>
          <w:color w:val="auto"/>
          <w:sz w:val="22"/>
          <w:szCs w:val="22"/>
          <w:u w:val="single"/>
        </w:rPr>
        <w:t>款；竣工结算完成后，付至结算价</w:t>
      </w:r>
      <w:r>
        <w:rPr>
          <w:rFonts w:hint="eastAsia" w:ascii="宋体" w:hAnsi="宋体"/>
          <w:b/>
          <w:color w:val="auto"/>
          <w:sz w:val="22"/>
          <w:szCs w:val="22"/>
          <w:u w:val="single"/>
          <w:lang w:eastAsia="zh-CN"/>
        </w:rPr>
        <w:t>（</w:t>
      </w:r>
      <w:r>
        <w:rPr>
          <w:rFonts w:hint="eastAsia" w:ascii="宋体" w:hAnsi="宋体"/>
          <w:b/>
          <w:color w:val="auto"/>
          <w:sz w:val="22"/>
          <w:szCs w:val="22"/>
          <w:u w:val="single"/>
          <w:lang w:val="en-US" w:eastAsia="zh-CN"/>
        </w:rPr>
        <w:t>以最终审价为准</w:t>
      </w:r>
      <w:r>
        <w:rPr>
          <w:rFonts w:hint="eastAsia" w:ascii="宋体" w:hAnsi="宋体"/>
          <w:b/>
          <w:color w:val="auto"/>
          <w:sz w:val="22"/>
          <w:szCs w:val="22"/>
          <w:u w:val="single"/>
          <w:lang w:eastAsia="zh-CN"/>
        </w:rPr>
        <w:t>）</w:t>
      </w:r>
      <w:r>
        <w:rPr>
          <w:rFonts w:hint="eastAsia" w:ascii="宋体" w:hAnsi="宋体"/>
          <w:b/>
          <w:color w:val="auto"/>
          <w:sz w:val="22"/>
          <w:szCs w:val="22"/>
          <w:u w:val="single"/>
        </w:rPr>
        <w:t>的100%，同时无息退还履约保证金，承包人另行提交结算款的1.5%（允许使用银行转账或保函）作为工程质量保修担保金（不计利息）。 竣工验收完成后2个月内必须提交工程结算资料，否则迟一天罚款1000元人民币。</w:t>
      </w:r>
    </w:p>
    <w:p w14:paraId="19DED169">
      <w:pPr>
        <w:snapToGrid w:val="0"/>
        <w:spacing w:line="440" w:lineRule="exact"/>
        <w:ind w:firstLine="420"/>
        <w:jc w:val="left"/>
        <w:outlineLvl w:val="9"/>
        <w:rPr>
          <w:rFonts w:hint="eastAsia" w:ascii="宋体" w:hAnsi="宋体"/>
          <w:b/>
          <w:color w:val="auto"/>
          <w:sz w:val="22"/>
          <w:szCs w:val="22"/>
          <w:u w:val="single"/>
        </w:rPr>
      </w:pPr>
      <w:r>
        <w:rPr>
          <w:rFonts w:hint="eastAsia" w:ascii="宋体" w:hAnsi="宋体"/>
          <w:b/>
          <w:color w:val="auto"/>
          <w:sz w:val="22"/>
          <w:szCs w:val="22"/>
          <w:u w:val="single"/>
        </w:rPr>
        <w:t>二年保修期满后，扣除由发包人垫付的应由承包人承担的维修款后，一次性退还（保修期从竣工验收存在问题全部整改完成并经核实之日起开始计算）。</w:t>
      </w:r>
    </w:p>
    <w:p w14:paraId="18B27B15">
      <w:pPr>
        <w:snapToGrid w:val="0"/>
        <w:spacing w:line="440" w:lineRule="exact"/>
        <w:ind w:firstLine="422"/>
        <w:jc w:val="left"/>
        <w:outlineLvl w:val="9"/>
        <w:rPr>
          <w:rFonts w:ascii="宋体" w:hAnsi="宋体"/>
          <w:b/>
          <w:color w:val="auto"/>
          <w:sz w:val="22"/>
          <w:szCs w:val="22"/>
          <w:u w:val="single"/>
        </w:rPr>
      </w:pPr>
      <w:r>
        <w:rPr>
          <w:rFonts w:hint="eastAsia" w:ascii="宋体" w:hAnsi="宋体"/>
          <w:b/>
          <w:color w:val="auto"/>
          <w:sz w:val="22"/>
          <w:szCs w:val="22"/>
          <w:u w:val="single"/>
        </w:rPr>
        <w:t>保修期期间如出现质量问题，承包人在接到发包人维修通知后2天内没有响应，发包人将自行委托维修，费用在工程质量保修担保金中扣除，并加收50%管理费用及罚金。</w:t>
      </w:r>
    </w:p>
    <w:p w14:paraId="74504EDE">
      <w:pPr>
        <w:snapToGrid w:val="0"/>
        <w:spacing w:line="440" w:lineRule="exact"/>
        <w:ind w:firstLine="422"/>
        <w:jc w:val="left"/>
        <w:outlineLvl w:val="9"/>
        <w:rPr>
          <w:rFonts w:hint="eastAsia" w:ascii="宋体" w:hAnsi="宋体"/>
          <w:b/>
          <w:color w:val="auto"/>
          <w:sz w:val="22"/>
          <w:szCs w:val="22"/>
          <w:u w:val="single"/>
        </w:rPr>
      </w:pPr>
      <w:r>
        <w:rPr>
          <w:rFonts w:hint="eastAsia" w:ascii="宋体" w:hAnsi="宋体"/>
          <w:b/>
          <w:color w:val="auto"/>
          <w:sz w:val="22"/>
          <w:szCs w:val="22"/>
          <w:u w:val="single"/>
        </w:rPr>
        <w:t>承包人在预验收后，应该清运建筑垃圾及可能影响其他工程施工的材料。否则发包人有权自行处理，费用由承包人承担。</w:t>
      </w:r>
    </w:p>
    <w:p w14:paraId="6BBD148C">
      <w:pPr>
        <w:spacing w:line="440" w:lineRule="exact"/>
        <w:ind w:firstLine="550" w:firstLineChars="250"/>
        <w:jc w:val="left"/>
        <w:outlineLvl w:val="9"/>
        <w:rPr>
          <w:rFonts w:ascii="宋体" w:hAnsi="宋体"/>
          <w:color w:val="auto"/>
          <w:sz w:val="22"/>
          <w:szCs w:val="22"/>
          <w:u w:val="single"/>
        </w:rPr>
      </w:pPr>
      <w:r>
        <w:rPr>
          <w:rFonts w:hint="eastAsia" w:ascii="宋体" w:hAnsi="宋体"/>
          <w:color w:val="auto"/>
          <w:sz w:val="22"/>
          <w:szCs w:val="22"/>
        </w:rPr>
        <w:t>发包人逾期支付进度款的违约金的计算方式：</w:t>
      </w:r>
      <w:r>
        <w:rPr>
          <w:rFonts w:hint="eastAsia" w:ascii="宋体" w:hAnsi="宋体"/>
          <w:color w:val="auto"/>
          <w:sz w:val="22"/>
          <w:szCs w:val="22"/>
          <w:u w:val="single"/>
        </w:rPr>
        <w:t xml:space="preserve">   按通用条款   </w:t>
      </w:r>
      <w:r>
        <w:rPr>
          <w:rFonts w:hint="eastAsia" w:ascii="宋体" w:hAnsi="宋体"/>
          <w:color w:val="auto"/>
          <w:sz w:val="22"/>
          <w:szCs w:val="22"/>
        </w:rPr>
        <w:t>。</w:t>
      </w:r>
    </w:p>
    <w:p w14:paraId="262CEA1E">
      <w:pPr>
        <w:spacing w:line="440" w:lineRule="exact"/>
        <w:ind w:firstLine="550" w:firstLineChars="250"/>
        <w:jc w:val="left"/>
        <w:outlineLvl w:val="9"/>
        <w:rPr>
          <w:rFonts w:ascii="宋体" w:hAnsi="宋体"/>
          <w:color w:val="auto"/>
          <w:sz w:val="22"/>
          <w:szCs w:val="22"/>
        </w:rPr>
      </w:pPr>
      <w:r>
        <w:rPr>
          <w:rFonts w:hint="eastAsia" w:ascii="宋体" w:hAnsi="宋体"/>
          <w:color w:val="auto"/>
          <w:sz w:val="22"/>
          <w:szCs w:val="22"/>
        </w:rPr>
        <w:t>12.4.6 支付分解表的编制</w:t>
      </w:r>
    </w:p>
    <w:p w14:paraId="7336F625">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2、总价合同支付分解表的编制与审批：</w:t>
      </w:r>
      <w:r>
        <w:rPr>
          <w:rFonts w:hint="eastAsia" w:ascii="宋体" w:hAnsi="宋体"/>
          <w:color w:val="auto"/>
          <w:sz w:val="22"/>
          <w:szCs w:val="22"/>
          <w:u w:val="single"/>
        </w:rPr>
        <w:t xml:space="preserve">     无          </w:t>
      </w:r>
      <w:r>
        <w:rPr>
          <w:rFonts w:hint="eastAsia" w:ascii="宋体" w:hAnsi="宋体"/>
          <w:color w:val="auto"/>
          <w:sz w:val="22"/>
          <w:szCs w:val="22"/>
        </w:rPr>
        <w:t>。</w:t>
      </w:r>
    </w:p>
    <w:p w14:paraId="760F8FFA">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3、单价合同的总价项目支付分解表的编制与审批：</w:t>
      </w:r>
      <w:r>
        <w:rPr>
          <w:rFonts w:hint="eastAsia" w:ascii="宋体" w:hAnsi="宋体"/>
          <w:color w:val="auto"/>
          <w:sz w:val="22"/>
          <w:szCs w:val="22"/>
          <w:u w:val="single"/>
        </w:rPr>
        <w:t xml:space="preserve">     无    </w:t>
      </w:r>
      <w:r>
        <w:rPr>
          <w:rFonts w:hint="eastAsia" w:ascii="宋体" w:hAnsi="宋体"/>
          <w:color w:val="auto"/>
          <w:sz w:val="22"/>
          <w:szCs w:val="22"/>
        </w:rPr>
        <w:t xml:space="preserve">  。</w:t>
      </w:r>
    </w:p>
    <w:p w14:paraId="415A6997">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13. 验收和工程试车</w:t>
      </w:r>
    </w:p>
    <w:p w14:paraId="611D2584">
      <w:pPr>
        <w:spacing w:line="440" w:lineRule="exact"/>
        <w:ind w:firstLine="420"/>
        <w:outlineLvl w:val="9"/>
        <w:rPr>
          <w:rFonts w:ascii="宋体" w:hAnsi="宋体"/>
          <w:color w:val="auto"/>
          <w:sz w:val="22"/>
          <w:szCs w:val="22"/>
        </w:rPr>
      </w:pPr>
      <w:r>
        <w:rPr>
          <w:rFonts w:hint="eastAsia" w:ascii="宋体" w:hAnsi="宋体"/>
          <w:color w:val="auto"/>
          <w:sz w:val="22"/>
          <w:szCs w:val="22"/>
        </w:rPr>
        <w:t>13.1 分部分项工程验收</w:t>
      </w:r>
    </w:p>
    <w:p w14:paraId="35E0EB14">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13.1.2监理人不能按时进行验收时，应提前</w:t>
      </w:r>
      <w:r>
        <w:rPr>
          <w:rFonts w:hint="eastAsia" w:ascii="宋体" w:hAnsi="宋体"/>
          <w:color w:val="auto"/>
          <w:sz w:val="22"/>
          <w:szCs w:val="22"/>
          <w:u w:val="single"/>
        </w:rPr>
        <w:t>24</w:t>
      </w:r>
      <w:r>
        <w:rPr>
          <w:rFonts w:hint="eastAsia" w:ascii="宋体" w:hAnsi="宋体"/>
          <w:color w:val="auto"/>
          <w:sz w:val="22"/>
          <w:szCs w:val="22"/>
        </w:rPr>
        <w:t>小时提交书面延期要求。</w:t>
      </w:r>
    </w:p>
    <w:p w14:paraId="4D2AB149">
      <w:pPr>
        <w:spacing w:line="440" w:lineRule="exact"/>
        <w:ind w:firstLine="420"/>
        <w:jc w:val="left"/>
        <w:outlineLvl w:val="9"/>
        <w:rPr>
          <w:rFonts w:ascii="宋体" w:hAnsi="宋体"/>
          <w:b/>
          <w:color w:val="auto"/>
          <w:sz w:val="22"/>
          <w:szCs w:val="22"/>
        </w:rPr>
      </w:pPr>
      <w:r>
        <w:rPr>
          <w:rFonts w:hint="eastAsia" w:ascii="宋体" w:hAnsi="宋体"/>
          <w:color w:val="auto"/>
          <w:sz w:val="22"/>
          <w:szCs w:val="22"/>
        </w:rPr>
        <w:t>关于延期最长不得超过：</w:t>
      </w:r>
      <w:r>
        <w:rPr>
          <w:rFonts w:hint="eastAsia" w:ascii="宋体" w:hAnsi="宋体"/>
          <w:color w:val="auto"/>
          <w:sz w:val="22"/>
          <w:szCs w:val="22"/>
          <w:u w:val="single"/>
        </w:rPr>
        <w:t>48</w:t>
      </w:r>
      <w:r>
        <w:rPr>
          <w:rFonts w:hint="eastAsia" w:ascii="宋体" w:hAnsi="宋体"/>
          <w:color w:val="auto"/>
          <w:sz w:val="22"/>
          <w:szCs w:val="22"/>
        </w:rPr>
        <w:t>小时。</w:t>
      </w:r>
    </w:p>
    <w:p w14:paraId="49E83B05">
      <w:pPr>
        <w:spacing w:line="440" w:lineRule="exact"/>
        <w:ind w:firstLine="420"/>
        <w:outlineLvl w:val="9"/>
        <w:rPr>
          <w:rFonts w:ascii="宋体" w:hAnsi="宋体"/>
          <w:color w:val="auto"/>
          <w:sz w:val="22"/>
          <w:szCs w:val="22"/>
        </w:rPr>
      </w:pPr>
      <w:r>
        <w:rPr>
          <w:rFonts w:hint="eastAsia" w:ascii="宋体" w:hAnsi="宋体"/>
          <w:color w:val="auto"/>
          <w:sz w:val="22"/>
          <w:szCs w:val="22"/>
        </w:rPr>
        <w:t>13.2 竣工验收</w:t>
      </w:r>
    </w:p>
    <w:p w14:paraId="5A08678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13.2.2竣工验收程序</w:t>
      </w:r>
    </w:p>
    <w:p w14:paraId="3E4D7F3C">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关于竣工验收程序的约定：</w:t>
      </w:r>
      <w:r>
        <w:rPr>
          <w:rFonts w:hint="eastAsia" w:ascii="宋体" w:hAnsi="宋体"/>
          <w:color w:val="auto"/>
          <w:sz w:val="22"/>
          <w:szCs w:val="22"/>
          <w:u w:val="single"/>
        </w:rPr>
        <w:t>按通用合同条款第13.2.2款执行。</w:t>
      </w:r>
    </w:p>
    <w:p w14:paraId="5B314F91">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发包人不按照本项约定组织竣工验收、颁发工程接收证书的违约金的计算方法：</w:t>
      </w:r>
      <w:r>
        <w:rPr>
          <w:rFonts w:hint="eastAsia" w:ascii="宋体" w:hAnsi="宋体"/>
          <w:color w:val="auto"/>
          <w:sz w:val="22"/>
          <w:szCs w:val="22"/>
          <w:u w:val="single"/>
        </w:rPr>
        <w:t xml:space="preserve">        </w:t>
      </w:r>
      <w:r>
        <w:rPr>
          <w:rFonts w:hint="eastAsia" w:ascii="宋体" w:hAnsi="宋体"/>
          <w:color w:val="auto"/>
          <w:sz w:val="22"/>
          <w:szCs w:val="22"/>
        </w:rPr>
        <w:t>。</w:t>
      </w:r>
    </w:p>
    <w:p w14:paraId="36D72F5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13.2.5移交、接收全部与部分工程</w:t>
      </w:r>
    </w:p>
    <w:p w14:paraId="0F96E5B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承包人向发包人移交工程的期限：</w:t>
      </w:r>
      <w:r>
        <w:rPr>
          <w:rFonts w:hint="eastAsia" w:ascii="宋体" w:hAnsi="宋体"/>
          <w:color w:val="auto"/>
          <w:sz w:val="22"/>
          <w:szCs w:val="22"/>
          <w:u w:val="single"/>
        </w:rPr>
        <w:t>在颁发工程接收证书后7天内完成</w:t>
      </w:r>
      <w:r>
        <w:rPr>
          <w:rFonts w:hint="eastAsia" w:ascii="宋体" w:hAnsi="宋体"/>
          <w:color w:val="auto"/>
          <w:sz w:val="22"/>
          <w:szCs w:val="22"/>
        </w:rPr>
        <w:t>。</w:t>
      </w:r>
    </w:p>
    <w:p w14:paraId="54F6E50B">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发包人未按本合同约定接收全部或部分工程的，违约金的计算方法为：</w:t>
      </w:r>
      <w:r>
        <w:rPr>
          <w:rFonts w:hint="eastAsia" w:ascii="宋体" w:hAnsi="宋体"/>
          <w:color w:val="auto"/>
          <w:sz w:val="22"/>
          <w:szCs w:val="22"/>
          <w:u w:val="single"/>
        </w:rPr>
        <w:t>按通用合同条款第13.2.5款执行。</w:t>
      </w:r>
    </w:p>
    <w:p w14:paraId="2E8C38FD">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承包人未按时移交工程的，违约金的计算方法为：</w:t>
      </w:r>
      <w:r>
        <w:rPr>
          <w:rFonts w:hint="eastAsia" w:ascii="宋体" w:hAnsi="宋体"/>
          <w:color w:val="auto"/>
          <w:sz w:val="22"/>
          <w:szCs w:val="22"/>
          <w:u w:val="single"/>
        </w:rPr>
        <w:t xml:space="preserve">    /      </w:t>
      </w:r>
      <w:r>
        <w:rPr>
          <w:rFonts w:hint="eastAsia" w:ascii="宋体" w:hAnsi="宋体"/>
          <w:color w:val="auto"/>
          <w:sz w:val="22"/>
          <w:szCs w:val="22"/>
        </w:rPr>
        <w:t>。</w:t>
      </w:r>
    </w:p>
    <w:p w14:paraId="25BF89E8">
      <w:pPr>
        <w:spacing w:line="440" w:lineRule="exact"/>
        <w:ind w:firstLine="420"/>
        <w:outlineLvl w:val="9"/>
        <w:rPr>
          <w:rFonts w:ascii="宋体" w:hAnsi="宋体"/>
          <w:color w:val="auto"/>
          <w:sz w:val="22"/>
          <w:szCs w:val="22"/>
        </w:rPr>
      </w:pPr>
      <w:r>
        <w:rPr>
          <w:rFonts w:hint="eastAsia" w:ascii="宋体" w:hAnsi="宋体"/>
          <w:color w:val="auto"/>
          <w:sz w:val="22"/>
          <w:szCs w:val="22"/>
        </w:rPr>
        <w:t>13.3 工程试车</w:t>
      </w:r>
    </w:p>
    <w:p w14:paraId="705CACB0">
      <w:pPr>
        <w:spacing w:line="440" w:lineRule="exact"/>
        <w:ind w:firstLine="420"/>
        <w:jc w:val="left"/>
        <w:outlineLvl w:val="9"/>
        <w:rPr>
          <w:rFonts w:hint="eastAsia" w:ascii="宋体" w:hAnsi="宋体"/>
          <w:color w:val="auto"/>
          <w:sz w:val="22"/>
          <w:szCs w:val="22"/>
        </w:rPr>
      </w:pPr>
      <w:r>
        <w:rPr>
          <w:rFonts w:hint="eastAsia" w:ascii="宋体" w:hAnsi="宋体"/>
          <w:color w:val="auto"/>
          <w:sz w:val="22"/>
          <w:szCs w:val="22"/>
        </w:rPr>
        <w:t>无。</w:t>
      </w:r>
    </w:p>
    <w:p w14:paraId="46C9037D">
      <w:pPr>
        <w:spacing w:line="440" w:lineRule="exact"/>
        <w:ind w:firstLine="420"/>
        <w:outlineLvl w:val="9"/>
        <w:rPr>
          <w:rFonts w:ascii="宋体" w:hAnsi="宋体"/>
          <w:color w:val="auto"/>
          <w:sz w:val="22"/>
          <w:szCs w:val="22"/>
        </w:rPr>
      </w:pPr>
      <w:r>
        <w:rPr>
          <w:rFonts w:hint="eastAsia" w:ascii="宋体" w:hAnsi="宋体"/>
          <w:color w:val="auto"/>
          <w:sz w:val="22"/>
          <w:szCs w:val="22"/>
        </w:rPr>
        <w:t>13.6 竣工退场</w:t>
      </w:r>
    </w:p>
    <w:p w14:paraId="22E371A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13.6.1 竣工退场</w:t>
      </w:r>
    </w:p>
    <w:p w14:paraId="5EC3D9DD">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承包人完成竣工退场的期限：</w:t>
      </w:r>
      <w:r>
        <w:rPr>
          <w:rFonts w:hint="eastAsia" w:ascii="宋体" w:hAnsi="宋体"/>
          <w:color w:val="auto"/>
          <w:sz w:val="22"/>
          <w:szCs w:val="22"/>
          <w:u w:val="single"/>
        </w:rPr>
        <w:t>颁发工程接收证书后28天内</w:t>
      </w:r>
      <w:r>
        <w:rPr>
          <w:rFonts w:hint="eastAsia" w:ascii="宋体" w:hAnsi="宋体"/>
          <w:color w:val="auto"/>
          <w:sz w:val="22"/>
          <w:szCs w:val="22"/>
        </w:rPr>
        <w:t>。</w:t>
      </w:r>
    </w:p>
    <w:p w14:paraId="3E9E807F">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14. 竣工结算</w:t>
      </w:r>
    </w:p>
    <w:p w14:paraId="4D5D61B9">
      <w:pPr>
        <w:spacing w:line="440" w:lineRule="exact"/>
        <w:ind w:firstLine="420"/>
        <w:outlineLvl w:val="9"/>
        <w:rPr>
          <w:rFonts w:ascii="宋体" w:hAnsi="宋体"/>
          <w:color w:val="auto"/>
          <w:sz w:val="22"/>
          <w:szCs w:val="22"/>
        </w:rPr>
      </w:pPr>
      <w:r>
        <w:rPr>
          <w:rFonts w:hint="eastAsia" w:ascii="宋体" w:hAnsi="宋体"/>
          <w:color w:val="auto"/>
          <w:sz w:val="22"/>
          <w:szCs w:val="22"/>
        </w:rPr>
        <w:t>14.1 竣工付款申请</w:t>
      </w:r>
    </w:p>
    <w:p w14:paraId="6F48D59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承包人提交竣工付款申请单的期限：</w:t>
      </w:r>
    </w:p>
    <w:p w14:paraId="0C9554BF">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1)承包人完成本合同约定工程内容并经竣工验收合格后7天内，承包人应当及时提交合同价款结算报告。承包人逾期没有提交合同价款结算报告的，发包人应当以书面方式予以催促，经催促后28天内仍未提交的，发包人可自行或委托工程造价咨询机构编制合同价款结算报告并提交政府职能部门审核。</w:t>
      </w:r>
    </w:p>
    <w:p w14:paraId="15D2FD15">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2)承包人提交合同价款结算报告应当符合浙江省建设工程造价咨询成果操作规程关于结算技术文件的规定格式要求。</w:t>
      </w:r>
    </w:p>
    <w:p w14:paraId="799C3A49">
      <w:pPr>
        <w:spacing w:line="440" w:lineRule="exact"/>
        <w:ind w:firstLine="444" w:firstLineChars="202"/>
        <w:outlineLvl w:val="9"/>
        <w:rPr>
          <w:rFonts w:hint="eastAsia" w:ascii="宋体" w:hAnsi="宋体"/>
          <w:color w:val="auto"/>
          <w:sz w:val="22"/>
          <w:szCs w:val="22"/>
          <w:u w:val="single"/>
        </w:rPr>
      </w:pPr>
      <w:r>
        <w:rPr>
          <w:rFonts w:hint="eastAsia" w:ascii="宋体" w:hAnsi="宋体"/>
          <w:color w:val="auto"/>
          <w:sz w:val="22"/>
          <w:szCs w:val="22"/>
          <w:u w:val="single"/>
        </w:rPr>
        <w:t>3)承包人提交合同价款结算报告应当同时附有经监理工程师确认完整的工程竣工验收资料移交清单和工程合同履行文件移交清单。</w:t>
      </w:r>
    </w:p>
    <w:p w14:paraId="3579977F">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4)发包人接到承包人合同价款结算报告后，应当在7天内就其完整性、真实性做出审核意见并提交政府职能部门审核。发包人可以要求承包人在7天内修正结算报告或进一步补充结算资料，承包人应当修正或按要求补充资料。承包人逾期或未提交修正意见或结算资料的，视为放弃相应的权利。</w:t>
      </w:r>
    </w:p>
    <w:p w14:paraId="7BF8B549">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5)发包人提交合同价款结算报告及完整结算资料后，根据学校审计部门的相关规定执行。</w:t>
      </w:r>
    </w:p>
    <w:p w14:paraId="13D6B2FE">
      <w:pPr>
        <w:spacing w:line="440" w:lineRule="exact"/>
        <w:ind w:firstLine="420"/>
        <w:outlineLvl w:val="9"/>
        <w:rPr>
          <w:rFonts w:ascii="宋体" w:hAnsi="宋体"/>
          <w:color w:val="auto"/>
          <w:sz w:val="22"/>
          <w:szCs w:val="22"/>
          <w:u w:val="single"/>
        </w:rPr>
      </w:pPr>
      <w:r>
        <w:rPr>
          <w:rFonts w:hint="eastAsia" w:ascii="宋体" w:hAnsi="宋体"/>
          <w:color w:val="auto"/>
          <w:sz w:val="22"/>
          <w:szCs w:val="22"/>
          <w:u w:val="single"/>
        </w:rPr>
        <w:t>6)承包人合同价款结算报告经审核后，核减率超过百分之五的，超过部分的审核费用及核增部分的审核费用由承包人承担，发包人可直接在结算尾款中予以扣除。</w:t>
      </w:r>
    </w:p>
    <w:p w14:paraId="1F83C75D">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u w:val="single"/>
        </w:rPr>
        <w:t>7)承发包双方办理工程结算完毕后，发包人按照《</w:t>
      </w:r>
      <w:r>
        <w:rPr>
          <w:rFonts w:ascii="宋体" w:hAnsi="宋体"/>
          <w:color w:val="auto"/>
          <w:sz w:val="22"/>
          <w:szCs w:val="22"/>
          <w:u w:val="single"/>
        </w:rPr>
        <w:t>关于转发《浙江省国有投资建设工程招标控制价、成交价、竣工结算价信息报送和公开管理办法》的通知</w:t>
      </w:r>
      <w:r>
        <w:rPr>
          <w:rFonts w:hint="eastAsia" w:ascii="宋体" w:hAnsi="宋体"/>
          <w:color w:val="auto"/>
          <w:sz w:val="22"/>
          <w:szCs w:val="22"/>
          <w:u w:val="single"/>
        </w:rPr>
        <w:t>》（温住建发[2013]2号）的规定执行。</w:t>
      </w:r>
    </w:p>
    <w:p w14:paraId="7116BEB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14.2.2发包人完成竣工付款的期限：</w:t>
      </w:r>
      <w:r>
        <w:rPr>
          <w:rFonts w:hint="eastAsia" w:ascii="宋体" w:hAnsi="宋体"/>
          <w:color w:val="auto"/>
          <w:sz w:val="22"/>
          <w:szCs w:val="22"/>
          <w:u w:val="single"/>
        </w:rPr>
        <w:t>按通用合同条款第14.2款执行</w:t>
      </w:r>
      <w:r>
        <w:rPr>
          <w:rFonts w:hint="eastAsia" w:ascii="宋体" w:hAnsi="宋体"/>
          <w:color w:val="auto"/>
          <w:sz w:val="22"/>
          <w:szCs w:val="22"/>
        </w:rPr>
        <w:t>。</w:t>
      </w:r>
    </w:p>
    <w:p w14:paraId="3FBBF803">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14.2.3关于竣工付款证书异议部分复核的方式和程序：</w:t>
      </w:r>
      <w:r>
        <w:rPr>
          <w:rFonts w:hint="eastAsia" w:ascii="宋体" w:hAnsi="宋体"/>
          <w:color w:val="auto"/>
          <w:sz w:val="22"/>
          <w:szCs w:val="22"/>
          <w:u w:val="single"/>
        </w:rPr>
        <w:t>按通用合同条款第14.2款执行</w:t>
      </w:r>
      <w:r>
        <w:rPr>
          <w:rFonts w:hint="eastAsia" w:ascii="宋体" w:hAnsi="宋体"/>
          <w:color w:val="auto"/>
          <w:sz w:val="22"/>
          <w:szCs w:val="22"/>
        </w:rPr>
        <w:t>。</w:t>
      </w:r>
    </w:p>
    <w:p w14:paraId="21978565">
      <w:pPr>
        <w:spacing w:line="440" w:lineRule="exact"/>
        <w:ind w:firstLine="420"/>
        <w:outlineLvl w:val="9"/>
        <w:rPr>
          <w:rFonts w:ascii="宋体" w:hAnsi="宋体"/>
          <w:color w:val="auto"/>
          <w:sz w:val="22"/>
          <w:szCs w:val="22"/>
        </w:rPr>
      </w:pPr>
      <w:r>
        <w:rPr>
          <w:rFonts w:hint="eastAsia" w:ascii="宋体" w:hAnsi="宋体"/>
          <w:color w:val="auto"/>
          <w:sz w:val="22"/>
          <w:szCs w:val="22"/>
        </w:rPr>
        <w:t>14.4 最终结清</w:t>
      </w:r>
    </w:p>
    <w:p w14:paraId="3862DE6A">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14.4.1 最终结清申请单</w:t>
      </w:r>
    </w:p>
    <w:p w14:paraId="4A52E6B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承包人提交最终结清申请单的份数：</w:t>
      </w:r>
      <w:r>
        <w:rPr>
          <w:rFonts w:hint="eastAsia" w:ascii="宋体" w:hAnsi="宋体"/>
          <w:color w:val="auto"/>
          <w:sz w:val="22"/>
          <w:szCs w:val="22"/>
          <w:u w:val="single"/>
        </w:rPr>
        <w:t xml:space="preserve">   待定      </w:t>
      </w:r>
      <w:r>
        <w:rPr>
          <w:rFonts w:hint="eastAsia" w:ascii="宋体" w:hAnsi="宋体"/>
          <w:color w:val="auto"/>
          <w:sz w:val="22"/>
          <w:szCs w:val="22"/>
        </w:rPr>
        <w:t>。</w:t>
      </w:r>
    </w:p>
    <w:p w14:paraId="60BFEC74">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承包人提交最终结算申请单的期限：</w:t>
      </w:r>
      <w:r>
        <w:rPr>
          <w:rFonts w:hint="eastAsia" w:ascii="宋体" w:hAnsi="宋体"/>
          <w:color w:val="auto"/>
          <w:sz w:val="22"/>
          <w:szCs w:val="22"/>
          <w:u w:val="single"/>
        </w:rPr>
        <w:t>在缺陷责任期终止证书颁发后7天内</w:t>
      </w:r>
      <w:r>
        <w:rPr>
          <w:rFonts w:hint="eastAsia" w:ascii="宋体" w:hAnsi="宋体"/>
          <w:color w:val="auto"/>
          <w:sz w:val="22"/>
          <w:szCs w:val="22"/>
        </w:rPr>
        <w:t xml:space="preserve">。 </w:t>
      </w:r>
    </w:p>
    <w:p w14:paraId="61353D7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14.4.2 最终结清证书和支付</w:t>
      </w:r>
    </w:p>
    <w:p w14:paraId="52F3E2C3">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（1）发包人完成最终结清申请单的审批并颁发最终结清证书的期限：</w:t>
      </w:r>
      <w:r>
        <w:rPr>
          <w:rFonts w:hint="eastAsia" w:ascii="宋体" w:hAnsi="宋体"/>
          <w:color w:val="auto"/>
          <w:sz w:val="22"/>
          <w:szCs w:val="22"/>
          <w:u w:val="single"/>
        </w:rPr>
        <w:t>收到承包人提交的最终结算申请单后14天内</w:t>
      </w:r>
      <w:r>
        <w:rPr>
          <w:rFonts w:hint="eastAsia" w:ascii="宋体" w:hAnsi="宋体"/>
          <w:color w:val="auto"/>
          <w:sz w:val="22"/>
          <w:szCs w:val="22"/>
        </w:rPr>
        <w:t>。</w:t>
      </w:r>
    </w:p>
    <w:p w14:paraId="770CCAAA">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（2）发包人完成支付的期限：</w:t>
      </w:r>
      <w:r>
        <w:rPr>
          <w:rFonts w:hint="eastAsia" w:ascii="宋体" w:hAnsi="宋体"/>
          <w:color w:val="auto"/>
          <w:sz w:val="22"/>
          <w:szCs w:val="22"/>
          <w:u w:val="single"/>
        </w:rPr>
        <w:t>颁发最终结清证书后7天内</w:t>
      </w:r>
      <w:r>
        <w:rPr>
          <w:rFonts w:hint="eastAsia" w:ascii="宋体" w:hAnsi="宋体"/>
          <w:color w:val="auto"/>
          <w:sz w:val="22"/>
          <w:szCs w:val="22"/>
        </w:rPr>
        <w:t>。</w:t>
      </w:r>
    </w:p>
    <w:p w14:paraId="7C091639">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15. 缺陷责任期与保修</w:t>
      </w:r>
    </w:p>
    <w:p w14:paraId="3F1F6D01">
      <w:pPr>
        <w:spacing w:line="440" w:lineRule="exact"/>
        <w:ind w:firstLine="420"/>
        <w:outlineLvl w:val="9"/>
        <w:rPr>
          <w:rFonts w:ascii="宋体" w:hAnsi="宋体"/>
          <w:color w:val="auto"/>
          <w:sz w:val="22"/>
          <w:szCs w:val="22"/>
        </w:rPr>
      </w:pPr>
      <w:r>
        <w:rPr>
          <w:rFonts w:hint="eastAsia" w:ascii="宋体" w:hAnsi="宋体"/>
          <w:color w:val="auto"/>
          <w:sz w:val="22"/>
          <w:szCs w:val="22"/>
        </w:rPr>
        <w:t>15.2缺陷责任期</w:t>
      </w:r>
    </w:p>
    <w:p w14:paraId="1C4738BC">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缺陷责任期的具体期限：</w:t>
      </w:r>
      <w:r>
        <w:rPr>
          <w:rFonts w:hint="eastAsia" w:ascii="宋体" w:hAnsi="宋体"/>
          <w:color w:val="auto"/>
          <w:sz w:val="22"/>
          <w:szCs w:val="22"/>
          <w:u w:val="single"/>
        </w:rPr>
        <w:t>自实际竣工日期起24个月</w:t>
      </w:r>
      <w:r>
        <w:rPr>
          <w:rFonts w:hint="eastAsia" w:ascii="宋体" w:hAnsi="宋体"/>
          <w:color w:val="auto"/>
          <w:sz w:val="22"/>
          <w:szCs w:val="22"/>
        </w:rPr>
        <w:t>。</w:t>
      </w:r>
    </w:p>
    <w:p w14:paraId="563ED757">
      <w:pPr>
        <w:spacing w:line="440" w:lineRule="exact"/>
        <w:ind w:firstLine="420"/>
        <w:outlineLvl w:val="9"/>
        <w:rPr>
          <w:rFonts w:ascii="宋体" w:hAnsi="宋体"/>
          <w:color w:val="auto"/>
          <w:sz w:val="22"/>
          <w:szCs w:val="22"/>
        </w:rPr>
      </w:pPr>
      <w:r>
        <w:rPr>
          <w:rFonts w:hint="eastAsia" w:ascii="宋体" w:hAnsi="宋体"/>
          <w:color w:val="auto"/>
          <w:sz w:val="22"/>
          <w:szCs w:val="22"/>
        </w:rPr>
        <w:t>15.3 质量保证金</w:t>
      </w:r>
    </w:p>
    <w:p w14:paraId="6A520D2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关于是否扣留质量保证金的约定：</w:t>
      </w:r>
      <w:r>
        <w:rPr>
          <w:rFonts w:hint="eastAsia" w:ascii="宋体" w:hAnsi="宋体"/>
          <w:color w:val="auto"/>
          <w:sz w:val="22"/>
          <w:szCs w:val="22"/>
          <w:u w:val="single"/>
        </w:rPr>
        <w:t xml:space="preserve">  是   </w:t>
      </w:r>
      <w:r>
        <w:rPr>
          <w:rFonts w:hint="eastAsia" w:ascii="宋体" w:hAnsi="宋体"/>
          <w:color w:val="auto"/>
          <w:sz w:val="22"/>
          <w:szCs w:val="22"/>
        </w:rPr>
        <w:t>。</w:t>
      </w:r>
    </w:p>
    <w:p w14:paraId="3E3596AA">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15.3.1 承包人提供质量保证金的方式</w:t>
      </w:r>
    </w:p>
    <w:p w14:paraId="6AB0C9A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质量保证金采用以下第</w:t>
      </w:r>
      <w:r>
        <w:rPr>
          <w:rFonts w:hint="eastAsia" w:ascii="宋体" w:hAnsi="宋体"/>
          <w:color w:val="auto"/>
          <w:sz w:val="22"/>
          <w:szCs w:val="22"/>
          <w:u w:val="single"/>
        </w:rPr>
        <w:t>2</w:t>
      </w:r>
      <w:r>
        <w:rPr>
          <w:rFonts w:hint="eastAsia" w:ascii="宋体" w:hAnsi="宋体"/>
          <w:color w:val="auto"/>
          <w:sz w:val="22"/>
          <w:szCs w:val="22"/>
        </w:rPr>
        <w:t>种方式：</w:t>
      </w:r>
    </w:p>
    <w:p w14:paraId="5FF2C2F5">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（1）质量保证金保函，保证金额为：</w:t>
      </w:r>
      <w:r>
        <w:rPr>
          <w:rFonts w:hint="eastAsia" w:ascii="宋体" w:hAnsi="宋体"/>
          <w:color w:val="auto"/>
          <w:sz w:val="22"/>
          <w:szCs w:val="22"/>
          <w:u w:val="single"/>
        </w:rPr>
        <w:t xml:space="preserve">                   </w:t>
      </w:r>
      <w:r>
        <w:rPr>
          <w:rFonts w:hint="eastAsia" w:ascii="宋体" w:hAnsi="宋体"/>
          <w:color w:val="auto"/>
          <w:sz w:val="22"/>
          <w:szCs w:val="22"/>
        </w:rPr>
        <w:t xml:space="preserve">； </w:t>
      </w:r>
    </w:p>
    <w:p w14:paraId="20102C5F">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（2）</w:t>
      </w:r>
      <w:r>
        <w:rPr>
          <w:rFonts w:hint="eastAsia" w:ascii="宋体" w:hAnsi="宋体"/>
          <w:color w:val="auto"/>
          <w:sz w:val="22"/>
          <w:szCs w:val="22"/>
          <w:u w:val="single"/>
        </w:rPr>
        <w:t>1.5</w:t>
      </w:r>
      <w:r>
        <w:rPr>
          <w:rFonts w:hint="eastAsia" w:ascii="宋体" w:hAnsi="宋体"/>
          <w:color w:val="auto"/>
          <w:sz w:val="22"/>
          <w:szCs w:val="22"/>
        </w:rPr>
        <w:t>%的结算款；</w:t>
      </w:r>
    </w:p>
    <w:p w14:paraId="63B412D5">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（3）其他方式:</w:t>
      </w:r>
      <w:r>
        <w:rPr>
          <w:rFonts w:hint="eastAsia" w:ascii="宋体" w:hAnsi="宋体"/>
          <w:color w:val="auto"/>
          <w:sz w:val="22"/>
          <w:szCs w:val="22"/>
          <w:u w:val="single"/>
        </w:rPr>
        <w:t xml:space="preserve">                                       </w:t>
      </w:r>
      <w:r>
        <w:rPr>
          <w:rFonts w:hint="eastAsia" w:ascii="宋体" w:hAnsi="宋体"/>
          <w:color w:val="auto"/>
          <w:sz w:val="22"/>
          <w:szCs w:val="22"/>
        </w:rPr>
        <w:t>。</w:t>
      </w:r>
    </w:p>
    <w:p w14:paraId="7648E158">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 xml:space="preserve">15.3.2 质量保证金的扣留 </w:t>
      </w:r>
    </w:p>
    <w:p w14:paraId="678E3F9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质量保证金的扣留采取以下第</w:t>
      </w:r>
      <w:r>
        <w:rPr>
          <w:rFonts w:hint="eastAsia" w:ascii="宋体" w:hAnsi="宋体"/>
          <w:color w:val="auto"/>
          <w:sz w:val="22"/>
          <w:szCs w:val="22"/>
          <w:u w:val="single"/>
        </w:rPr>
        <w:t>2</w:t>
      </w:r>
      <w:r>
        <w:rPr>
          <w:rFonts w:hint="eastAsia" w:ascii="宋体" w:hAnsi="宋体"/>
          <w:color w:val="auto"/>
          <w:sz w:val="22"/>
          <w:szCs w:val="22"/>
        </w:rPr>
        <w:t>种方式：</w:t>
      </w:r>
    </w:p>
    <w:p w14:paraId="62BBA91F">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（1）在支付工程进度款时逐次扣留，在此情形下，质量保证金的计算基数不包括预付款的支付、扣回以及价格调整的金额；</w:t>
      </w:r>
    </w:p>
    <w:p w14:paraId="20DAE00B">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（2）工程竣工结算时一次性扣留质量保证金；</w:t>
      </w:r>
    </w:p>
    <w:p w14:paraId="089EDCCA">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（3）其他扣留方式:</w:t>
      </w:r>
      <w:r>
        <w:rPr>
          <w:rFonts w:hint="eastAsia" w:ascii="宋体" w:hAnsi="宋体"/>
          <w:color w:val="auto"/>
          <w:sz w:val="22"/>
          <w:szCs w:val="22"/>
          <w:u w:val="single"/>
        </w:rPr>
        <w:t xml:space="preserve">                                     </w:t>
      </w:r>
      <w:r>
        <w:rPr>
          <w:rFonts w:hint="eastAsia" w:ascii="宋体" w:hAnsi="宋体"/>
          <w:color w:val="auto"/>
          <w:sz w:val="22"/>
          <w:szCs w:val="22"/>
        </w:rPr>
        <w:t>。</w:t>
      </w:r>
    </w:p>
    <w:p w14:paraId="078D5701">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关于质量保证金的补充约定：</w:t>
      </w:r>
      <w:r>
        <w:rPr>
          <w:rFonts w:hint="eastAsia" w:ascii="宋体" w:hAnsi="宋体"/>
          <w:color w:val="auto"/>
          <w:sz w:val="22"/>
          <w:szCs w:val="22"/>
          <w:u w:val="single"/>
        </w:rPr>
        <w:t xml:space="preserve">                            </w:t>
      </w:r>
      <w:r>
        <w:rPr>
          <w:rFonts w:hint="eastAsia" w:ascii="宋体" w:hAnsi="宋体"/>
          <w:color w:val="auto"/>
          <w:sz w:val="22"/>
          <w:szCs w:val="22"/>
        </w:rPr>
        <w:t>。</w:t>
      </w:r>
    </w:p>
    <w:p w14:paraId="7EA6ABA1">
      <w:pPr>
        <w:spacing w:line="440" w:lineRule="exact"/>
        <w:ind w:firstLine="420"/>
        <w:outlineLvl w:val="9"/>
        <w:rPr>
          <w:rFonts w:ascii="宋体" w:hAnsi="宋体"/>
          <w:color w:val="auto"/>
          <w:sz w:val="22"/>
          <w:szCs w:val="22"/>
        </w:rPr>
      </w:pPr>
      <w:r>
        <w:rPr>
          <w:rFonts w:hint="eastAsia" w:ascii="宋体" w:hAnsi="宋体"/>
          <w:color w:val="auto"/>
          <w:sz w:val="22"/>
          <w:szCs w:val="22"/>
        </w:rPr>
        <w:t>15.4保修</w:t>
      </w:r>
    </w:p>
    <w:p w14:paraId="66592177">
      <w:pPr>
        <w:spacing w:line="440" w:lineRule="exact"/>
        <w:ind w:firstLine="429" w:firstLineChars="195"/>
        <w:jc w:val="left"/>
        <w:outlineLvl w:val="9"/>
        <w:rPr>
          <w:rFonts w:ascii="宋体" w:hAnsi="宋体"/>
          <w:color w:val="auto"/>
          <w:sz w:val="22"/>
          <w:szCs w:val="22"/>
        </w:rPr>
      </w:pPr>
      <w:r>
        <w:rPr>
          <w:rFonts w:hint="eastAsia" w:ascii="宋体" w:hAnsi="宋体"/>
          <w:color w:val="auto"/>
          <w:sz w:val="22"/>
          <w:szCs w:val="22"/>
        </w:rPr>
        <w:t>15.4.1 保修责任</w:t>
      </w:r>
    </w:p>
    <w:p w14:paraId="72A67F44">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缺陷责任期为：</w:t>
      </w:r>
    </w:p>
    <w:p w14:paraId="282D46F0">
      <w:pPr>
        <w:spacing w:line="440" w:lineRule="exact"/>
        <w:ind w:firstLine="429" w:firstLineChars="195"/>
        <w:jc w:val="left"/>
        <w:outlineLvl w:val="9"/>
        <w:rPr>
          <w:rFonts w:ascii="宋体" w:hAnsi="宋体"/>
          <w:color w:val="auto"/>
          <w:sz w:val="22"/>
          <w:szCs w:val="22"/>
          <w:u w:val="single"/>
        </w:rPr>
      </w:pPr>
      <w:r>
        <w:rPr>
          <w:rFonts w:hint="eastAsia" w:ascii="宋体" w:hAnsi="宋体"/>
          <w:color w:val="auto"/>
          <w:sz w:val="22"/>
          <w:szCs w:val="22"/>
          <w:u w:val="single"/>
        </w:rPr>
        <w:t>本工程缺陷责任期为2年，自实际竣工日期起。</w:t>
      </w:r>
    </w:p>
    <w:p w14:paraId="5CF698E1">
      <w:pPr>
        <w:spacing w:line="440" w:lineRule="exact"/>
        <w:ind w:firstLine="429" w:firstLineChars="195"/>
        <w:jc w:val="left"/>
        <w:outlineLvl w:val="9"/>
        <w:rPr>
          <w:rFonts w:ascii="宋体" w:hAnsi="宋体"/>
          <w:color w:val="auto"/>
          <w:sz w:val="22"/>
          <w:szCs w:val="22"/>
        </w:rPr>
      </w:pPr>
      <w:r>
        <w:rPr>
          <w:rFonts w:hint="eastAsia" w:ascii="宋体" w:hAnsi="宋体"/>
          <w:color w:val="auto"/>
          <w:sz w:val="22"/>
          <w:szCs w:val="22"/>
        </w:rPr>
        <w:t>15.4.3 修复通知</w:t>
      </w:r>
    </w:p>
    <w:p w14:paraId="2A6628A0">
      <w:pPr>
        <w:spacing w:line="440" w:lineRule="exact"/>
        <w:ind w:firstLine="429" w:firstLineChars="195"/>
        <w:jc w:val="left"/>
        <w:outlineLvl w:val="9"/>
        <w:rPr>
          <w:rFonts w:ascii="宋体" w:hAnsi="宋体"/>
          <w:color w:val="auto"/>
          <w:sz w:val="22"/>
          <w:szCs w:val="22"/>
          <w:u w:val="single"/>
        </w:rPr>
      </w:pPr>
      <w:r>
        <w:rPr>
          <w:rFonts w:hint="eastAsia" w:ascii="宋体" w:hAnsi="宋体"/>
          <w:color w:val="auto"/>
          <w:sz w:val="22"/>
          <w:szCs w:val="22"/>
        </w:rPr>
        <w:t>承包人收到保修通知并到达工程现场的合理时间</w:t>
      </w:r>
      <w:r>
        <w:rPr>
          <w:rFonts w:hint="eastAsia" w:ascii="宋体" w:hAnsi="宋体"/>
          <w:color w:val="auto"/>
          <w:sz w:val="22"/>
          <w:szCs w:val="22"/>
          <w:u w:val="single"/>
        </w:rPr>
        <w:t xml:space="preserve">   待定          </w:t>
      </w:r>
    </w:p>
    <w:p w14:paraId="04BB58FF">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16. 违约</w:t>
      </w:r>
    </w:p>
    <w:p w14:paraId="4324636E">
      <w:pPr>
        <w:spacing w:line="440" w:lineRule="exact"/>
        <w:ind w:firstLine="420"/>
        <w:outlineLvl w:val="9"/>
        <w:rPr>
          <w:rFonts w:ascii="宋体" w:hAnsi="宋体"/>
          <w:color w:val="auto"/>
          <w:sz w:val="22"/>
          <w:szCs w:val="22"/>
        </w:rPr>
      </w:pPr>
      <w:r>
        <w:rPr>
          <w:rFonts w:hint="eastAsia" w:ascii="宋体" w:hAnsi="宋体"/>
          <w:color w:val="auto"/>
          <w:sz w:val="22"/>
          <w:szCs w:val="22"/>
        </w:rPr>
        <w:t>16.1 发包人违约</w:t>
      </w:r>
    </w:p>
    <w:p w14:paraId="46FAE75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16.1.1发包人违约的情形</w:t>
      </w:r>
    </w:p>
    <w:p w14:paraId="6652E990">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发包人违约的其他情形：</w:t>
      </w:r>
      <w:r>
        <w:rPr>
          <w:rFonts w:hint="eastAsia" w:ascii="宋体" w:hAnsi="宋体"/>
          <w:color w:val="auto"/>
          <w:sz w:val="22"/>
          <w:szCs w:val="22"/>
          <w:u w:val="single"/>
        </w:rPr>
        <w:t xml:space="preserve">            /                    </w:t>
      </w:r>
    </w:p>
    <w:p w14:paraId="5D9B065F">
      <w:pPr>
        <w:spacing w:line="440" w:lineRule="exact"/>
        <w:ind w:left="1100" w:hanging="1100" w:hangingChars="500"/>
        <w:jc w:val="left"/>
        <w:outlineLvl w:val="9"/>
        <w:rPr>
          <w:rFonts w:ascii="宋体" w:hAnsi="宋体"/>
          <w:color w:val="auto"/>
          <w:sz w:val="22"/>
          <w:szCs w:val="22"/>
        </w:rPr>
      </w:pPr>
      <w:r>
        <w:rPr>
          <w:rFonts w:hint="eastAsia" w:ascii="宋体" w:hAnsi="宋体"/>
          <w:color w:val="auto"/>
          <w:sz w:val="22"/>
          <w:szCs w:val="22"/>
        </w:rPr>
        <w:t xml:space="preserve">    16.1.2 发包人违约的责任</w:t>
      </w:r>
    </w:p>
    <w:p w14:paraId="45AE66B5">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发包人违约责任的承担方式和计算方法：</w:t>
      </w:r>
    </w:p>
    <w:p w14:paraId="378D6251">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（1）因发包人原因未能在计划开工日期前7天内下达开工通知的违约责任：</w:t>
      </w:r>
      <w:r>
        <w:rPr>
          <w:rFonts w:hint="eastAsia" w:ascii="宋体" w:hAnsi="宋体"/>
          <w:color w:val="auto"/>
          <w:sz w:val="22"/>
          <w:szCs w:val="22"/>
          <w:u w:val="single"/>
        </w:rPr>
        <w:t xml:space="preserve">  待定   </w:t>
      </w:r>
      <w:r>
        <w:rPr>
          <w:rFonts w:hint="eastAsia" w:ascii="宋体" w:hAnsi="宋体"/>
          <w:color w:val="auto"/>
          <w:sz w:val="22"/>
          <w:szCs w:val="22"/>
        </w:rPr>
        <w:t>。</w:t>
      </w:r>
    </w:p>
    <w:p w14:paraId="504546A9">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（2）因发包人原因未能按合同约定支付合同价款的违约责任：</w:t>
      </w:r>
      <w:r>
        <w:rPr>
          <w:rFonts w:hint="eastAsia" w:ascii="宋体" w:hAnsi="宋体"/>
          <w:color w:val="auto"/>
          <w:sz w:val="22"/>
          <w:szCs w:val="22"/>
          <w:u w:val="single"/>
        </w:rPr>
        <w:t xml:space="preserve">  待定          </w:t>
      </w:r>
      <w:r>
        <w:rPr>
          <w:rFonts w:hint="eastAsia" w:ascii="宋体" w:hAnsi="宋体"/>
          <w:color w:val="auto"/>
          <w:sz w:val="22"/>
          <w:szCs w:val="22"/>
        </w:rPr>
        <w:t>。</w:t>
      </w:r>
    </w:p>
    <w:p w14:paraId="10646409">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（3）发包人违反第10.1款〔变更的范围〕第（2）项约定，自行实施被取消的工作或转由他人实施的违约责任：</w:t>
      </w:r>
      <w:r>
        <w:rPr>
          <w:rFonts w:hint="eastAsia" w:ascii="宋体" w:hAnsi="宋体"/>
          <w:color w:val="auto"/>
          <w:sz w:val="22"/>
          <w:szCs w:val="22"/>
          <w:u w:val="single"/>
        </w:rPr>
        <w:t xml:space="preserve">      待定                              </w:t>
      </w:r>
      <w:r>
        <w:rPr>
          <w:rFonts w:hint="eastAsia" w:ascii="宋体" w:hAnsi="宋体"/>
          <w:color w:val="auto"/>
          <w:sz w:val="22"/>
          <w:szCs w:val="22"/>
        </w:rPr>
        <w:t>。</w:t>
      </w:r>
    </w:p>
    <w:p w14:paraId="12BC79A8">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（4）发包人提供的材料、工程设备的规格、数量或质量不符合合同约定，或因发包人原因导致交货日期延误或交货地点变更等情况的违约责任：</w:t>
      </w:r>
      <w:r>
        <w:rPr>
          <w:rFonts w:hint="eastAsia" w:ascii="宋体" w:hAnsi="宋体"/>
          <w:color w:val="auto"/>
          <w:sz w:val="22"/>
          <w:szCs w:val="22"/>
          <w:u w:val="single"/>
        </w:rPr>
        <w:t xml:space="preserve">     待定      </w:t>
      </w:r>
      <w:r>
        <w:rPr>
          <w:rFonts w:hint="eastAsia" w:ascii="宋体" w:hAnsi="宋体"/>
          <w:color w:val="auto"/>
          <w:sz w:val="22"/>
          <w:szCs w:val="22"/>
        </w:rPr>
        <w:t>。</w:t>
      </w:r>
    </w:p>
    <w:p w14:paraId="42070812">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（5）因发包人违反合同约定造成暂停施工的违约责任：</w:t>
      </w:r>
      <w:r>
        <w:rPr>
          <w:rFonts w:hint="eastAsia" w:ascii="宋体" w:hAnsi="宋体"/>
          <w:color w:val="auto"/>
          <w:sz w:val="22"/>
          <w:szCs w:val="22"/>
          <w:u w:val="single"/>
        </w:rPr>
        <w:t xml:space="preserve">     待定       </w:t>
      </w:r>
      <w:r>
        <w:rPr>
          <w:rFonts w:hint="eastAsia" w:ascii="宋体" w:hAnsi="宋体"/>
          <w:color w:val="auto"/>
          <w:sz w:val="22"/>
          <w:szCs w:val="22"/>
        </w:rPr>
        <w:t>。</w:t>
      </w:r>
    </w:p>
    <w:p w14:paraId="58806F39">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（6）发包人无正当理由没有在约定期限内发出复工指示，导致承包人无法复工的违约责任：</w:t>
      </w:r>
      <w:r>
        <w:rPr>
          <w:rFonts w:hint="eastAsia" w:ascii="宋体" w:hAnsi="宋体"/>
          <w:color w:val="auto"/>
          <w:sz w:val="22"/>
          <w:szCs w:val="22"/>
          <w:u w:val="single"/>
        </w:rPr>
        <w:t xml:space="preserve">   待定</w:t>
      </w:r>
      <w:r>
        <w:rPr>
          <w:rFonts w:hint="eastAsia" w:ascii="宋体" w:hAnsi="宋体"/>
          <w:color w:val="auto"/>
          <w:sz w:val="22"/>
          <w:szCs w:val="22"/>
        </w:rPr>
        <w:t>。</w:t>
      </w:r>
    </w:p>
    <w:p w14:paraId="7D8F695B">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（7）其他：</w:t>
      </w:r>
      <w:r>
        <w:rPr>
          <w:rFonts w:hint="eastAsia" w:ascii="宋体" w:hAnsi="宋体"/>
          <w:color w:val="auto"/>
          <w:sz w:val="22"/>
          <w:szCs w:val="22"/>
          <w:u w:val="single"/>
        </w:rPr>
        <w:t xml:space="preserve">另行协商                                   </w:t>
      </w:r>
      <w:r>
        <w:rPr>
          <w:rFonts w:hint="eastAsia" w:ascii="宋体" w:hAnsi="宋体"/>
          <w:color w:val="auto"/>
          <w:sz w:val="22"/>
          <w:szCs w:val="22"/>
        </w:rPr>
        <w:t>。</w:t>
      </w:r>
    </w:p>
    <w:p w14:paraId="34CE2B13">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16.1.3 因发包人违约解除合同</w:t>
      </w:r>
    </w:p>
    <w:p w14:paraId="03F0F383">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rPr>
        <w:t>承包人按16.1.1项〔发包人违约的情形〕约定暂停施工满</w:t>
      </w:r>
      <w:r>
        <w:rPr>
          <w:rFonts w:hint="eastAsia" w:ascii="宋体" w:hAnsi="宋体"/>
          <w:color w:val="auto"/>
          <w:sz w:val="22"/>
          <w:szCs w:val="22"/>
          <w:u w:val="single"/>
        </w:rPr>
        <w:t>28</w:t>
      </w:r>
      <w:r>
        <w:rPr>
          <w:rFonts w:hint="eastAsia" w:ascii="宋体" w:hAnsi="宋体"/>
          <w:color w:val="auto"/>
          <w:sz w:val="22"/>
          <w:szCs w:val="22"/>
        </w:rPr>
        <w:t>天后发包人仍不纠正其违约行为并致使合同目的不能实现的，承包人有权解除合同。</w:t>
      </w:r>
    </w:p>
    <w:p w14:paraId="068C8E74">
      <w:pPr>
        <w:spacing w:line="440" w:lineRule="exact"/>
        <w:ind w:firstLine="420"/>
        <w:outlineLvl w:val="9"/>
        <w:rPr>
          <w:rFonts w:ascii="宋体" w:hAnsi="宋体"/>
          <w:color w:val="auto"/>
          <w:sz w:val="22"/>
          <w:szCs w:val="22"/>
        </w:rPr>
      </w:pPr>
      <w:r>
        <w:rPr>
          <w:rFonts w:hint="eastAsia" w:ascii="宋体" w:hAnsi="宋体"/>
          <w:color w:val="auto"/>
          <w:sz w:val="22"/>
          <w:szCs w:val="22"/>
        </w:rPr>
        <w:t>16.2 承包人违约</w:t>
      </w:r>
    </w:p>
    <w:p w14:paraId="2CD415A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16.2.1 承包人违约的情形</w:t>
      </w:r>
    </w:p>
    <w:p w14:paraId="4BBCA32B">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承包人违约的其他情形：</w:t>
      </w:r>
      <w:r>
        <w:rPr>
          <w:rFonts w:hint="eastAsia" w:ascii="宋体" w:hAnsi="宋体"/>
          <w:color w:val="auto"/>
          <w:sz w:val="22"/>
          <w:szCs w:val="22"/>
          <w:u w:val="single"/>
        </w:rPr>
        <w:t>违反安全文明施工、日常工程管理违约责任。</w:t>
      </w:r>
    </w:p>
    <w:p w14:paraId="00933EF4">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16.2.2承包人违约的责任</w:t>
      </w:r>
    </w:p>
    <w:p w14:paraId="335C4770">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承包人违约责任的承担方式和计算方法：</w:t>
      </w:r>
      <w:r>
        <w:rPr>
          <w:rFonts w:hint="eastAsia" w:ascii="宋体" w:hAnsi="宋体"/>
          <w:color w:val="auto"/>
          <w:sz w:val="22"/>
          <w:szCs w:val="22"/>
          <w:u w:val="single"/>
        </w:rPr>
        <w:t>承包人如违反安全文明施工则按现场安全文明规定进行处罚，处罚累计总额不超过履约担保额度中的工程安全文明施工担保金额，如发生安全事故应及时向有关部门报告并及时作出处理，并承担相应的一切责任。</w:t>
      </w:r>
    </w:p>
    <w:p w14:paraId="028D17E5">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u w:val="single"/>
        </w:rPr>
        <w:t>因承包人原因工程质量达不到协议书中约定的质量标准的责任；发包人将扣除承包人的履约保证金，并有权按以下发出以下指令：</w:t>
      </w:r>
    </w:p>
    <w:p w14:paraId="704041DC">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u w:val="single"/>
        </w:rPr>
        <w:t>（1）、拆除重建；</w:t>
      </w:r>
    </w:p>
    <w:p w14:paraId="4F6572CC">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u w:val="single"/>
        </w:rPr>
        <w:t>（2）、折价接收；</w:t>
      </w:r>
    </w:p>
    <w:p w14:paraId="2C92EF4C">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16.2.3 因承包人违约解除合同</w:t>
      </w:r>
    </w:p>
    <w:p w14:paraId="78DC8FBE">
      <w:pPr>
        <w:spacing w:line="440" w:lineRule="exact"/>
        <w:ind w:firstLine="420"/>
        <w:outlineLvl w:val="9"/>
        <w:rPr>
          <w:rFonts w:ascii="宋体" w:hAnsi="宋体"/>
          <w:color w:val="auto"/>
          <w:sz w:val="22"/>
          <w:szCs w:val="22"/>
          <w:u w:val="single"/>
        </w:rPr>
      </w:pPr>
      <w:r>
        <w:rPr>
          <w:rFonts w:hint="eastAsia" w:ascii="宋体" w:hAnsi="宋体"/>
          <w:color w:val="auto"/>
          <w:sz w:val="22"/>
          <w:szCs w:val="22"/>
        </w:rPr>
        <w:t>关于承包人违约解除合同的特别约定：</w:t>
      </w:r>
      <w:r>
        <w:rPr>
          <w:rFonts w:hint="eastAsia" w:ascii="宋体" w:hAnsi="宋体"/>
          <w:color w:val="auto"/>
          <w:sz w:val="22"/>
          <w:szCs w:val="22"/>
          <w:u w:val="single"/>
        </w:rPr>
        <w:t xml:space="preserve">除通用合同条款规定外，承包人还应承担由此给发包人造成的一切损失，直至追究法律责任   </w:t>
      </w:r>
      <w:r>
        <w:rPr>
          <w:rFonts w:hint="eastAsia" w:ascii="宋体" w:hAnsi="宋体"/>
          <w:color w:val="auto"/>
          <w:sz w:val="22"/>
          <w:szCs w:val="22"/>
        </w:rPr>
        <w:t>。</w:t>
      </w:r>
    </w:p>
    <w:p w14:paraId="4E0F4EEE">
      <w:pPr>
        <w:spacing w:line="440" w:lineRule="exact"/>
        <w:ind w:firstLine="420"/>
        <w:outlineLvl w:val="9"/>
        <w:rPr>
          <w:rFonts w:ascii="宋体" w:hAnsi="宋体"/>
          <w:color w:val="auto"/>
          <w:sz w:val="22"/>
          <w:szCs w:val="22"/>
        </w:rPr>
      </w:pPr>
      <w:r>
        <w:rPr>
          <w:rFonts w:hint="eastAsia" w:ascii="宋体" w:hAnsi="宋体"/>
          <w:color w:val="auto"/>
          <w:sz w:val="22"/>
          <w:szCs w:val="22"/>
        </w:rPr>
        <w:t>发包人继续使用承包人在施工现场的材料、设备、临时工程、承包人文件和由承包人或以其名义编制的其他文件的费用承担方式：</w:t>
      </w:r>
      <w:r>
        <w:rPr>
          <w:rFonts w:hint="eastAsia" w:ascii="宋体" w:hAnsi="宋体"/>
          <w:color w:val="auto"/>
          <w:sz w:val="22"/>
          <w:szCs w:val="22"/>
          <w:u w:val="single"/>
        </w:rPr>
        <w:t xml:space="preserve">  双主协商确定      </w:t>
      </w:r>
      <w:r>
        <w:rPr>
          <w:rFonts w:hint="eastAsia" w:ascii="宋体" w:hAnsi="宋体"/>
          <w:color w:val="auto"/>
          <w:sz w:val="22"/>
          <w:szCs w:val="22"/>
        </w:rPr>
        <w:t>。</w:t>
      </w:r>
    </w:p>
    <w:p w14:paraId="177BDDB1">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 xml:space="preserve">17. 不可抗力 </w:t>
      </w:r>
    </w:p>
    <w:p w14:paraId="1A8DEB8F">
      <w:pPr>
        <w:spacing w:line="440" w:lineRule="exact"/>
        <w:ind w:firstLine="420"/>
        <w:outlineLvl w:val="9"/>
        <w:rPr>
          <w:rFonts w:ascii="宋体" w:hAnsi="宋体"/>
          <w:color w:val="auto"/>
          <w:sz w:val="22"/>
          <w:szCs w:val="22"/>
        </w:rPr>
      </w:pPr>
      <w:r>
        <w:rPr>
          <w:rFonts w:hint="eastAsia" w:ascii="宋体" w:hAnsi="宋体"/>
          <w:color w:val="auto"/>
          <w:sz w:val="22"/>
          <w:szCs w:val="22"/>
        </w:rPr>
        <w:t>17.1 不可抗力的确认</w:t>
      </w:r>
    </w:p>
    <w:p w14:paraId="56615E02">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 xml:space="preserve">除通用合同条款约定的不可抗力事件之外，视为不可抗力的其他情形： </w:t>
      </w:r>
      <w:r>
        <w:rPr>
          <w:rFonts w:hint="eastAsia" w:ascii="宋体" w:hAnsi="宋体"/>
          <w:color w:val="auto"/>
          <w:sz w:val="22"/>
          <w:szCs w:val="22"/>
          <w:u w:val="single"/>
        </w:rPr>
        <w:t xml:space="preserve">  无   </w:t>
      </w:r>
      <w:r>
        <w:rPr>
          <w:rFonts w:hint="eastAsia" w:ascii="宋体" w:hAnsi="宋体"/>
          <w:color w:val="auto"/>
          <w:sz w:val="22"/>
          <w:szCs w:val="22"/>
        </w:rPr>
        <w:t>。</w:t>
      </w:r>
    </w:p>
    <w:p w14:paraId="0C493CFF">
      <w:pPr>
        <w:spacing w:line="440" w:lineRule="exact"/>
        <w:ind w:firstLine="420"/>
        <w:outlineLvl w:val="9"/>
        <w:rPr>
          <w:rFonts w:ascii="宋体" w:hAnsi="宋体"/>
          <w:color w:val="auto"/>
          <w:sz w:val="22"/>
          <w:szCs w:val="22"/>
        </w:rPr>
      </w:pPr>
      <w:r>
        <w:rPr>
          <w:rFonts w:hint="eastAsia" w:ascii="宋体" w:hAnsi="宋体"/>
          <w:color w:val="auto"/>
          <w:sz w:val="22"/>
          <w:szCs w:val="22"/>
        </w:rPr>
        <w:t>17.4 因不可抗力解除合同</w:t>
      </w:r>
    </w:p>
    <w:p w14:paraId="7A0D3477">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合同解除后，发包人应在商定或确定发包人应支付款项后</w:t>
      </w:r>
      <w:r>
        <w:rPr>
          <w:rFonts w:hint="eastAsia" w:ascii="宋体" w:hAnsi="宋体"/>
          <w:color w:val="auto"/>
          <w:sz w:val="22"/>
          <w:szCs w:val="22"/>
          <w:u w:val="single"/>
        </w:rPr>
        <w:t>28</w:t>
      </w:r>
      <w:r>
        <w:rPr>
          <w:rFonts w:hint="eastAsia" w:ascii="宋体" w:hAnsi="宋体"/>
          <w:color w:val="auto"/>
          <w:sz w:val="22"/>
          <w:szCs w:val="22"/>
        </w:rPr>
        <w:t>天内完成款项的支付。</w:t>
      </w:r>
    </w:p>
    <w:p w14:paraId="0C1826E3">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rPr>
        <w:t>18. 保险</w:t>
      </w:r>
    </w:p>
    <w:p w14:paraId="549DAD55">
      <w:pPr>
        <w:spacing w:line="440" w:lineRule="exact"/>
        <w:ind w:firstLine="420"/>
        <w:outlineLvl w:val="9"/>
        <w:rPr>
          <w:rFonts w:ascii="宋体" w:hAnsi="宋体"/>
          <w:color w:val="auto"/>
          <w:sz w:val="22"/>
          <w:szCs w:val="22"/>
        </w:rPr>
      </w:pPr>
      <w:r>
        <w:rPr>
          <w:rFonts w:hint="eastAsia" w:ascii="宋体" w:hAnsi="宋体"/>
          <w:color w:val="auto"/>
          <w:sz w:val="22"/>
          <w:szCs w:val="22"/>
        </w:rPr>
        <w:t>18.1 工程保险</w:t>
      </w:r>
    </w:p>
    <w:p w14:paraId="2770258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关于工程保险的特别约定：</w:t>
      </w:r>
      <w:r>
        <w:rPr>
          <w:rFonts w:hint="eastAsia" w:ascii="宋体" w:hAnsi="宋体"/>
          <w:color w:val="auto"/>
          <w:sz w:val="22"/>
          <w:szCs w:val="22"/>
          <w:u w:val="single"/>
        </w:rPr>
        <w:t xml:space="preserve">      无            </w:t>
      </w:r>
      <w:r>
        <w:rPr>
          <w:rFonts w:hint="eastAsia" w:ascii="宋体" w:hAnsi="宋体"/>
          <w:color w:val="auto"/>
          <w:sz w:val="22"/>
          <w:szCs w:val="22"/>
        </w:rPr>
        <w:t>。</w:t>
      </w:r>
    </w:p>
    <w:p w14:paraId="3D40B93E">
      <w:pPr>
        <w:spacing w:line="440" w:lineRule="exact"/>
        <w:ind w:firstLine="420"/>
        <w:outlineLvl w:val="9"/>
        <w:rPr>
          <w:rFonts w:ascii="宋体" w:hAnsi="宋体"/>
          <w:color w:val="auto"/>
          <w:sz w:val="22"/>
          <w:szCs w:val="22"/>
        </w:rPr>
      </w:pPr>
      <w:r>
        <w:rPr>
          <w:rFonts w:hint="eastAsia" w:ascii="宋体" w:hAnsi="宋体"/>
          <w:color w:val="auto"/>
          <w:sz w:val="22"/>
          <w:szCs w:val="22"/>
        </w:rPr>
        <w:t>18.3 其他保险</w:t>
      </w:r>
    </w:p>
    <w:p w14:paraId="5B3CB95A">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关于其他保险的约定：</w:t>
      </w:r>
      <w:r>
        <w:rPr>
          <w:rFonts w:hint="eastAsia" w:ascii="宋体" w:hAnsi="宋体"/>
          <w:color w:val="auto"/>
          <w:sz w:val="22"/>
          <w:szCs w:val="22"/>
          <w:u w:val="single"/>
        </w:rPr>
        <w:t>自身的财产及施工现场内的自身员工的人身伤害及财产，从事危险作业员工的意外伤害，第三人人身伤害及财产等</w:t>
      </w:r>
      <w:r>
        <w:rPr>
          <w:rFonts w:hint="eastAsia" w:ascii="宋体" w:hAnsi="宋体"/>
          <w:color w:val="auto"/>
          <w:sz w:val="22"/>
          <w:szCs w:val="22"/>
        </w:rPr>
        <w:t>。</w:t>
      </w:r>
    </w:p>
    <w:p w14:paraId="18BFEBA0">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承包人是否应为其施工设备等办理财产保险：</w:t>
      </w:r>
      <w:r>
        <w:rPr>
          <w:rFonts w:hint="eastAsia" w:ascii="宋体" w:hAnsi="宋体"/>
          <w:color w:val="auto"/>
          <w:sz w:val="22"/>
          <w:szCs w:val="22"/>
          <w:u w:val="single"/>
        </w:rPr>
        <w:t xml:space="preserve">  是   </w:t>
      </w:r>
      <w:r>
        <w:rPr>
          <w:rFonts w:hint="eastAsia" w:ascii="宋体" w:hAnsi="宋体"/>
          <w:color w:val="auto"/>
          <w:sz w:val="22"/>
          <w:szCs w:val="22"/>
        </w:rPr>
        <w:t>。</w:t>
      </w:r>
    </w:p>
    <w:p w14:paraId="0E9D67D5">
      <w:pPr>
        <w:spacing w:line="440" w:lineRule="exact"/>
        <w:ind w:firstLine="420"/>
        <w:outlineLvl w:val="9"/>
        <w:rPr>
          <w:rFonts w:ascii="宋体" w:hAnsi="宋体"/>
          <w:color w:val="auto"/>
          <w:sz w:val="22"/>
          <w:szCs w:val="22"/>
        </w:rPr>
      </w:pPr>
      <w:r>
        <w:rPr>
          <w:rFonts w:hint="eastAsia" w:ascii="宋体" w:hAnsi="宋体"/>
          <w:color w:val="auto"/>
          <w:sz w:val="22"/>
          <w:szCs w:val="22"/>
        </w:rPr>
        <w:t>18.7 通知义务</w:t>
      </w:r>
    </w:p>
    <w:p w14:paraId="2088B61C">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关于变更保险合同时的通知义务的约定：</w:t>
      </w:r>
      <w:r>
        <w:rPr>
          <w:rFonts w:hint="eastAsia" w:ascii="宋体" w:hAnsi="宋体"/>
          <w:color w:val="auto"/>
          <w:sz w:val="22"/>
          <w:szCs w:val="22"/>
          <w:u w:val="single"/>
        </w:rPr>
        <w:t>按通用合同条款第18.7款执行。</w:t>
      </w:r>
    </w:p>
    <w:p w14:paraId="2BEBE0E6">
      <w:pPr>
        <w:spacing w:before="0" w:after="0" w:line="440" w:lineRule="exact"/>
        <w:ind w:firstLine="422"/>
        <w:outlineLvl w:val="9"/>
        <w:rPr>
          <w:rFonts w:ascii="宋体" w:hAnsi="宋体" w:eastAsia="宋体"/>
          <w:color w:val="auto"/>
          <w:sz w:val="22"/>
          <w:szCs w:val="22"/>
        </w:rPr>
      </w:pPr>
      <w:r>
        <w:rPr>
          <w:rFonts w:hint="eastAsia" w:ascii="宋体" w:hAnsi="宋体" w:eastAsia="宋体"/>
          <w:color w:val="auto"/>
          <w:sz w:val="22"/>
          <w:szCs w:val="22"/>
          <w:lang w:eastAsia="zh-CN"/>
        </w:rPr>
        <w:t>19</w:t>
      </w:r>
      <w:r>
        <w:rPr>
          <w:rFonts w:hint="eastAsia" w:ascii="宋体" w:hAnsi="宋体" w:eastAsia="宋体"/>
          <w:color w:val="auto"/>
          <w:sz w:val="22"/>
          <w:szCs w:val="22"/>
        </w:rPr>
        <w:t>. 争议解决</w:t>
      </w:r>
    </w:p>
    <w:p w14:paraId="1D85EC31">
      <w:pPr>
        <w:spacing w:line="440" w:lineRule="exact"/>
        <w:ind w:firstLine="420"/>
        <w:outlineLvl w:val="9"/>
        <w:rPr>
          <w:rFonts w:ascii="宋体" w:hAnsi="宋体"/>
          <w:color w:val="auto"/>
          <w:sz w:val="22"/>
          <w:szCs w:val="22"/>
        </w:rPr>
      </w:pPr>
      <w:r>
        <w:rPr>
          <w:rFonts w:hint="eastAsia" w:ascii="宋体" w:hAnsi="宋体"/>
          <w:color w:val="auto"/>
          <w:sz w:val="22"/>
          <w:szCs w:val="22"/>
          <w:lang w:eastAsia="zh-CN"/>
        </w:rPr>
        <w:t>19</w:t>
      </w:r>
      <w:r>
        <w:rPr>
          <w:rFonts w:hint="eastAsia" w:ascii="宋体" w:hAnsi="宋体"/>
          <w:color w:val="auto"/>
          <w:sz w:val="22"/>
          <w:szCs w:val="22"/>
        </w:rPr>
        <w:t>.3 争议评审</w:t>
      </w:r>
    </w:p>
    <w:p w14:paraId="6B3F74A9">
      <w:pPr>
        <w:spacing w:line="440" w:lineRule="exact"/>
        <w:ind w:left="149" w:leftChars="71" w:firstLine="330" w:firstLineChars="150"/>
        <w:jc w:val="left"/>
        <w:outlineLvl w:val="9"/>
        <w:rPr>
          <w:rFonts w:ascii="宋体" w:hAnsi="宋体"/>
          <w:color w:val="auto"/>
          <w:sz w:val="22"/>
          <w:szCs w:val="22"/>
          <w:u w:val="single"/>
        </w:rPr>
      </w:pPr>
      <w:r>
        <w:rPr>
          <w:rFonts w:hint="eastAsia" w:ascii="宋体" w:hAnsi="宋体"/>
          <w:color w:val="auto"/>
          <w:sz w:val="22"/>
          <w:szCs w:val="22"/>
        </w:rPr>
        <w:t>合同当事人是否同意将工程争议提交争议评审小组决定：</w:t>
      </w:r>
      <w:r>
        <w:rPr>
          <w:rFonts w:hint="eastAsia" w:ascii="宋体" w:hAnsi="宋体"/>
          <w:color w:val="auto"/>
          <w:sz w:val="22"/>
          <w:szCs w:val="22"/>
          <w:u w:val="single"/>
        </w:rPr>
        <w:t xml:space="preserve">  否  </w:t>
      </w:r>
    </w:p>
    <w:p w14:paraId="215B8E3C">
      <w:pPr>
        <w:spacing w:line="440" w:lineRule="exact"/>
        <w:ind w:firstLine="420"/>
        <w:jc w:val="left"/>
        <w:outlineLvl w:val="9"/>
        <w:rPr>
          <w:rFonts w:ascii="宋体" w:hAnsi="宋体"/>
          <w:color w:val="auto"/>
          <w:sz w:val="22"/>
          <w:szCs w:val="22"/>
        </w:rPr>
      </w:pPr>
      <w:r>
        <w:rPr>
          <w:rFonts w:hint="eastAsia" w:ascii="宋体" w:hAnsi="宋体"/>
          <w:color w:val="auto"/>
          <w:sz w:val="22"/>
          <w:szCs w:val="22"/>
          <w:lang w:eastAsia="zh-CN"/>
        </w:rPr>
        <w:t>19</w:t>
      </w:r>
      <w:r>
        <w:rPr>
          <w:rFonts w:hint="eastAsia" w:ascii="宋体" w:hAnsi="宋体"/>
          <w:color w:val="auto"/>
          <w:sz w:val="22"/>
          <w:szCs w:val="22"/>
        </w:rPr>
        <w:t>.3.1 争议评审小组的确定</w:t>
      </w:r>
    </w:p>
    <w:p w14:paraId="3FF130EF">
      <w:pPr>
        <w:spacing w:line="440" w:lineRule="exact"/>
        <w:ind w:firstLine="420"/>
        <w:jc w:val="left"/>
        <w:outlineLvl w:val="9"/>
        <w:rPr>
          <w:rFonts w:ascii="宋体" w:hAnsi="宋体"/>
          <w:color w:val="auto"/>
          <w:sz w:val="22"/>
          <w:szCs w:val="22"/>
          <w:u w:val="single"/>
        </w:rPr>
      </w:pPr>
      <w:r>
        <w:rPr>
          <w:rFonts w:hint="eastAsia" w:ascii="宋体" w:hAnsi="宋体"/>
          <w:color w:val="auto"/>
          <w:sz w:val="22"/>
          <w:szCs w:val="22"/>
        </w:rPr>
        <w:t>争议评审小组成员的确定：</w:t>
      </w:r>
      <w:r>
        <w:rPr>
          <w:rFonts w:hint="eastAsia" w:ascii="宋体" w:hAnsi="宋体"/>
          <w:color w:val="auto"/>
          <w:sz w:val="22"/>
          <w:szCs w:val="22"/>
          <w:u w:val="single"/>
        </w:rPr>
        <w:t xml:space="preserve">             /                </w:t>
      </w:r>
      <w:r>
        <w:rPr>
          <w:rFonts w:hint="eastAsia" w:ascii="宋体" w:hAnsi="宋体"/>
          <w:color w:val="auto"/>
          <w:sz w:val="22"/>
          <w:szCs w:val="22"/>
        </w:rPr>
        <w:t>。</w:t>
      </w:r>
    </w:p>
    <w:p w14:paraId="171F19A1">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选定争议评审员的期限：</w:t>
      </w:r>
      <w:r>
        <w:rPr>
          <w:rFonts w:hint="eastAsia" w:ascii="宋体" w:hAnsi="宋体"/>
          <w:color w:val="auto"/>
          <w:sz w:val="22"/>
          <w:szCs w:val="22"/>
          <w:u w:val="single"/>
        </w:rPr>
        <w:t xml:space="preserve">                 /              </w:t>
      </w:r>
      <w:r>
        <w:rPr>
          <w:rFonts w:hint="eastAsia" w:ascii="宋体" w:hAnsi="宋体"/>
          <w:color w:val="auto"/>
          <w:sz w:val="22"/>
          <w:szCs w:val="22"/>
        </w:rPr>
        <w:t>。</w:t>
      </w:r>
    </w:p>
    <w:p w14:paraId="019D8D26">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争议评审小组成员的报酬承担方式：</w:t>
      </w:r>
      <w:r>
        <w:rPr>
          <w:rFonts w:hint="eastAsia" w:ascii="宋体" w:hAnsi="宋体"/>
          <w:color w:val="auto"/>
          <w:sz w:val="22"/>
          <w:szCs w:val="22"/>
          <w:u w:val="single"/>
        </w:rPr>
        <w:t xml:space="preserve">       /              </w:t>
      </w:r>
      <w:r>
        <w:rPr>
          <w:rFonts w:hint="eastAsia" w:ascii="宋体" w:hAnsi="宋体"/>
          <w:color w:val="auto"/>
          <w:sz w:val="22"/>
          <w:szCs w:val="22"/>
        </w:rPr>
        <w:t>。</w:t>
      </w:r>
    </w:p>
    <w:p w14:paraId="75C7ABAF">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其他事项的约定：</w:t>
      </w:r>
      <w:r>
        <w:rPr>
          <w:rFonts w:hint="eastAsia" w:ascii="宋体" w:hAnsi="宋体"/>
          <w:color w:val="auto"/>
          <w:sz w:val="22"/>
          <w:szCs w:val="22"/>
          <w:u w:val="single"/>
        </w:rPr>
        <w:t xml:space="preserve">                       /              </w:t>
      </w:r>
      <w:r>
        <w:rPr>
          <w:rFonts w:hint="eastAsia" w:ascii="宋体" w:hAnsi="宋体"/>
          <w:color w:val="auto"/>
          <w:sz w:val="22"/>
          <w:szCs w:val="22"/>
        </w:rPr>
        <w:t>。</w:t>
      </w:r>
    </w:p>
    <w:p w14:paraId="11844B06">
      <w:pPr>
        <w:autoSpaceDE w:val="0"/>
        <w:autoSpaceDN w:val="0"/>
        <w:spacing w:line="440" w:lineRule="exact"/>
        <w:ind w:firstLine="420"/>
        <w:jc w:val="left"/>
        <w:outlineLvl w:val="9"/>
        <w:rPr>
          <w:rFonts w:ascii="宋体" w:hAnsi="宋体"/>
          <w:color w:val="auto"/>
          <w:sz w:val="22"/>
          <w:szCs w:val="22"/>
        </w:rPr>
      </w:pPr>
      <w:r>
        <w:rPr>
          <w:rFonts w:hint="eastAsia" w:ascii="宋体" w:hAnsi="宋体"/>
          <w:color w:val="auto"/>
          <w:sz w:val="22"/>
          <w:szCs w:val="22"/>
          <w:lang w:eastAsia="zh-CN"/>
        </w:rPr>
        <w:t>19</w:t>
      </w:r>
      <w:r>
        <w:rPr>
          <w:rFonts w:hint="eastAsia" w:ascii="宋体" w:hAnsi="宋体"/>
          <w:color w:val="auto"/>
          <w:sz w:val="22"/>
          <w:szCs w:val="22"/>
        </w:rPr>
        <w:t>.3.2 争议评审小组的决定</w:t>
      </w:r>
    </w:p>
    <w:p w14:paraId="7E008E04">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合同当事人关于本项的约定：</w:t>
      </w:r>
      <w:r>
        <w:rPr>
          <w:rFonts w:hint="eastAsia" w:ascii="宋体" w:hAnsi="宋体"/>
          <w:color w:val="auto"/>
          <w:sz w:val="22"/>
          <w:szCs w:val="22"/>
          <w:u w:val="single"/>
        </w:rPr>
        <w:t xml:space="preserve">            /               </w:t>
      </w:r>
      <w:r>
        <w:rPr>
          <w:rFonts w:hint="eastAsia" w:ascii="宋体" w:hAnsi="宋体"/>
          <w:color w:val="auto"/>
          <w:sz w:val="22"/>
          <w:szCs w:val="22"/>
        </w:rPr>
        <w:t>。</w:t>
      </w:r>
    </w:p>
    <w:p w14:paraId="74034B0A">
      <w:pPr>
        <w:spacing w:line="440" w:lineRule="exact"/>
        <w:ind w:firstLine="420"/>
        <w:outlineLvl w:val="9"/>
        <w:rPr>
          <w:rFonts w:ascii="宋体" w:hAnsi="宋体"/>
          <w:color w:val="auto"/>
          <w:sz w:val="22"/>
          <w:szCs w:val="22"/>
        </w:rPr>
      </w:pPr>
      <w:r>
        <w:rPr>
          <w:rFonts w:hint="eastAsia" w:ascii="宋体" w:hAnsi="宋体"/>
          <w:color w:val="auto"/>
          <w:sz w:val="22"/>
          <w:szCs w:val="22"/>
          <w:lang w:eastAsia="zh-CN"/>
        </w:rPr>
        <w:t>19</w:t>
      </w:r>
      <w:r>
        <w:rPr>
          <w:rFonts w:hint="eastAsia" w:ascii="宋体" w:hAnsi="宋体"/>
          <w:color w:val="auto"/>
          <w:sz w:val="22"/>
          <w:szCs w:val="22"/>
        </w:rPr>
        <w:t>.4仲裁或诉讼</w:t>
      </w:r>
    </w:p>
    <w:p w14:paraId="57D3520F">
      <w:pPr>
        <w:spacing w:line="440" w:lineRule="exact"/>
        <w:ind w:firstLine="420"/>
        <w:outlineLvl w:val="9"/>
        <w:rPr>
          <w:rFonts w:ascii="宋体" w:hAnsi="宋体"/>
          <w:color w:val="auto"/>
          <w:sz w:val="22"/>
          <w:szCs w:val="22"/>
        </w:rPr>
      </w:pPr>
      <w:r>
        <w:rPr>
          <w:rFonts w:hint="eastAsia" w:ascii="宋体" w:hAnsi="宋体"/>
          <w:color w:val="auto"/>
          <w:sz w:val="22"/>
          <w:szCs w:val="22"/>
        </w:rPr>
        <w:t>因合同及合同有关事项发生的争议，按下列第</w:t>
      </w:r>
      <w:r>
        <w:rPr>
          <w:rFonts w:hint="eastAsia" w:ascii="宋体" w:hAnsi="宋体"/>
          <w:color w:val="auto"/>
          <w:sz w:val="22"/>
          <w:szCs w:val="22"/>
          <w:u w:val="single"/>
        </w:rPr>
        <w:t>（2）</w:t>
      </w:r>
      <w:r>
        <w:rPr>
          <w:rFonts w:hint="eastAsia" w:ascii="宋体" w:hAnsi="宋体"/>
          <w:color w:val="auto"/>
          <w:sz w:val="22"/>
          <w:szCs w:val="22"/>
        </w:rPr>
        <w:t>种方式解决：</w:t>
      </w:r>
    </w:p>
    <w:p w14:paraId="7D80037E">
      <w:pPr>
        <w:spacing w:line="440" w:lineRule="exact"/>
        <w:ind w:firstLine="420"/>
        <w:jc w:val="left"/>
        <w:outlineLvl w:val="9"/>
        <w:rPr>
          <w:rFonts w:ascii="宋体" w:hAnsi="宋体"/>
          <w:color w:val="auto"/>
          <w:sz w:val="22"/>
          <w:szCs w:val="22"/>
        </w:rPr>
      </w:pPr>
      <w:r>
        <w:rPr>
          <w:rFonts w:hint="eastAsia" w:ascii="宋体" w:hAnsi="宋体"/>
          <w:color w:val="auto"/>
          <w:sz w:val="22"/>
          <w:szCs w:val="22"/>
        </w:rPr>
        <w:t>（1）向</w:t>
      </w:r>
      <w:r>
        <w:rPr>
          <w:rFonts w:hint="eastAsia" w:ascii="宋体" w:hAnsi="宋体"/>
          <w:color w:val="auto"/>
          <w:sz w:val="22"/>
          <w:szCs w:val="22"/>
          <w:u w:val="single"/>
        </w:rPr>
        <w:t>温州</w:t>
      </w:r>
      <w:r>
        <w:rPr>
          <w:rFonts w:hint="eastAsia" w:ascii="宋体" w:hAnsi="宋体"/>
          <w:color w:val="auto"/>
          <w:sz w:val="22"/>
          <w:szCs w:val="22"/>
        </w:rPr>
        <w:t>仲裁委员会申请仲裁；</w:t>
      </w:r>
    </w:p>
    <w:p w14:paraId="2AAC5BC7">
      <w:pPr>
        <w:pStyle w:val="17"/>
        <w:snapToGrid w:val="0"/>
        <w:spacing w:line="440" w:lineRule="exact"/>
        <w:ind w:left="437" w:leftChars="208" w:firstLine="0" w:firstLineChars="0"/>
        <w:outlineLvl w:val="9"/>
        <w:rPr>
          <w:rFonts w:ascii="宋体" w:hAnsi="宋体" w:cs="宋体"/>
          <w:color w:val="auto"/>
          <w:sz w:val="22"/>
          <w:szCs w:val="22"/>
          <w:u w:val="single"/>
        </w:rPr>
      </w:pPr>
      <w:r>
        <w:rPr>
          <w:rFonts w:hint="eastAsia" w:ascii="宋体" w:hAnsi="宋体"/>
          <w:color w:val="auto"/>
          <w:sz w:val="22"/>
          <w:szCs w:val="22"/>
        </w:rPr>
        <w:t>（2）向</w:t>
      </w:r>
      <w:r>
        <w:rPr>
          <w:rFonts w:hint="eastAsia" w:ascii="宋体" w:hAnsi="宋体"/>
          <w:color w:val="auto"/>
          <w:sz w:val="22"/>
          <w:szCs w:val="22"/>
          <w:u w:val="single"/>
        </w:rPr>
        <w:t>温州市</w:t>
      </w:r>
      <w:r>
        <w:rPr>
          <w:rFonts w:hint="eastAsia" w:ascii="宋体" w:hAnsi="宋体"/>
          <w:color w:val="auto"/>
          <w:sz w:val="22"/>
          <w:szCs w:val="22"/>
        </w:rPr>
        <w:t>人民法院起诉。</w:t>
      </w:r>
    </w:p>
    <w:p w14:paraId="489680F2">
      <w:pPr>
        <w:spacing w:line="440" w:lineRule="exact"/>
        <w:jc w:val="center"/>
        <w:rPr>
          <w:rFonts w:hint="eastAsia" w:ascii="宋体" w:hAnsi="宋体"/>
          <w:color w:val="auto"/>
          <w:sz w:val="22"/>
          <w:szCs w:val="22"/>
          <w:u w:val="single"/>
        </w:rPr>
      </w:pPr>
    </w:p>
    <w:p w14:paraId="2304135F">
      <w:pPr>
        <w:spacing w:line="440" w:lineRule="exact"/>
        <w:jc w:val="center"/>
        <w:rPr>
          <w:rFonts w:hint="eastAsia" w:ascii="宋体" w:hAnsi="宋体"/>
          <w:color w:val="auto"/>
          <w:sz w:val="22"/>
          <w:szCs w:val="22"/>
          <w:u w:val="single"/>
        </w:rPr>
      </w:pPr>
    </w:p>
    <w:p w14:paraId="7C36FCF3">
      <w:pPr>
        <w:spacing w:line="440" w:lineRule="exact"/>
        <w:jc w:val="center"/>
        <w:rPr>
          <w:rFonts w:hint="eastAsia" w:ascii="宋体" w:hAnsi="宋体"/>
          <w:color w:val="auto"/>
          <w:sz w:val="22"/>
          <w:szCs w:val="22"/>
          <w:u w:val="single"/>
        </w:rPr>
      </w:pPr>
    </w:p>
    <w:p w14:paraId="2B08D902">
      <w:pPr>
        <w:spacing w:line="440" w:lineRule="exact"/>
        <w:jc w:val="center"/>
        <w:rPr>
          <w:rFonts w:hint="eastAsia" w:ascii="宋体" w:hAnsi="宋体"/>
          <w:color w:val="auto"/>
          <w:sz w:val="22"/>
          <w:szCs w:val="22"/>
          <w:u w:val="single"/>
        </w:rPr>
      </w:pPr>
    </w:p>
    <w:p w14:paraId="01881DEF">
      <w:pPr>
        <w:pStyle w:val="3"/>
        <w:spacing w:line="480" w:lineRule="exact"/>
        <w:jc w:val="center"/>
        <w:rPr>
          <w:color w:val="auto"/>
          <w:sz w:val="30"/>
          <w:szCs w:val="30"/>
        </w:rPr>
      </w:pPr>
      <w:r>
        <w:rPr>
          <w:color w:val="auto"/>
          <w:sz w:val="28"/>
          <w:szCs w:val="28"/>
        </w:rPr>
        <w:br w:type="page"/>
      </w:r>
      <w:bookmarkStart w:id="51" w:name="_Toc617"/>
      <w:bookmarkStart w:id="52" w:name="_Toc3004"/>
      <w:r>
        <w:rPr>
          <w:rFonts w:hint="eastAsia"/>
          <w:color w:val="auto"/>
          <w:sz w:val="28"/>
          <w:szCs w:val="28"/>
        </w:rPr>
        <w:t>（四）</w:t>
      </w:r>
      <w:r>
        <w:rPr>
          <w:color w:val="auto"/>
          <w:sz w:val="28"/>
          <w:szCs w:val="28"/>
        </w:rPr>
        <w:t>工程质量保修书</w:t>
      </w:r>
      <w:bookmarkEnd w:id="51"/>
      <w:bookmarkEnd w:id="52"/>
    </w:p>
    <w:p w14:paraId="5C899351">
      <w:pPr>
        <w:spacing w:line="440" w:lineRule="exact"/>
        <w:rPr>
          <w:rFonts w:ascii="宋体" w:hAnsi="宋体"/>
          <w:color w:val="auto"/>
          <w:sz w:val="22"/>
          <w:szCs w:val="22"/>
        </w:rPr>
      </w:pPr>
      <w:r>
        <w:rPr>
          <w:rFonts w:ascii="宋体" w:hAnsi="宋体"/>
          <w:color w:val="auto"/>
          <w:sz w:val="22"/>
          <w:szCs w:val="22"/>
        </w:rPr>
        <w:t>发包人（全称）：</w:t>
      </w:r>
      <w:r>
        <w:rPr>
          <w:rFonts w:ascii="宋体" w:hAnsi="宋体"/>
          <w:color w:val="auto"/>
          <w:sz w:val="22"/>
          <w:szCs w:val="22"/>
          <w:u w:val="single"/>
        </w:rPr>
        <w:t xml:space="preserve">   </w:t>
      </w:r>
      <w:r>
        <w:rPr>
          <w:rFonts w:hint="eastAsia" w:ascii="宋体" w:hAnsi="宋体"/>
          <w:color w:val="auto"/>
          <w:sz w:val="22"/>
          <w:szCs w:val="22"/>
          <w:u w:val="single"/>
          <w:lang w:eastAsia="zh-CN"/>
        </w:rPr>
        <w:t>浙江安防职业技术学院</w:t>
      </w:r>
      <w:r>
        <w:rPr>
          <w:rFonts w:ascii="宋体" w:hAnsi="宋体"/>
          <w:color w:val="auto"/>
          <w:sz w:val="22"/>
          <w:szCs w:val="22"/>
          <w:u w:val="single"/>
        </w:rPr>
        <w:t xml:space="preserve">               </w:t>
      </w:r>
      <w:r>
        <w:rPr>
          <w:rFonts w:ascii="宋体" w:hAnsi="宋体"/>
          <w:color w:val="auto"/>
          <w:sz w:val="22"/>
          <w:szCs w:val="22"/>
        </w:rPr>
        <w:t xml:space="preserve"> </w:t>
      </w:r>
    </w:p>
    <w:p w14:paraId="0212687B">
      <w:pPr>
        <w:spacing w:line="440" w:lineRule="exact"/>
        <w:rPr>
          <w:rFonts w:hint="eastAsia" w:ascii="宋体" w:hAnsi="宋体"/>
          <w:color w:val="auto"/>
          <w:sz w:val="22"/>
          <w:szCs w:val="22"/>
        </w:rPr>
      </w:pPr>
      <w:r>
        <w:rPr>
          <w:rFonts w:ascii="宋体" w:hAnsi="宋体"/>
          <w:color w:val="auto"/>
          <w:sz w:val="22"/>
          <w:szCs w:val="22"/>
        </w:rPr>
        <w:t>承包人（全称）：</w:t>
      </w:r>
      <w:r>
        <w:rPr>
          <w:rFonts w:ascii="宋体" w:hAnsi="宋体"/>
          <w:color w:val="auto"/>
          <w:sz w:val="22"/>
          <w:szCs w:val="22"/>
          <w:u w:val="single"/>
        </w:rPr>
        <w:t xml:space="preserve">                                </w:t>
      </w:r>
      <w:r>
        <w:rPr>
          <w:rFonts w:ascii="宋体" w:hAnsi="宋体"/>
          <w:color w:val="auto"/>
          <w:sz w:val="22"/>
          <w:szCs w:val="22"/>
        </w:rPr>
        <w:t xml:space="preserve"> </w:t>
      </w:r>
    </w:p>
    <w:p w14:paraId="6BCAA0BF">
      <w:pPr>
        <w:spacing w:line="440" w:lineRule="exact"/>
        <w:ind w:left="548" w:leftChars="261"/>
        <w:rPr>
          <w:rFonts w:hint="eastAsia" w:ascii="宋体" w:hAnsi="宋体"/>
          <w:color w:val="auto"/>
          <w:sz w:val="22"/>
          <w:szCs w:val="22"/>
          <w:u w:val="single"/>
        </w:rPr>
      </w:pPr>
      <w:r>
        <w:rPr>
          <w:rFonts w:ascii="宋体" w:hAnsi="宋体"/>
          <w:color w:val="auto"/>
          <w:sz w:val="22"/>
          <w:szCs w:val="22"/>
        </w:rPr>
        <w:t>发包人和承包人根据《中华人民共和国建筑法》和《建设工程质量管理条例》，经协商一致就</w:t>
      </w:r>
      <w:r>
        <w:rPr>
          <w:rFonts w:ascii="宋体" w:hAnsi="宋体"/>
          <w:color w:val="auto"/>
          <w:sz w:val="22"/>
          <w:szCs w:val="22"/>
          <w:u w:val="single"/>
        </w:rPr>
        <w:t xml:space="preserve">                </w:t>
      </w:r>
      <w:r>
        <w:rPr>
          <w:rFonts w:hint="eastAsia" w:ascii="宋体" w:hAnsi="宋体" w:cs="宋体"/>
          <w:color w:val="auto"/>
          <w:sz w:val="22"/>
          <w:szCs w:val="22"/>
          <w:u w:val="single"/>
          <w:lang w:eastAsia="zh-CN"/>
        </w:rPr>
        <w:t>学校配电房提升改造（2x630KVA配电工程（单电源））</w:t>
      </w:r>
      <w:r>
        <w:rPr>
          <w:rFonts w:hint="eastAsia" w:ascii="宋体" w:hAnsi="宋体"/>
          <w:color w:val="auto"/>
          <w:sz w:val="22"/>
          <w:szCs w:val="22"/>
        </w:rPr>
        <w:t>项目</w:t>
      </w:r>
      <w:r>
        <w:rPr>
          <w:rFonts w:ascii="宋体" w:hAnsi="宋体"/>
          <w:color w:val="auto"/>
          <w:sz w:val="22"/>
          <w:szCs w:val="22"/>
        </w:rPr>
        <w:t>签订工程质量保修书。</w:t>
      </w:r>
    </w:p>
    <w:p w14:paraId="79AB87FD">
      <w:pPr>
        <w:spacing w:line="440" w:lineRule="exact"/>
        <w:rPr>
          <w:rFonts w:ascii="宋体" w:hAnsi="宋体"/>
          <w:color w:val="auto"/>
          <w:sz w:val="22"/>
          <w:szCs w:val="22"/>
        </w:rPr>
      </w:pPr>
      <w:r>
        <w:rPr>
          <w:rFonts w:ascii="宋体" w:hAnsi="宋体"/>
          <w:b/>
          <w:bCs/>
          <w:color w:val="auto"/>
          <w:sz w:val="22"/>
          <w:szCs w:val="22"/>
        </w:rPr>
        <w:t>一、</w:t>
      </w:r>
      <w:r>
        <w:rPr>
          <w:rFonts w:hint="eastAsia" w:ascii="宋体" w:hAnsi="宋体"/>
          <w:b/>
          <w:bCs/>
          <w:color w:val="auto"/>
          <w:sz w:val="22"/>
          <w:szCs w:val="22"/>
        </w:rPr>
        <w:t xml:space="preserve"> </w:t>
      </w:r>
      <w:r>
        <w:rPr>
          <w:rFonts w:ascii="宋体" w:hAnsi="宋体"/>
          <w:b/>
          <w:bCs/>
          <w:color w:val="auto"/>
          <w:sz w:val="22"/>
          <w:szCs w:val="22"/>
        </w:rPr>
        <w:t>工程质量保修范围和内容</w:t>
      </w:r>
    </w:p>
    <w:p w14:paraId="6E14D240">
      <w:pPr>
        <w:spacing w:line="440" w:lineRule="exact"/>
        <w:ind w:firstLine="550" w:firstLineChars="250"/>
        <w:rPr>
          <w:rFonts w:ascii="宋体" w:hAnsi="宋体"/>
          <w:color w:val="auto"/>
          <w:sz w:val="22"/>
          <w:szCs w:val="22"/>
        </w:rPr>
      </w:pPr>
      <w:r>
        <w:rPr>
          <w:rFonts w:ascii="宋体" w:hAnsi="宋体"/>
          <w:color w:val="auto"/>
          <w:sz w:val="22"/>
          <w:szCs w:val="22"/>
        </w:rPr>
        <w:t>承包人在质量保修期内，按照有关法律规定和合同约定，承担工程质量保修责任。</w:t>
      </w:r>
    </w:p>
    <w:p w14:paraId="4D22BB2A">
      <w:pPr>
        <w:spacing w:line="440" w:lineRule="exact"/>
        <w:ind w:left="548" w:leftChars="261"/>
        <w:rPr>
          <w:rFonts w:ascii="宋体" w:hAnsi="宋体"/>
          <w:color w:val="auto"/>
          <w:sz w:val="22"/>
          <w:szCs w:val="22"/>
        </w:rPr>
      </w:pPr>
      <w:r>
        <w:rPr>
          <w:rFonts w:ascii="宋体" w:hAnsi="宋体"/>
          <w:color w:val="auto"/>
          <w:sz w:val="22"/>
          <w:szCs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E65E321">
      <w:pPr>
        <w:spacing w:line="440" w:lineRule="exact"/>
        <w:rPr>
          <w:rFonts w:ascii="宋体" w:hAnsi="宋体"/>
          <w:color w:val="auto"/>
          <w:sz w:val="22"/>
          <w:szCs w:val="22"/>
          <w:u w:val="single"/>
        </w:rPr>
      </w:pPr>
      <w:r>
        <w:rPr>
          <w:rFonts w:ascii="宋体" w:hAnsi="宋体"/>
          <w:color w:val="auto"/>
          <w:sz w:val="22"/>
          <w:szCs w:val="22"/>
        </w:rPr>
        <w:t>　</w:t>
      </w:r>
      <w:r>
        <w:rPr>
          <w:rFonts w:hint="eastAsia" w:ascii="宋体" w:hAnsi="宋体"/>
          <w:color w:val="auto"/>
          <w:sz w:val="22"/>
          <w:szCs w:val="22"/>
        </w:rPr>
        <w:t xml:space="preserve">    </w:t>
      </w:r>
      <w:r>
        <w:rPr>
          <w:rFonts w:hint="eastAsia" w:ascii="宋体" w:hAnsi="宋体" w:cs="宋体"/>
          <w:color w:val="auto"/>
          <w:sz w:val="22"/>
          <w:szCs w:val="22"/>
          <w:u w:val="single"/>
          <w:lang w:eastAsia="zh-CN"/>
        </w:rPr>
        <w:t>学校配电房提升改造（2x630KVA配电工程（单电源））</w:t>
      </w:r>
      <w:r>
        <w:rPr>
          <w:rFonts w:hint="eastAsia" w:ascii="宋体" w:hAnsi="宋体"/>
          <w:color w:val="auto"/>
          <w:sz w:val="22"/>
          <w:szCs w:val="22"/>
          <w:u w:val="single"/>
        </w:rPr>
        <w:t>全部内容</w:t>
      </w:r>
    </w:p>
    <w:p w14:paraId="7CA1B2C7">
      <w:pPr>
        <w:spacing w:line="440" w:lineRule="exact"/>
        <w:rPr>
          <w:rFonts w:ascii="宋体" w:hAnsi="宋体"/>
          <w:b/>
          <w:bCs/>
          <w:color w:val="auto"/>
          <w:sz w:val="22"/>
          <w:szCs w:val="22"/>
        </w:rPr>
      </w:pPr>
      <w:r>
        <w:rPr>
          <w:rFonts w:ascii="宋体" w:hAnsi="宋体"/>
          <w:b/>
          <w:bCs/>
          <w:color w:val="auto"/>
          <w:sz w:val="22"/>
          <w:szCs w:val="22"/>
        </w:rPr>
        <w:t>二、</w:t>
      </w:r>
      <w:r>
        <w:rPr>
          <w:rFonts w:hint="eastAsia" w:ascii="宋体" w:hAnsi="宋体"/>
          <w:b/>
          <w:bCs/>
          <w:color w:val="auto"/>
          <w:sz w:val="22"/>
          <w:szCs w:val="22"/>
        </w:rPr>
        <w:t xml:space="preserve"> </w:t>
      </w:r>
      <w:r>
        <w:rPr>
          <w:rFonts w:ascii="宋体" w:hAnsi="宋体"/>
          <w:b/>
          <w:bCs/>
          <w:color w:val="auto"/>
          <w:sz w:val="22"/>
          <w:szCs w:val="22"/>
        </w:rPr>
        <w:t>质量保修期</w:t>
      </w:r>
    </w:p>
    <w:p w14:paraId="7C588AF7">
      <w:pPr>
        <w:spacing w:line="440" w:lineRule="exact"/>
        <w:ind w:firstLine="550" w:firstLineChars="250"/>
        <w:rPr>
          <w:rFonts w:ascii="宋体" w:hAnsi="宋体"/>
          <w:color w:val="auto"/>
          <w:sz w:val="22"/>
          <w:szCs w:val="22"/>
        </w:rPr>
      </w:pPr>
      <w:r>
        <w:rPr>
          <w:rFonts w:ascii="宋体" w:hAnsi="宋体"/>
          <w:color w:val="auto"/>
          <w:sz w:val="22"/>
          <w:szCs w:val="22"/>
        </w:rPr>
        <w:t>根据《建设工程质量管理条例》及有关规定，工程的质量保修期如下：</w:t>
      </w:r>
    </w:p>
    <w:p w14:paraId="3ED2A4FE">
      <w:pPr>
        <w:spacing w:line="440" w:lineRule="exact"/>
        <w:ind w:firstLine="220" w:firstLineChars="100"/>
        <w:rPr>
          <w:rFonts w:hint="eastAsia" w:ascii="宋体" w:hAnsi="宋体"/>
          <w:color w:val="auto"/>
          <w:sz w:val="22"/>
          <w:szCs w:val="22"/>
        </w:rPr>
      </w:pPr>
      <w:r>
        <w:rPr>
          <w:rFonts w:hint="eastAsia" w:ascii="宋体" w:hAnsi="宋体"/>
          <w:color w:val="auto"/>
          <w:sz w:val="22"/>
          <w:szCs w:val="22"/>
        </w:rPr>
        <w:t>1. 地基基础工程和主体结构工程为设计文件规定的工程合理使用年限；</w:t>
      </w:r>
    </w:p>
    <w:p w14:paraId="438CC34D">
      <w:pPr>
        <w:spacing w:line="440" w:lineRule="exact"/>
        <w:ind w:firstLine="220" w:firstLineChars="100"/>
        <w:rPr>
          <w:rFonts w:ascii="宋体" w:hAnsi="宋体"/>
          <w:color w:val="auto"/>
          <w:sz w:val="22"/>
          <w:szCs w:val="22"/>
        </w:rPr>
      </w:pPr>
      <w:r>
        <w:rPr>
          <w:rFonts w:hint="eastAsia" w:ascii="宋体" w:hAnsi="宋体"/>
          <w:color w:val="auto"/>
          <w:sz w:val="22"/>
          <w:szCs w:val="22"/>
        </w:rPr>
        <w:t xml:space="preserve">2. </w:t>
      </w:r>
      <w:r>
        <w:rPr>
          <w:rFonts w:ascii="宋体" w:hAnsi="宋体"/>
          <w:color w:val="auto"/>
          <w:sz w:val="22"/>
          <w:szCs w:val="22"/>
        </w:rPr>
        <w:t>屋面防水工程、有防水要求的卫生间、房间和外墙面的防渗</w:t>
      </w:r>
      <w:r>
        <w:rPr>
          <w:rFonts w:hint="eastAsia" w:ascii="宋体" w:hAnsi="宋体"/>
          <w:color w:val="auto"/>
          <w:sz w:val="22"/>
          <w:szCs w:val="22"/>
        </w:rPr>
        <w:t>为</w:t>
      </w:r>
      <w:r>
        <w:rPr>
          <w:rFonts w:hint="eastAsia" w:ascii="宋体" w:hAnsi="宋体"/>
          <w:color w:val="auto"/>
          <w:sz w:val="22"/>
          <w:szCs w:val="22"/>
          <w:u w:val="single"/>
        </w:rPr>
        <w:t xml:space="preserve">  伍  </w:t>
      </w:r>
      <w:r>
        <w:rPr>
          <w:rFonts w:ascii="宋体" w:hAnsi="宋体"/>
          <w:color w:val="auto"/>
          <w:sz w:val="22"/>
          <w:szCs w:val="22"/>
        </w:rPr>
        <w:t>年；</w:t>
      </w:r>
    </w:p>
    <w:p w14:paraId="756C8E40">
      <w:pPr>
        <w:spacing w:line="440" w:lineRule="exact"/>
        <w:ind w:firstLine="220" w:firstLineChars="100"/>
        <w:rPr>
          <w:rFonts w:ascii="宋体" w:hAnsi="宋体"/>
          <w:color w:val="auto"/>
          <w:sz w:val="22"/>
          <w:szCs w:val="22"/>
        </w:rPr>
      </w:pPr>
      <w:r>
        <w:rPr>
          <w:rFonts w:hint="eastAsia" w:ascii="宋体" w:hAnsi="宋体"/>
          <w:color w:val="auto"/>
          <w:sz w:val="22"/>
          <w:szCs w:val="22"/>
        </w:rPr>
        <w:t xml:space="preserve">3. </w:t>
      </w:r>
      <w:r>
        <w:rPr>
          <w:rFonts w:ascii="宋体" w:hAnsi="宋体"/>
          <w:color w:val="auto"/>
          <w:sz w:val="22"/>
          <w:szCs w:val="22"/>
        </w:rPr>
        <w:t>装修工程为</w:t>
      </w:r>
      <w:r>
        <w:rPr>
          <w:rFonts w:hint="eastAsia" w:ascii="宋体" w:hAnsi="宋体"/>
          <w:color w:val="auto"/>
          <w:sz w:val="22"/>
          <w:szCs w:val="22"/>
          <w:u w:val="single"/>
        </w:rPr>
        <w:t xml:space="preserve"> 贰</w:t>
      </w:r>
      <w:r>
        <w:rPr>
          <w:rFonts w:ascii="宋体" w:hAnsi="宋体"/>
          <w:color w:val="auto"/>
          <w:sz w:val="22"/>
          <w:szCs w:val="22"/>
          <w:u w:val="single"/>
        </w:rPr>
        <w:t xml:space="preserve">  </w:t>
      </w:r>
      <w:r>
        <w:rPr>
          <w:rFonts w:ascii="宋体" w:hAnsi="宋体"/>
          <w:color w:val="auto"/>
          <w:sz w:val="22"/>
          <w:szCs w:val="22"/>
        </w:rPr>
        <w:t>年；</w:t>
      </w:r>
    </w:p>
    <w:p w14:paraId="0AB03F1C">
      <w:pPr>
        <w:spacing w:line="440" w:lineRule="exact"/>
        <w:ind w:firstLine="220" w:firstLineChars="100"/>
        <w:rPr>
          <w:rFonts w:ascii="宋体" w:hAnsi="宋体"/>
          <w:color w:val="auto"/>
          <w:sz w:val="22"/>
          <w:szCs w:val="22"/>
        </w:rPr>
      </w:pPr>
      <w:r>
        <w:rPr>
          <w:rFonts w:hint="eastAsia" w:ascii="宋体" w:hAnsi="宋体"/>
          <w:color w:val="auto"/>
          <w:sz w:val="22"/>
          <w:szCs w:val="22"/>
        </w:rPr>
        <w:t xml:space="preserve">4. </w:t>
      </w:r>
      <w:r>
        <w:rPr>
          <w:rFonts w:ascii="宋体" w:hAnsi="宋体"/>
          <w:color w:val="auto"/>
          <w:sz w:val="22"/>
          <w:szCs w:val="22"/>
        </w:rPr>
        <w:t>电气管线、给排水管道、设备安装工程为</w:t>
      </w:r>
      <w:r>
        <w:rPr>
          <w:rFonts w:hint="eastAsia" w:ascii="宋体" w:hAnsi="宋体"/>
          <w:color w:val="auto"/>
          <w:sz w:val="22"/>
          <w:szCs w:val="22"/>
          <w:u w:val="single"/>
        </w:rPr>
        <w:t xml:space="preserve"> 贰</w:t>
      </w:r>
      <w:r>
        <w:rPr>
          <w:rFonts w:ascii="宋体" w:hAnsi="宋体"/>
          <w:color w:val="auto"/>
          <w:sz w:val="22"/>
          <w:szCs w:val="22"/>
          <w:u w:val="single"/>
        </w:rPr>
        <w:t xml:space="preserve">  </w:t>
      </w:r>
      <w:r>
        <w:rPr>
          <w:rFonts w:ascii="宋体" w:hAnsi="宋体"/>
          <w:color w:val="auto"/>
          <w:sz w:val="22"/>
          <w:szCs w:val="22"/>
        </w:rPr>
        <w:t>年</w:t>
      </w:r>
      <w:r>
        <w:rPr>
          <w:rFonts w:hint="eastAsia" w:ascii="宋体" w:hAnsi="宋体"/>
          <w:color w:val="auto"/>
          <w:sz w:val="22"/>
          <w:szCs w:val="22"/>
          <w:lang w:eastAsia="zh-CN"/>
        </w:rPr>
        <w:t>，本项目</w:t>
      </w:r>
      <w:r>
        <w:rPr>
          <w:rFonts w:hint="eastAsia" w:ascii="宋体" w:hAnsi="宋体"/>
          <w:color w:val="auto"/>
          <w:sz w:val="22"/>
          <w:szCs w:val="22"/>
          <w:lang w:val="en-US" w:eastAsia="zh-CN"/>
        </w:rPr>
        <w:t>设备</w:t>
      </w:r>
      <w:r>
        <w:rPr>
          <w:rFonts w:hint="eastAsia" w:ascii="宋体" w:hAnsi="宋体"/>
          <w:color w:val="auto"/>
          <w:sz w:val="22"/>
          <w:szCs w:val="22"/>
          <w:lang w:eastAsia="zh-CN"/>
        </w:rPr>
        <w:t>产品应提供自货物验收合格并交付使用后</w:t>
      </w:r>
      <w:r>
        <w:rPr>
          <w:rFonts w:hint="eastAsia" w:ascii="宋体" w:hAnsi="宋体"/>
          <w:color w:val="auto"/>
          <w:sz w:val="22"/>
          <w:szCs w:val="22"/>
          <w:u w:val="single"/>
          <w:lang w:eastAsia="zh-CN"/>
        </w:rPr>
        <w:t xml:space="preserve"> </w:t>
      </w:r>
      <w:r>
        <w:rPr>
          <w:rFonts w:hint="eastAsia" w:ascii="宋体" w:hAnsi="宋体"/>
          <w:color w:val="auto"/>
          <w:sz w:val="22"/>
          <w:szCs w:val="22"/>
          <w:u w:val="single"/>
          <w:lang w:val="en-US" w:eastAsia="zh-CN"/>
        </w:rPr>
        <w:t>三</w:t>
      </w:r>
      <w:r>
        <w:rPr>
          <w:rFonts w:hint="eastAsia" w:ascii="宋体" w:hAnsi="宋体"/>
          <w:color w:val="auto"/>
          <w:sz w:val="22"/>
          <w:szCs w:val="22"/>
          <w:u w:val="single"/>
          <w:lang w:eastAsia="zh-CN"/>
        </w:rPr>
        <w:t xml:space="preserve">年 </w:t>
      </w:r>
      <w:r>
        <w:rPr>
          <w:rFonts w:hint="eastAsia" w:ascii="宋体" w:hAnsi="宋体"/>
          <w:color w:val="auto"/>
          <w:sz w:val="22"/>
          <w:szCs w:val="22"/>
          <w:lang w:eastAsia="zh-CN"/>
        </w:rPr>
        <w:t>的现场免费质保期（</w:t>
      </w:r>
      <w:r>
        <w:rPr>
          <w:rFonts w:hint="eastAsia" w:ascii="宋体" w:hAnsi="宋体"/>
          <w:color w:val="auto"/>
          <w:sz w:val="22"/>
          <w:szCs w:val="22"/>
          <w:lang w:val="en-US" w:eastAsia="zh-CN"/>
        </w:rPr>
        <w:t>须提供</w:t>
      </w:r>
      <w:r>
        <w:rPr>
          <w:rFonts w:hint="eastAsia" w:ascii="宋体" w:hAnsi="宋体" w:cs="宋体"/>
          <w:bCs/>
          <w:color w:val="auto"/>
          <w:sz w:val="22"/>
          <w:szCs w:val="22"/>
          <w:lang w:val="en-US" w:eastAsia="zh-CN"/>
        </w:rPr>
        <w:t>设备质保承诺函</w:t>
      </w:r>
      <w:r>
        <w:rPr>
          <w:rFonts w:hint="eastAsia" w:ascii="宋体" w:hAnsi="宋体"/>
          <w:color w:val="auto"/>
          <w:sz w:val="22"/>
          <w:szCs w:val="22"/>
          <w:lang w:eastAsia="zh-CN"/>
        </w:rPr>
        <w:t>），如厂商本身承诺的产品质保期高于此要求的则按照厂商承诺执行。在质量保证期内，乙方对由于产品设计、工艺、材料、配套件的缺陷而造成的任何产品质量问题或故障负责</w:t>
      </w:r>
      <w:r>
        <w:rPr>
          <w:rFonts w:ascii="宋体" w:hAnsi="宋体"/>
          <w:color w:val="auto"/>
          <w:sz w:val="22"/>
          <w:szCs w:val="22"/>
        </w:rPr>
        <w:t>；</w:t>
      </w:r>
    </w:p>
    <w:p w14:paraId="5D85C3F4">
      <w:pPr>
        <w:spacing w:line="440" w:lineRule="exact"/>
        <w:ind w:firstLine="220" w:firstLineChars="100"/>
        <w:rPr>
          <w:rFonts w:ascii="宋体" w:hAnsi="宋体"/>
          <w:color w:val="auto"/>
          <w:sz w:val="22"/>
          <w:szCs w:val="22"/>
        </w:rPr>
      </w:pPr>
      <w:r>
        <w:rPr>
          <w:rFonts w:hint="eastAsia" w:ascii="宋体" w:hAnsi="宋体"/>
          <w:color w:val="auto"/>
          <w:sz w:val="22"/>
          <w:szCs w:val="22"/>
        </w:rPr>
        <w:t xml:space="preserve">5. </w:t>
      </w:r>
      <w:r>
        <w:rPr>
          <w:rFonts w:ascii="宋体" w:hAnsi="宋体"/>
          <w:color w:val="auto"/>
          <w:sz w:val="22"/>
          <w:szCs w:val="22"/>
        </w:rPr>
        <w:t>供热与供冷系统为</w:t>
      </w:r>
      <w:r>
        <w:rPr>
          <w:rFonts w:ascii="宋体" w:hAnsi="宋体"/>
          <w:color w:val="auto"/>
          <w:sz w:val="22"/>
          <w:szCs w:val="22"/>
          <w:u w:val="single"/>
        </w:rPr>
        <w:t xml:space="preserve">  </w:t>
      </w:r>
      <w:r>
        <w:rPr>
          <w:rFonts w:hint="eastAsia" w:ascii="宋体" w:hAnsi="宋体"/>
          <w:color w:val="auto"/>
          <w:sz w:val="22"/>
          <w:szCs w:val="22"/>
          <w:u w:val="single"/>
        </w:rPr>
        <w:t>贰</w:t>
      </w:r>
      <w:r>
        <w:rPr>
          <w:rFonts w:ascii="宋体" w:hAnsi="宋体"/>
          <w:color w:val="auto"/>
          <w:sz w:val="22"/>
          <w:szCs w:val="22"/>
          <w:u w:val="single"/>
        </w:rPr>
        <w:t xml:space="preserve"> </w:t>
      </w:r>
      <w:r>
        <w:rPr>
          <w:rFonts w:ascii="宋体" w:hAnsi="宋体"/>
          <w:color w:val="auto"/>
          <w:sz w:val="22"/>
          <w:szCs w:val="22"/>
        </w:rPr>
        <w:t>个采暖期、供冷期；</w:t>
      </w:r>
    </w:p>
    <w:p w14:paraId="4C032769">
      <w:pPr>
        <w:spacing w:line="440" w:lineRule="exact"/>
        <w:ind w:firstLine="220" w:firstLineChars="100"/>
        <w:rPr>
          <w:rFonts w:hint="eastAsia" w:ascii="宋体" w:hAnsi="宋体"/>
          <w:color w:val="auto"/>
          <w:sz w:val="22"/>
          <w:szCs w:val="22"/>
        </w:rPr>
      </w:pPr>
      <w:r>
        <w:rPr>
          <w:rFonts w:hint="eastAsia" w:ascii="宋体" w:hAnsi="宋体"/>
          <w:color w:val="auto"/>
          <w:sz w:val="22"/>
          <w:szCs w:val="22"/>
        </w:rPr>
        <w:t xml:space="preserve">6. </w:t>
      </w:r>
      <w:r>
        <w:rPr>
          <w:rFonts w:ascii="宋体" w:hAnsi="宋体"/>
          <w:color w:val="auto"/>
          <w:sz w:val="22"/>
          <w:szCs w:val="22"/>
        </w:rPr>
        <w:t>住宅小区内的给排水设施、道路等配套工程为</w:t>
      </w:r>
      <w:r>
        <w:rPr>
          <w:rFonts w:ascii="宋体" w:hAnsi="宋体"/>
          <w:color w:val="auto"/>
          <w:sz w:val="22"/>
          <w:szCs w:val="22"/>
          <w:u w:val="single"/>
        </w:rPr>
        <w:t xml:space="preserve">  </w:t>
      </w:r>
      <w:r>
        <w:rPr>
          <w:rFonts w:hint="eastAsia" w:ascii="宋体" w:hAnsi="宋体"/>
          <w:color w:val="auto"/>
          <w:sz w:val="22"/>
          <w:szCs w:val="22"/>
          <w:u w:val="single"/>
        </w:rPr>
        <w:t>贰</w:t>
      </w:r>
      <w:r>
        <w:rPr>
          <w:rFonts w:ascii="宋体" w:hAnsi="宋体"/>
          <w:color w:val="auto"/>
          <w:sz w:val="22"/>
          <w:szCs w:val="22"/>
          <w:u w:val="single"/>
        </w:rPr>
        <w:t xml:space="preserve">  </w:t>
      </w:r>
      <w:r>
        <w:rPr>
          <w:rFonts w:ascii="宋体" w:hAnsi="宋体"/>
          <w:color w:val="auto"/>
          <w:sz w:val="22"/>
          <w:szCs w:val="22"/>
        </w:rPr>
        <w:t>年</w:t>
      </w:r>
    </w:p>
    <w:p w14:paraId="60CD75C8">
      <w:pPr>
        <w:spacing w:line="440" w:lineRule="exact"/>
        <w:ind w:firstLine="220" w:firstLineChars="100"/>
        <w:rPr>
          <w:rFonts w:ascii="宋体" w:hAnsi="宋体"/>
          <w:color w:val="auto"/>
          <w:sz w:val="22"/>
          <w:szCs w:val="22"/>
        </w:rPr>
      </w:pPr>
      <w:r>
        <w:rPr>
          <w:rFonts w:ascii="宋体" w:hAnsi="宋体"/>
          <w:color w:val="auto"/>
          <w:sz w:val="22"/>
          <w:szCs w:val="22"/>
        </w:rPr>
        <w:t>7</w:t>
      </w:r>
      <w:r>
        <w:rPr>
          <w:rFonts w:hint="eastAsia" w:ascii="宋体" w:hAnsi="宋体"/>
          <w:color w:val="auto"/>
          <w:sz w:val="22"/>
          <w:szCs w:val="22"/>
        </w:rPr>
        <w:t xml:space="preserve">. </w:t>
      </w:r>
      <w:r>
        <w:rPr>
          <w:rFonts w:ascii="宋体" w:hAnsi="宋体"/>
          <w:color w:val="auto"/>
          <w:sz w:val="22"/>
          <w:szCs w:val="22"/>
        </w:rPr>
        <w:t>其他项目保修期限约定如下：</w:t>
      </w:r>
    </w:p>
    <w:p w14:paraId="034806E6">
      <w:pPr>
        <w:spacing w:line="440" w:lineRule="exact"/>
        <w:rPr>
          <w:rFonts w:hint="eastAsia" w:ascii="宋体" w:hAnsi="宋体"/>
          <w:color w:val="auto"/>
          <w:sz w:val="22"/>
          <w:szCs w:val="22"/>
        </w:rPr>
      </w:pP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u w:val="single"/>
        </w:rPr>
        <w:t xml:space="preserve">按《建筑工程质量管理条例》和《房屋建筑工程质量保修办法》执行 </w:t>
      </w:r>
    </w:p>
    <w:p w14:paraId="222DEE82">
      <w:pPr>
        <w:spacing w:line="440" w:lineRule="exact"/>
        <w:rPr>
          <w:rFonts w:hint="eastAsia" w:ascii="宋体" w:hAnsi="宋体"/>
          <w:color w:val="auto"/>
          <w:sz w:val="22"/>
          <w:szCs w:val="22"/>
        </w:rPr>
      </w:pPr>
      <w:r>
        <w:rPr>
          <w:rFonts w:ascii="宋体" w:hAnsi="宋体"/>
          <w:color w:val="auto"/>
          <w:sz w:val="22"/>
          <w:szCs w:val="22"/>
        </w:rPr>
        <w:t>　　质量保修期自工程竣工验收合格之日起计算。</w:t>
      </w:r>
    </w:p>
    <w:p w14:paraId="445631A8">
      <w:pPr>
        <w:spacing w:line="440" w:lineRule="exact"/>
        <w:rPr>
          <w:rFonts w:ascii="宋体" w:hAnsi="宋体"/>
          <w:b/>
          <w:bCs/>
          <w:color w:val="auto"/>
          <w:sz w:val="22"/>
          <w:szCs w:val="22"/>
        </w:rPr>
      </w:pPr>
      <w:r>
        <w:rPr>
          <w:rFonts w:ascii="宋体" w:hAnsi="宋体"/>
          <w:b/>
          <w:bCs/>
          <w:color w:val="auto"/>
          <w:sz w:val="22"/>
          <w:szCs w:val="22"/>
        </w:rPr>
        <w:t>三、</w:t>
      </w:r>
      <w:r>
        <w:rPr>
          <w:rFonts w:hint="eastAsia" w:ascii="宋体" w:hAnsi="宋体"/>
          <w:b/>
          <w:bCs/>
          <w:color w:val="auto"/>
          <w:sz w:val="22"/>
          <w:szCs w:val="22"/>
        </w:rPr>
        <w:t xml:space="preserve"> </w:t>
      </w:r>
      <w:r>
        <w:rPr>
          <w:rFonts w:ascii="宋体" w:hAnsi="宋体"/>
          <w:b/>
          <w:bCs/>
          <w:color w:val="auto"/>
          <w:sz w:val="22"/>
          <w:szCs w:val="22"/>
        </w:rPr>
        <w:t>缺陷责任期</w:t>
      </w:r>
    </w:p>
    <w:p w14:paraId="2E74B0E3">
      <w:pPr>
        <w:spacing w:line="440" w:lineRule="exact"/>
        <w:ind w:left="548" w:leftChars="261"/>
        <w:rPr>
          <w:rFonts w:ascii="宋体" w:hAnsi="宋体"/>
          <w:color w:val="auto"/>
          <w:sz w:val="22"/>
          <w:szCs w:val="22"/>
        </w:rPr>
      </w:pPr>
      <w:r>
        <w:rPr>
          <w:rFonts w:ascii="宋体" w:hAnsi="宋体"/>
          <w:color w:val="auto"/>
          <w:sz w:val="22"/>
          <w:szCs w:val="22"/>
        </w:rPr>
        <w:t>工程缺陷责任期为</w:t>
      </w:r>
      <w:r>
        <w:rPr>
          <w:rFonts w:ascii="宋体" w:hAnsi="宋体"/>
          <w:color w:val="auto"/>
          <w:sz w:val="22"/>
          <w:szCs w:val="22"/>
          <w:u w:val="single"/>
        </w:rPr>
        <w:t xml:space="preserve"> </w:t>
      </w:r>
      <w:r>
        <w:rPr>
          <w:rFonts w:hint="eastAsia" w:ascii="宋体" w:hAnsi="宋体"/>
          <w:color w:val="auto"/>
          <w:sz w:val="22"/>
          <w:szCs w:val="22"/>
          <w:u w:val="single"/>
        </w:rPr>
        <w:t>24</w:t>
      </w:r>
      <w:r>
        <w:rPr>
          <w:rFonts w:ascii="宋体" w:hAnsi="宋体"/>
          <w:color w:val="auto"/>
          <w:sz w:val="22"/>
          <w:szCs w:val="22"/>
          <w:u w:val="single"/>
        </w:rPr>
        <w:t xml:space="preserve"> </w:t>
      </w:r>
      <w:r>
        <w:rPr>
          <w:rFonts w:ascii="宋体" w:hAnsi="宋体"/>
          <w:color w:val="auto"/>
          <w:sz w:val="22"/>
          <w:szCs w:val="22"/>
        </w:rPr>
        <w:t>个月，缺陷责任期自工程竣工验收合格之日起计算。单位工程先于全部工程进行验收，单位工程缺陷责任期自单位工程验收合格之日起算。</w:t>
      </w:r>
    </w:p>
    <w:p w14:paraId="449D88A4">
      <w:pPr>
        <w:spacing w:line="440" w:lineRule="exact"/>
        <w:ind w:firstLine="550" w:firstLineChars="250"/>
        <w:rPr>
          <w:rFonts w:ascii="宋体" w:hAnsi="宋体"/>
          <w:color w:val="auto"/>
          <w:sz w:val="22"/>
          <w:szCs w:val="22"/>
        </w:rPr>
      </w:pPr>
      <w:r>
        <w:rPr>
          <w:rFonts w:ascii="宋体" w:hAnsi="宋体"/>
          <w:color w:val="auto"/>
          <w:sz w:val="22"/>
          <w:szCs w:val="22"/>
        </w:rPr>
        <w:t>缺陷责任期终止后，发包人应退还剩余的质量保证金。</w:t>
      </w:r>
    </w:p>
    <w:p w14:paraId="53A1B141">
      <w:pPr>
        <w:spacing w:line="440" w:lineRule="exact"/>
        <w:rPr>
          <w:rFonts w:ascii="宋体" w:hAnsi="宋体"/>
          <w:b/>
          <w:bCs/>
          <w:color w:val="auto"/>
          <w:sz w:val="22"/>
          <w:szCs w:val="22"/>
        </w:rPr>
      </w:pPr>
      <w:r>
        <w:rPr>
          <w:rFonts w:ascii="宋体" w:hAnsi="宋体"/>
          <w:b/>
          <w:bCs/>
          <w:color w:val="auto"/>
          <w:sz w:val="22"/>
          <w:szCs w:val="22"/>
        </w:rPr>
        <w:t>四、</w:t>
      </w:r>
      <w:r>
        <w:rPr>
          <w:rFonts w:hint="eastAsia" w:ascii="宋体" w:hAnsi="宋体"/>
          <w:b/>
          <w:bCs/>
          <w:color w:val="auto"/>
          <w:sz w:val="22"/>
          <w:szCs w:val="22"/>
        </w:rPr>
        <w:t xml:space="preserve"> </w:t>
      </w:r>
      <w:r>
        <w:rPr>
          <w:rFonts w:ascii="宋体" w:hAnsi="宋体"/>
          <w:b/>
          <w:bCs/>
          <w:color w:val="auto"/>
          <w:sz w:val="22"/>
          <w:szCs w:val="22"/>
        </w:rPr>
        <w:t>质量保修责任</w:t>
      </w:r>
    </w:p>
    <w:p w14:paraId="32FA507F">
      <w:pPr>
        <w:spacing w:line="440" w:lineRule="exact"/>
        <w:ind w:left="548" w:leftChars="104" w:hanging="330" w:hangingChars="150"/>
        <w:rPr>
          <w:rFonts w:ascii="宋体" w:hAnsi="宋体"/>
          <w:color w:val="auto"/>
          <w:sz w:val="22"/>
          <w:szCs w:val="22"/>
        </w:rPr>
      </w:pPr>
      <w:r>
        <w:rPr>
          <w:rFonts w:hint="eastAsia" w:ascii="宋体" w:hAnsi="宋体"/>
          <w:color w:val="auto"/>
          <w:sz w:val="22"/>
          <w:szCs w:val="22"/>
        </w:rPr>
        <w:t xml:space="preserve">1. </w:t>
      </w:r>
      <w:r>
        <w:rPr>
          <w:rFonts w:ascii="宋体" w:hAnsi="宋体"/>
          <w:color w:val="auto"/>
          <w:sz w:val="22"/>
          <w:szCs w:val="22"/>
        </w:rPr>
        <w:t>属于保修范围、内容的项目，承包人应当在接到保修通知之日起7天内派人保修。承包人不在约定期限内派人保修的，发包人可以委托他人修理。</w:t>
      </w:r>
    </w:p>
    <w:p w14:paraId="6B1B9C8E">
      <w:pPr>
        <w:spacing w:line="440" w:lineRule="exact"/>
        <w:ind w:firstLine="220" w:firstLineChars="100"/>
        <w:rPr>
          <w:rFonts w:ascii="宋体" w:hAnsi="宋体"/>
          <w:color w:val="auto"/>
          <w:sz w:val="22"/>
          <w:szCs w:val="22"/>
        </w:rPr>
      </w:pPr>
      <w:r>
        <w:rPr>
          <w:rFonts w:hint="eastAsia" w:ascii="宋体" w:hAnsi="宋体"/>
          <w:color w:val="auto"/>
          <w:sz w:val="22"/>
          <w:szCs w:val="22"/>
        </w:rPr>
        <w:t xml:space="preserve">2. </w:t>
      </w:r>
      <w:r>
        <w:rPr>
          <w:rFonts w:ascii="宋体" w:hAnsi="宋体"/>
          <w:color w:val="auto"/>
          <w:sz w:val="22"/>
          <w:szCs w:val="22"/>
        </w:rPr>
        <w:t>发生紧急事故需抢修的，承包人在接到事故通知后，应当立即到达事故现场抢修。</w:t>
      </w:r>
    </w:p>
    <w:p w14:paraId="50412948">
      <w:pPr>
        <w:spacing w:line="440" w:lineRule="exact"/>
        <w:ind w:left="548" w:leftChars="104" w:hanging="330" w:hangingChars="150"/>
        <w:rPr>
          <w:rFonts w:ascii="宋体" w:hAnsi="宋体"/>
          <w:color w:val="auto"/>
          <w:sz w:val="22"/>
          <w:szCs w:val="22"/>
        </w:rPr>
      </w:pPr>
      <w:r>
        <w:rPr>
          <w:rFonts w:hint="eastAsia" w:ascii="宋体" w:hAnsi="宋体"/>
          <w:color w:val="auto"/>
          <w:sz w:val="22"/>
          <w:szCs w:val="22"/>
        </w:rPr>
        <w:t xml:space="preserve">3. </w:t>
      </w:r>
      <w:r>
        <w:rPr>
          <w:rFonts w:ascii="宋体" w:hAnsi="宋体"/>
          <w:color w:val="auto"/>
          <w:sz w:val="22"/>
          <w:szCs w:val="22"/>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09B075E">
      <w:pPr>
        <w:spacing w:line="440" w:lineRule="exact"/>
        <w:ind w:firstLine="220" w:firstLineChars="100"/>
        <w:rPr>
          <w:rFonts w:ascii="宋体" w:hAnsi="宋体"/>
          <w:color w:val="auto"/>
          <w:sz w:val="22"/>
          <w:szCs w:val="22"/>
        </w:rPr>
      </w:pPr>
      <w:r>
        <w:rPr>
          <w:rFonts w:hint="eastAsia" w:ascii="宋体" w:hAnsi="宋体"/>
          <w:color w:val="auto"/>
          <w:sz w:val="22"/>
          <w:szCs w:val="22"/>
        </w:rPr>
        <w:t xml:space="preserve">4. </w:t>
      </w:r>
      <w:r>
        <w:rPr>
          <w:rFonts w:ascii="宋体" w:hAnsi="宋体"/>
          <w:color w:val="auto"/>
          <w:sz w:val="22"/>
          <w:szCs w:val="22"/>
        </w:rPr>
        <w:t>质量保修完成后，由发包人组织验收。</w:t>
      </w:r>
    </w:p>
    <w:p w14:paraId="2EA1398F">
      <w:pPr>
        <w:spacing w:line="440" w:lineRule="exact"/>
        <w:rPr>
          <w:rFonts w:ascii="宋体" w:hAnsi="宋体"/>
          <w:color w:val="auto"/>
          <w:sz w:val="22"/>
          <w:szCs w:val="22"/>
        </w:rPr>
      </w:pPr>
      <w:r>
        <w:rPr>
          <w:rFonts w:ascii="宋体" w:hAnsi="宋体"/>
          <w:b/>
          <w:bCs/>
          <w:color w:val="auto"/>
          <w:sz w:val="22"/>
          <w:szCs w:val="22"/>
        </w:rPr>
        <w:t>五、</w:t>
      </w:r>
      <w:r>
        <w:rPr>
          <w:rFonts w:hint="eastAsia" w:ascii="宋体" w:hAnsi="宋体"/>
          <w:b/>
          <w:bCs/>
          <w:color w:val="auto"/>
          <w:sz w:val="22"/>
          <w:szCs w:val="22"/>
        </w:rPr>
        <w:t xml:space="preserve"> </w:t>
      </w:r>
      <w:r>
        <w:rPr>
          <w:rFonts w:ascii="宋体" w:hAnsi="宋体"/>
          <w:b/>
          <w:bCs/>
          <w:color w:val="auto"/>
          <w:sz w:val="22"/>
          <w:szCs w:val="22"/>
        </w:rPr>
        <w:t>保修费用</w:t>
      </w:r>
    </w:p>
    <w:p w14:paraId="03FB8817">
      <w:pPr>
        <w:spacing w:line="440" w:lineRule="exact"/>
        <w:ind w:firstLine="550" w:firstLineChars="250"/>
        <w:rPr>
          <w:rFonts w:ascii="宋体" w:hAnsi="宋体"/>
          <w:color w:val="auto"/>
          <w:sz w:val="22"/>
          <w:szCs w:val="22"/>
        </w:rPr>
      </w:pPr>
      <w:r>
        <w:rPr>
          <w:rFonts w:ascii="宋体" w:hAnsi="宋体"/>
          <w:color w:val="auto"/>
          <w:sz w:val="22"/>
          <w:szCs w:val="22"/>
        </w:rPr>
        <w:t>保修费用由造成质量缺陷的责任方承担。</w:t>
      </w:r>
    </w:p>
    <w:p w14:paraId="32E38C0D">
      <w:pPr>
        <w:spacing w:line="440" w:lineRule="exact"/>
        <w:jc w:val="left"/>
        <w:rPr>
          <w:rFonts w:hint="eastAsia" w:ascii="宋体" w:hAnsi="宋体"/>
          <w:color w:val="auto"/>
          <w:sz w:val="22"/>
          <w:szCs w:val="22"/>
        </w:rPr>
      </w:pPr>
      <w:r>
        <w:rPr>
          <w:rFonts w:ascii="宋体" w:hAnsi="宋体"/>
          <w:b/>
          <w:bCs/>
          <w:color w:val="auto"/>
          <w:sz w:val="22"/>
          <w:szCs w:val="22"/>
        </w:rPr>
        <w:t>六、双方约定的其他工程质量保修事项</w:t>
      </w:r>
      <w:r>
        <w:rPr>
          <w:rFonts w:ascii="宋体" w:hAnsi="宋体"/>
          <w:b/>
          <w:bCs/>
          <w:color w:val="auto"/>
          <w:sz w:val="22"/>
          <w:szCs w:val="22"/>
          <w:u w:val="single"/>
        </w:rPr>
        <w:t xml:space="preserve">：          </w:t>
      </w:r>
      <w:r>
        <w:rPr>
          <w:rFonts w:hint="eastAsia" w:ascii="宋体" w:hAnsi="宋体"/>
          <w:b/>
          <w:bCs/>
          <w:color w:val="auto"/>
          <w:sz w:val="22"/>
          <w:szCs w:val="22"/>
          <w:u w:val="single"/>
        </w:rPr>
        <w:t xml:space="preserve">    </w:t>
      </w:r>
      <w:r>
        <w:rPr>
          <w:rFonts w:ascii="宋体" w:hAnsi="宋体"/>
          <w:b/>
          <w:bCs/>
          <w:color w:val="auto"/>
          <w:sz w:val="22"/>
          <w:szCs w:val="22"/>
          <w:u w:val="single"/>
        </w:rPr>
        <w:t xml:space="preserve">    </w:t>
      </w:r>
      <w:r>
        <w:rPr>
          <w:rFonts w:hint="eastAsia" w:ascii="宋体" w:hAnsi="宋体"/>
          <w:b/>
          <w:bCs/>
          <w:color w:val="auto"/>
          <w:sz w:val="22"/>
          <w:szCs w:val="22"/>
        </w:rPr>
        <w:t>。</w:t>
      </w:r>
    </w:p>
    <w:p w14:paraId="1AF4240B">
      <w:pPr>
        <w:spacing w:line="440" w:lineRule="exact"/>
        <w:ind w:left="525" w:leftChars="250"/>
        <w:rPr>
          <w:rFonts w:ascii="宋体" w:hAnsi="宋体"/>
          <w:color w:val="auto"/>
          <w:sz w:val="22"/>
          <w:szCs w:val="22"/>
        </w:rPr>
      </w:pPr>
      <w:r>
        <w:rPr>
          <w:rFonts w:ascii="宋体" w:hAnsi="宋体"/>
          <w:color w:val="auto"/>
          <w:sz w:val="22"/>
          <w:szCs w:val="22"/>
        </w:rPr>
        <w:t>工程质量保修书由发包人、承包人在工程竣工验收前共同签署，作为施工合同附件，其有效期限至保修期满。</w:t>
      </w:r>
    </w:p>
    <w:p w14:paraId="2CCE37D7">
      <w:pPr>
        <w:spacing w:line="440" w:lineRule="exact"/>
        <w:ind w:firstLine="420"/>
        <w:rPr>
          <w:rFonts w:ascii="宋体" w:hAnsi="宋体"/>
          <w:color w:val="auto"/>
          <w:sz w:val="22"/>
          <w:szCs w:val="22"/>
        </w:rPr>
      </w:pPr>
    </w:p>
    <w:p w14:paraId="49AE8F2A">
      <w:pPr>
        <w:spacing w:line="440" w:lineRule="exact"/>
        <w:rPr>
          <w:rFonts w:ascii="宋体" w:hAnsi="宋体"/>
          <w:color w:val="auto"/>
          <w:sz w:val="22"/>
          <w:szCs w:val="22"/>
        </w:rPr>
      </w:pPr>
      <w:r>
        <w:rPr>
          <w:rFonts w:ascii="宋体" w:hAnsi="宋体"/>
          <w:color w:val="auto"/>
          <w:sz w:val="22"/>
          <w:szCs w:val="22"/>
        </w:rPr>
        <w:t>发包人(公章)：</w:t>
      </w:r>
      <w:r>
        <w:rPr>
          <w:rFonts w:ascii="宋体" w:hAnsi="宋体"/>
          <w:color w:val="auto"/>
          <w:sz w:val="22"/>
          <w:szCs w:val="22"/>
          <w:u w:val="single"/>
        </w:rPr>
        <w:t xml:space="preserve">  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承包人(公章)：</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0410A04C">
      <w:pPr>
        <w:spacing w:line="440" w:lineRule="exact"/>
        <w:rPr>
          <w:rFonts w:hint="eastAsia" w:ascii="宋体" w:hAnsi="宋体"/>
          <w:color w:val="auto"/>
          <w:sz w:val="22"/>
          <w:szCs w:val="22"/>
        </w:rPr>
      </w:pPr>
      <w:r>
        <w:rPr>
          <w:rFonts w:ascii="宋体" w:hAnsi="宋体"/>
          <w:color w:val="auto"/>
          <w:sz w:val="22"/>
          <w:szCs w:val="22"/>
        </w:rPr>
        <w:t>地  址：</w:t>
      </w:r>
      <w:r>
        <w:rPr>
          <w:rFonts w:ascii="宋体" w:hAnsi="宋体"/>
          <w:color w:val="auto"/>
          <w:sz w:val="22"/>
          <w:szCs w:val="22"/>
          <w:u w:val="single"/>
        </w:rPr>
        <w:t xml:space="preserve">     </w:t>
      </w:r>
      <w:r>
        <w:rPr>
          <w:rFonts w:hint="eastAsia" w:ascii="宋体" w:hAnsi="宋体"/>
          <w:color w:val="auto"/>
          <w:sz w:val="22"/>
          <w:szCs w:val="22"/>
        </w:rPr>
        <w:t xml:space="preserve">                    </w:t>
      </w:r>
      <w:r>
        <w:rPr>
          <w:rFonts w:ascii="宋体" w:hAnsi="宋体"/>
          <w:color w:val="auto"/>
          <w:sz w:val="22"/>
          <w:szCs w:val="22"/>
        </w:rPr>
        <w:t>地  址：</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4E4737A0">
      <w:pPr>
        <w:spacing w:line="440" w:lineRule="exact"/>
        <w:rPr>
          <w:rFonts w:ascii="宋体" w:hAnsi="宋体"/>
          <w:color w:val="auto"/>
          <w:sz w:val="22"/>
          <w:szCs w:val="22"/>
        </w:rPr>
      </w:pPr>
      <w:r>
        <w:rPr>
          <w:rFonts w:ascii="宋体" w:hAnsi="宋体"/>
          <w:color w:val="auto"/>
          <w:sz w:val="22"/>
          <w:szCs w:val="22"/>
        </w:rPr>
        <w:t>法定代表人(签字)：</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法定代表人(签字)：</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54C1965A">
      <w:pPr>
        <w:spacing w:line="440" w:lineRule="exact"/>
        <w:rPr>
          <w:rFonts w:ascii="宋体" w:hAnsi="宋体"/>
          <w:color w:val="auto"/>
          <w:sz w:val="22"/>
          <w:szCs w:val="22"/>
        </w:rPr>
      </w:pPr>
      <w:r>
        <w:rPr>
          <w:rFonts w:ascii="宋体" w:hAnsi="宋体"/>
          <w:color w:val="auto"/>
          <w:sz w:val="22"/>
          <w:szCs w:val="22"/>
        </w:rPr>
        <w:t>委托代理人(签字)：</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委托代理人(签字)：</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7E087232">
      <w:pPr>
        <w:spacing w:line="440" w:lineRule="exact"/>
        <w:rPr>
          <w:rFonts w:ascii="宋体" w:hAnsi="宋体"/>
          <w:color w:val="auto"/>
          <w:sz w:val="22"/>
          <w:szCs w:val="22"/>
        </w:rPr>
      </w:pPr>
      <w:r>
        <w:rPr>
          <w:rFonts w:ascii="宋体" w:hAnsi="宋体"/>
          <w:color w:val="auto"/>
          <w:sz w:val="22"/>
          <w:szCs w:val="22"/>
        </w:rPr>
        <w:t>电  话：</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电  话：</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587187A4">
      <w:pPr>
        <w:spacing w:line="440" w:lineRule="exact"/>
        <w:rPr>
          <w:rFonts w:ascii="宋体" w:hAnsi="宋体"/>
          <w:color w:val="auto"/>
          <w:sz w:val="22"/>
          <w:szCs w:val="22"/>
        </w:rPr>
      </w:pPr>
      <w:r>
        <w:rPr>
          <w:rFonts w:ascii="宋体" w:hAnsi="宋体"/>
          <w:color w:val="auto"/>
          <w:sz w:val="22"/>
          <w:szCs w:val="22"/>
        </w:rPr>
        <w:t>传  真：</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传  真：</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p>
    <w:p w14:paraId="71C074A7">
      <w:pPr>
        <w:spacing w:line="440" w:lineRule="exact"/>
        <w:rPr>
          <w:rFonts w:ascii="宋体" w:hAnsi="宋体"/>
          <w:color w:val="auto"/>
          <w:sz w:val="22"/>
          <w:szCs w:val="22"/>
        </w:rPr>
      </w:pPr>
      <w:r>
        <w:rPr>
          <w:rFonts w:ascii="宋体" w:hAnsi="宋体"/>
          <w:color w:val="auto"/>
          <w:sz w:val="22"/>
          <w:szCs w:val="22"/>
        </w:rPr>
        <w:t>开户银行：</w:t>
      </w:r>
      <w:r>
        <w:rPr>
          <w:rFonts w:ascii="宋体" w:hAnsi="宋体"/>
          <w:color w:val="auto"/>
          <w:sz w:val="22"/>
          <w:szCs w:val="22"/>
          <w:u w:val="single"/>
        </w:rPr>
        <w:t xml:space="preserve">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开户银行：</w:t>
      </w:r>
      <w:r>
        <w:rPr>
          <w:rFonts w:ascii="宋体" w:hAnsi="宋体"/>
          <w:color w:val="auto"/>
          <w:sz w:val="22"/>
          <w:szCs w:val="22"/>
          <w:u w:val="single"/>
        </w:rPr>
        <w:t xml:space="preserve">   </w:t>
      </w:r>
    </w:p>
    <w:p w14:paraId="33EB3655">
      <w:pPr>
        <w:spacing w:line="440" w:lineRule="exact"/>
        <w:rPr>
          <w:rFonts w:ascii="宋体" w:hAnsi="宋体"/>
          <w:color w:val="auto"/>
          <w:sz w:val="22"/>
          <w:szCs w:val="22"/>
        </w:rPr>
      </w:pPr>
      <w:r>
        <w:rPr>
          <w:rFonts w:ascii="宋体" w:hAnsi="宋体"/>
          <w:color w:val="auto"/>
          <w:sz w:val="22"/>
          <w:szCs w:val="22"/>
        </w:rPr>
        <w:t>账  号：</w:t>
      </w:r>
      <w:r>
        <w:rPr>
          <w:rFonts w:ascii="宋体" w:hAnsi="宋体"/>
          <w:color w:val="auto"/>
          <w:sz w:val="22"/>
          <w:szCs w:val="22"/>
          <w:u w:val="single"/>
        </w:rPr>
        <w:t xml:space="preserve">       </w:t>
      </w:r>
      <w:r>
        <w:rPr>
          <w:rFonts w:hint="eastAsia" w:ascii="宋体" w:hAnsi="宋体"/>
          <w:color w:val="auto"/>
          <w:sz w:val="22"/>
          <w:szCs w:val="22"/>
        </w:rPr>
        <w:t xml:space="preserve">                    </w:t>
      </w:r>
      <w:r>
        <w:rPr>
          <w:rFonts w:ascii="宋体" w:hAnsi="宋体"/>
          <w:color w:val="auto"/>
          <w:sz w:val="22"/>
          <w:szCs w:val="22"/>
        </w:rPr>
        <w:t>账</w:t>
      </w:r>
      <w:r>
        <w:rPr>
          <w:rFonts w:hint="eastAsia" w:ascii="宋体" w:hAnsi="宋体"/>
          <w:color w:val="auto"/>
          <w:sz w:val="22"/>
          <w:szCs w:val="22"/>
        </w:rPr>
        <w:t xml:space="preserve"> </w:t>
      </w:r>
      <w:r>
        <w:rPr>
          <w:rFonts w:ascii="宋体" w:hAnsi="宋体"/>
          <w:color w:val="auto"/>
          <w:sz w:val="22"/>
          <w:szCs w:val="22"/>
        </w:rPr>
        <w:t xml:space="preserve"> 号：</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p>
    <w:p w14:paraId="26D4B342">
      <w:pPr>
        <w:spacing w:line="440" w:lineRule="exact"/>
        <w:rPr>
          <w:rFonts w:ascii="宋体" w:hAnsi="宋体"/>
          <w:color w:val="auto"/>
          <w:sz w:val="22"/>
          <w:szCs w:val="22"/>
        </w:rPr>
      </w:pPr>
      <w:r>
        <w:rPr>
          <w:rFonts w:ascii="宋体" w:hAnsi="宋体"/>
          <w:color w:val="auto"/>
          <w:sz w:val="22"/>
          <w:szCs w:val="22"/>
        </w:rPr>
        <w:t>邮政编码：</w:t>
      </w:r>
      <w:r>
        <w:rPr>
          <w:rFonts w:ascii="宋体" w:hAnsi="宋体"/>
          <w:color w:val="auto"/>
          <w:sz w:val="22"/>
          <w:szCs w:val="22"/>
          <w:u w:val="single"/>
        </w:rPr>
        <w:t xml:space="preserve">     </w:t>
      </w:r>
      <w:r>
        <w:rPr>
          <w:rFonts w:ascii="宋体" w:hAnsi="宋体"/>
          <w:color w:val="auto"/>
          <w:sz w:val="22"/>
          <w:szCs w:val="22"/>
        </w:rPr>
        <w:t xml:space="preserve"> </w:t>
      </w:r>
      <w:r>
        <w:rPr>
          <w:rFonts w:hint="eastAsia" w:ascii="宋体" w:hAnsi="宋体"/>
          <w:color w:val="auto"/>
          <w:sz w:val="22"/>
          <w:szCs w:val="22"/>
        </w:rPr>
        <w:t xml:space="preserve">                   </w:t>
      </w:r>
      <w:r>
        <w:rPr>
          <w:rFonts w:ascii="宋体" w:hAnsi="宋体"/>
          <w:color w:val="auto"/>
          <w:sz w:val="22"/>
          <w:szCs w:val="22"/>
        </w:rPr>
        <w:t>邮政编码：</w:t>
      </w:r>
      <w:r>
        <w:rPr>
          <w:rFonts w:ascii="宋体" w:hAnsi="宋体"/>
          <w:color w:val="auto"/>
          <w:sz w:val="22"/>
          <w:szCs w:val="22"/>
          <w:u w:val="single"/>
        </w:rPr>
        <w:t xml:space="preserve">   </w:t>
      </w:r>
    </w:p>
    <w:p w14:paraId="1C96AD5C">
      <w:pPr>
        <w:spacing w:line="360" w:lineRule="auto"/>
        <w:ind w:left="178" w:leftChars="85" w:right="277" w:rightChars="132"/>
        <w:jc w:val="center"/>
        <w:rPr>
          <w:rFonts w:hint="eastAsia" w:ascii="宋体" w:hAnsi="宋体"/>
          <w:b/>
          <w:bCs/>
          <w:color w:val="auto"/>
          <w:sz w:val="32"/>
          <w:szCs w:val="32"/>
        </w:rPr>
      </w:pPr>
    </w:p>
    <w:p w14:paraId="2487E8E5">
      <w:pPr>
        <w:spacing w:line="360" w:lineRule="auto"/>
        <w:ind w:left="178" w:leftChars="85" w:right="277" w:rightChars="132"/>
        <w:jc w:val="center"/>
        <w:rPr>
          <w:rFonts w:hint="eastAsia" w:ascii="宋体" w:hAnsi="宋体"/>
          <w:b/>
          <w:bCs/>
          <w:color w:val="auto"/>
          <w:sz w:val="32"/>
          <w:szCs w:val="32"/>
        </w:rPr>
      </w:pPr>
    </w:p>
    <w:p w14:paraId="0CC55394">
      <w:pPr>
        <w:spacing w:line="360" w:lineRule="auto"/>
        <w:ind w:left="178" w:leftChars="85" w:right="277" w:rightChars="132"/>
        <w:jc w:val="center"/>
        <w:rPr>
          <w:rFonts w:hint="eastAsia" w:ascii="宋体" w:hAnsi="宋体"/>
          <w:b/>
          <w:bCs/>
          <w:color w:val="auto"/>
          <w:sz w:val="32"/>
          <w:szCs w:val="32"/>
        </w:rPr>
      </w:pPr>
    </w:p>
    <w:p w14:paraId="5A7B9E82">
      <w:pPr>
        <w:spacing w:line="360" w:lineRule="auto"/>
        <w:ind w:left="178" w:leftChars="85" w:right="277" w:rightChars="132"/>
        <w:jc w:val="center"/>
        <w:rPr>
          <w:rFonts w:hint="eastAsia" w:ascii="宋体" w:hAnsi="宋体"/>
          <w:b/>
          <w:bCs/>
          <w:color w:val="auto"/>
          <w:sz w:val="32"/>
          <w:szCs w:val="32"/>
        </w:rPr>
      </w:pPr>
    </w:p>
    <w:p w14:paraId="64BEF22A">
      <w:pPr>
        <w:spacing w:line="360" w:lineRule="auto"/>
        <w:ind w:left="178" w:leftChars="85" w:right="277" w:rightChars="132"/>
        <w:jc w:val="center"/>
        <w:rPr>
          <w:rFonts w:hint="eastAsia" w:ascii="宋体" w:hAnsi="宋体"/>
          <w:b/>
          <w:bCs/>
          <w:color w:val="auto"/>
          <w:sz w:val="32"/>
          <w:szCs w:val="32"/>
        </w:rPr>
      </w:pPr>
    </w:p>
    <w:p w14:paraId="43CDAAE1">
      <w:pPr>
        <w:spacing w:line="360" w:lineRule="auto"/>
        <w:ind w:left="178" w:leftChars="85" w:right="277" w:rightChars="132"/>
        <w:jc w:val="center"/>
        <w:rPr>
          <w:rFonts w:hint="eastAsia" w:ascii="宋体" w:hAnsi="宋体"/>
          <w:b/>
          <w:bCs/>
          <w:color w:val="auto"/>
          <w:sz w:val="32"/>
          <w:szCs w:val="32"/>
        </w:rPr>
      </w:pPr>
    </w:p>
    <w:p w14:paraId="186B0D16">
      <w:pPr>
        <w:spacing w:line="360" w:lineRule="auto"/>
        <w:ind w:left="178" w:leftChars="85" w:right="277" w:rightChars="132"/>
        <w:jc w:val="center"/>
        <w:rPr>
          <w:rFonts w:hint="eastAsia" w:ascii="宋体" w:hAnsi="宋体"/>
          <w:b/>
          <w:bCs/>
          <w:color w:val="auto"/>
          <w:sz w:val="32"/>
          <w:szCs w:val="32"/>
        </w:rPr>
      </w:pPr>
    </w:p>
    <w:p w14:paraId="4034EB69">
      <w:pPr>
        <w:spacing w:line="360" w:lineRule="auto"/>
        <w:ind w:left="178" w:leftChars="85" w:right="277" w:rightChars="132"/>
        <w:jc w:val="center"/>
        <w:rPr>
          <w:rFonts w:hint="eastAsia" w:ascii="宋体" w:hAnsi="宋体"/>
          <w:b/>
          <w:bCs/>
          <w:color w:val="auto"/>
          <w:sz w:val="32"/>
          <w:szCs w:val="32"/>
        </w:rPr>
      </w:pPr>
    </w:p>
    <w:p w14:paraId="7E01B1EC">
      <w:pPr>
        <w:pStyle w:val="2"/>
        <w:spacing w:line="560" w:lineRule="exact"/>
        <w:jc w:val="center"/>
        <w:rPr>
          <w:rFonts w:hint="eastAsia" w:ascii="黑体" w:eastAsia="黑体"/>
          <w:color w:val="auto"/>
          <w:sz w:val="32"/>
          <w:szCs w:val="32"/>
        </w:rPr>
      </w:pPr>
      <w:bookmarkStart w:id="53" w:name="_Toc27279"/>
      <w:bookmarkStart w:id="54" w:name="_Toc220"/>
      <w:r>
        <w:rPr>
          <w:rFonts w:hint="eastAsia" w:ascii="黑体" w:eastAsia="黑体"/>
          <w:color w:val="auto"/>
          <w:sz w:val="32"/>
          <w:szCs w:val="32"/>
        </w:rPr>
        <w:t>第四部分  附 件</w:t>
      </w:r>
      <w:bookmarkEnd w:id="53"/>
      <w:bookmarkEnd w:id="54"/>
    </w:p>
    <w:p w14:paraId="1B41464B">
      <w:pPr>
        <w:pStyle w:val="3"/>
        <w:spacing w:line="440" w:lineRule="exact"/>
        <w:rPr>
          <w:rFonts w:hint="eastAsia" w:ascii="黑体" w:hAnsi="宋体"/>
          <w:color w:val="auto"/>
          <w:sz w:val="24"/>
          <w:szCs w:val="24"/>
        </w:rPr>
      </w:pPr>
      <w:bookmarkStart w:id="55" w:name="_Toc10620"/>
      <w:bookmarkStart w:id="56" w:name="_Toc10014"/>
      <w:r>
        <w:rPr>
          <w:rFonts w:hint="eastAsia" w:ascii="黑体" w:hAnsi="宋体"/>
          <w:color w:val="auto"/>
          <w:sz w:val="24"/>
          <w:szCs w:val="24"/>
        </w:rPr>
        <w:t>附件1 磋商响应函</w:t>
      </w:r>
      <w:bookmarkEnd w:id="55"/>
      <w:bookmarkEnd w:id="56"/>
    </w:p>
    <w:p w14:paraId="4F91F8B5">
      <w:pPr>
        <w:spacing w:line="400" w:lineRule="exact"/>
        <w:jc w:val="center"/>
        <w:rPr>
          <w:rFonts w:hint="eastAsia" w:ascii="宋体" w:hAnsi="宋体"/>
          <w:b/>
          <w:bCs/>
          <w:color w:val="auto"/>
          <w:spacing w:val="30"/>
          <w:sz w:val="24"/>
        </w:rPr>
      </w:pPr>
      <w:r>
        <w:rPr>
          <w:rFonts w:hint="eastAsia" w:ascii="宋体" w:hAnsi="宋体"/>
          <w:b/>
          <w:bCs/>
          <w:color w:val="auto"/>
          <w:spacing w:val="30"/>
          <w:sz w:val="24"/>
        </w:rPr>
        <w:t>磋商响应函</w:t>
      </w:r>
    </w:p>
    <w:p w14:paraId="4C6F26C5">
      <w:pPr>
        <w:spacing w:line="400" w:lineRule="exact"/>
        <w:rPr>
          <w:rFonts w:hint="eastAsia" w:ascii="宋体" w:hAnsi="宋体"/>
          <w:b/>
          <w:bCs/>
          <w:color w:val="auto"/>
          <w:sz w:val="22"/>
          <w:szCs w:val="22"/>
        </w:rPr>
      </w:pPr>
      <w:r>
        <w:rPr>
          <w:rFonts w:hint="eastAsia" w:ascii="宋体" w:hAnsi="宋体" w:cs="宋体"/>
          <w:b/>
          <w:bCs/>
          <w:color w:val="auto"/>
          <w:sz w:val="22"/>
          <w:szCs w:val="22"/>
          <w:u w:val="single"/>
          <w:lang w:eastAsia="zh-CN"/>
        </w:rPr>
        <w:t>浙江安防职业技术学院</w:t>
      </w:r>
      <w:r>
        <w:rPr>
          <w:rFonts w:hint="eastAsia" w:ascii="宋体" w:hAnsi="宋体"/>
          <w:b/>
          <w:bCs/>
          <w:color w:val="auto"/>
          <w:sz w:val="22"/>
          <w:szCs w:val="22"/>
        </w:rPr>
        <w:t>：</w:t>
      </w:r>
    </w:p>
    <w:p w14:paraId="1E29060E">
      <w:pPr>
        <w:spacing w:line="400" w:lineRule="exact"/>
        <w:ind w:firstLine="624" w:firstLineChars="284"/>
        <w:rPr>
          <w:rFonts w:hint="eastAsia" w:ascii="宋体" w:hAnsi="宋体"/>
          <w:color w:val="auto"/>
          <w:spacing w:val="-28"/>
          <w:sz w:val="22"/>
          <w:szCs w:val="22"/>
        </w:rPr>
      </w:pPr>
      <w:r>
        <w:rPr>
          <w:rFonts w:hint="eastAsia" w:ascii="宋体" w:hAnsi="宋体"/>
          <w:color w:val="auto"/>
          <w:sz w:val="22"/>
          <w:szCs w:val="22"/>
        </w:rPr>
        <w:t>根据贵方为</w:t>
      </w:r>
      <w:r>
        <w:rPr>
          <w:rFonts w:hint="eastAsia" w:ascii="宋体" w:hAnsi="宋体"/>
          <w:color w:val="auto"/>
          <w:sz w:val="22"/>
          <w:szCs w:val="22"/>
          <w:u w:val="single"/>
        </w:rPr>
        <w:t xml:space="preserve">            （项目名称、编号）</w:t>
      </w:r>
      <w:r>
        <w:rPr>
          <w:rFonts w:hint="eastAsia" w:ascii="宋体" w:hAnsi="宋体"/>
          <w:color w:val="auto"/>
          <w:sz w:val="22"/>
          <w:szCs w:val="22"/>
        </w:rPr>
        <w:t>招标项目的磋商邀请，</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（磋商供应商全称）</w:t>
      </w:r>
      <w:r>
        <w:rPr>
          <w:rFonts w:hint="eastAsia" w:ascii="宋体" w:hAnsi="宋体"/>
          <w:color w:val="auto"/>
          <w:sz w:val="22"/>
          <w:szCs w:val="22"/>
        </w:rPr>
        <w:t>正式授权</w:t>
      </w:r>
      <w:r>
        <w:rPr>
          <w:rFonts w:hint="eastAsia" w:ascii="宋体" w:hAnsi="宋体"/>
          <w:color w:val="auto"/>
          <w:sz w:val="22"/>
          <w:szCs w:val="22"/>
          <w:u w:val="single"/>
        </w:rPr>
        <w:t xml:space="preserve">             （姓名、职务）</w:t>
      </w:r>
      <w:r>
        <w:rPr>
          <w:rFonts w:hint="eastAsia" w:ascii="宋体" w:hAnsi="宋体"/>
          <w:color w:val="auto"/>
          <w:sz w:val="22"/>
          <w:szCs w:val="22"/>
        </w:rPr>
        <w:t>为全权代表，代表本公司参加贵方组织的此次招标的有关活动，并提交按“磋商供应商须知”要求编制的响应文件</w:t>
      </w:r>
    </w:p>
    <w:p w14:paraId="3D4F874F">
      <w:pPr>
        <w:spacing w:line="400" w:lineRule="exact"/>
        <w:rPr>
          <w:rFonts w:hint="eastAsia" w:ascii="宋体" w:hAnsi="宋体"/>
          <w:b/>
          <w:bCs/>
          <w:color w:val="auto"/>
          <w:sz w:val="22"/>
          <w:szCs w:val="22"/>
        </w:rPr>
      </w:pPr>
      <w:r>
        <w:rPr>
          <w:rFonts w:hint="eastAsia" w:ascii="宋体" w:hAnsi="宋体"/>
          <w:b/>
          <w:bCs/>
          <w:color w:val="auto"/>
          <w:sz w:val="22"/>
          <w:szCs w:val="22"/>
        </w:rPr>
        <w:t>据此函全权代表宣布同意如下：</w:t>
      </w:r>
    </w:p>
    <w:p w14:paraId="0B420757">
      <w:pPr>
        <w:spacing w:line="400" w:lineRule="exact"/>
        <w:ind w:left="634" w:leftChars="150" w:hanging="319" w:hangingChars="145"/>
        <w:rPr>
          <w:rFonts w:hint="eastAsia" w:ascii="宋体" w:hAnsi="宋体"/>
          <w:color w:val="auto"/>
          <w:sz w:val="22"/>
          <w:szCs w:val="22"/>
        </w:rPr>
      </w:pPr>
      <w:r>
        <w:rPr>
          <w:rFonts w:ascii="宋体" w:hAnsi="宋体"/>
          <w:color w:val="auto"/>
          <w:sz w:val="22"/>
          <w:szCs w:val="22"/>
        </w:rPr>
        <w:t>1</w:t>
      </w:r>
      <w:r>
        <w:rPr>
          <w:rFonts w:hint="eastAsia" w:ascii="宋体" w:hAnsi="宋体"/>
          <w:color w:val="auto"/>
          <w:sz w:val="22"/>
          <w:szCs w:val="22"/>
        </w:rPr>
        <w:t>．我方遵守磋商文件的有关规定和收费标准，忠实地履行按磋商文件规定买卖双方签订的合同责任和义务。</w:t>
      </w:r>
    </w:p>
    <w:p w14:paraId="7C382F92">
      <w:pPr>
        <w:spacing w:line="400" w:lineRule="exact"/>
        <w:ind w:left="634" w:leftChars="150" w:hanging="319" w:hangingChars="145"/>
        <w:rPr>
          <w:rFonts w:hint="eastAsia" w:ascii="宋体" w:hAnsi="宋体"/>
          <w:color w:val="auto"/>
          <w:sz w:val="22"/>
          <w:szCs w:val="22"/>
        </w:rPr>
      </w:pPr>
      <w:r>
        <w:rPr>
          <w:rFonts w:ascii="宋体" w:hAnsi="宋体"/>
          <w:color w:val="auto"/>
          <w:sz w:val="22"/>
          <w:szCs w:val="22"/>
        </w:rPr>
        <w:t>2</w:t>
      </w:r>
      <w:r>
        <w:rPr>
          <w:rFonts w:hint="eastAsia" w:ascii="宋体" w:hAnsi="宋体"/>
          <w:color w:val="auto"/>
          <w:sz w:val="22"/>
          <w:szCs w:val="22"/>
        </w:rPr>
        <w:t>．我方已详细审查全部磋商文件，包括招标补充文件（如果有的话），并进行了周密的现场勘察。我们完全理解并同意放弃对这方面有不明及误解的权利。</w:t>
      </w:r>
    </w:p>
    <w:p w14:paraId="0CCE17B9">
      <w:pPr>
        <w:spacing w:line="400" w:lineRule="exact"/>
        <w:ind w:left="634" w:leftChars="150" w:hanging="319" w:hangingChars="145"/>
        <w:rPr>
          <w:rFonts w:hint="eastAsia" w:ascii="宋体" w:hAnsi="宋体"/>
          <w:color w:val="auto"/>
          <w:sz w:val="22"/>
          <w:szCs w:val="22"/>
        </w:rPr>
      </w:pPr>
      <w:r>
        <w:rPr>
          <w:rFonts w:ascii="宋体" w:hAnsi="宋体"/>
          <w:color w:val="auto"/>
          <w:sz w:val="22"/>
          <w:szCs w:val="22"/>
        </w:rPr>
        <w:t>3</w:t>
      </w:r>
      <w:r>
        <w:rPr>
          <w:rFonts w:hint="eastAsia" w:ascii="宋体" w:hAnsi="宋体"/>
          <w:color w:val="auto"/>
          <w:sz w:val="22"/>
          <w:szCs w:val="22"/>
        </w:rPr>
        <w:t>．我方同意提供按照贵方要求的与其磋商有关的一切数据或资料。</w:t>
      </w:r>
    </w:p>
    <w:p w14:paraId="262564A9">
      <w:pPr>
        <w:spacing w:line="400" w:lineRule="exact"/>
        <w:ind w:left="634" w:leftChars="150" w:hanging="319" w:hangingChars="145"/>
        <w:rPr>
          <w:rFonts w:hint="eastAsia" w:ascii="宋体" w:hAnsi="宋体"/>
          <w:color w:val="auto"/>
          <w:sz w:val="22"/>
          <w:szCs w:val="22"/>
        </w:rPr>
      </w:pPr>
      <w:r>
        <w:rPr>
          <w:rFonts w:ascii="宋体" w:hAnsi="宋体"/>
          <w:color w:val="auto"/>
          <w:sz w:val="22"/>
          <w:szCs w:val="22"/>
        </w:rPr>
        <w:t>4</w:t>
      </w:r>
      <w:r>
        <w:rPr>
          <w:rFonts w:hint="eastAsia" w:ascii="宋体" w:hAnsi="宋体"/>
          <w:color w:val="auto"/>
          <w:sz w:val="22"/>
          <w:szCs w:val="22"/>
        </w:rPr>
        <w:t>．按磋商文件规定，根据本公司综合实力和本工程的实际情况，愿意以专业承包方式承担本工程的施工任务，由</w:t>
      </w:r>
      <w:r>
        <w:rPr>
          <w:rFonts w:hint="eastAsia" w:ascii="宋体" w:hAnsi="宋体"/>
          <w:color w:val="auto"/>
          <w:sz w:val="22"/>
          <w:szCs w:val="22"/>
          <w:u w:val="single"/>
        </w:rPr>
        <w:t xml:space="preserve">           （</w:t>
      </w:r>
      <w:r>
        <w:rPr>
          <w:rFonts w:hint="eastAsia" w:ascii="宋体" w:hAnsi="宋体"/>
          <w:color w:val="auto"/>
          <w:sz w:val="22"/>
          <w:szCs w:val="22"/>
        </w:rPr>
        <w:t>姓名）担任本工程的项目负责人，磋商响应工期：</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rPr>
        <w:t>日历天，如能成交，我公司保证履行标书的承诺（包括质量、文明施工），及时签订并认真履行合同。</w:t>
      </w:r>
    </w:p>
    <w:p w14:paraId="3C16947A">
      <w:pPr>
        <w:spacing w:line="400" w:lineRule="exact"/>
        <w:ind w:left="665" w:leftChars="165" w:hanging="319" w:hangingChars="145"/>
        <w:rPr>
          <w:rFonts w:hint="eastAsia" w:ascii="宋体" w:hAnsi="宋体"/>
          <w:color w:val="auto"/>
          <w:sz w:val="22"/>
          <w:szCs w:val="22"/>
        </w:rPr>
      </w:pPr>
      <w:r>
        <w:rPr>
          <w:rFonts w:ascii="宋体" w:hAnsi="宋体"/>
          <w:color w:val="auto"/>
          <w:sz w:val="22"/>
          <w:szCs w:val="22"/>
        </w:rPr>
        <w:t>5</w:t>
      </w:r>
      <w:r>
        <w:rPr>
          <w:rFonts w:hint="eastAsia" w:ascii="宋体" w:hAnsi="宋体"/>
          <w:color w:val="auto"/>
          <w:sz w:val="22"/>
          <w:szCs w:val="22"/>
        </w:rPr>
        <w:t>．本磋商有效期为自开标日起</w:t>
      </w:r>
      <w:r>
        <w:rPr>
          <w:rFonts w:hint="eastAsia" w:ascii="宋体" w:hAnsi="宋体"/>
          <w:color w:val="auto"/>
          <w:sz w:val="22"/>
          <w:szCs w:val="22"/>
          <w:u w:val="single"/>
        </w:rPr>
        <w:t xml:space="preserve">  60  </w:t>
      </w:r>
      <w:r>
        <w:rPr>
          <w:rFonts w:hint="eastAsia" w:ascii="宋体" w:hAnsi="宋体"/>
          <w:color w:val="auto"/>
          <w:sz w:val="22"/>
          <w:szCs w:val="22"/>
        </w:rPr>
        <w:t>日历日，如成交，有效期将延至合同结束为止。</w:t>
      </w:r>
    </w:p>
    <w:p w14:paraId="22B41037">
      <w:pPr>
        <w:spacing w:line="400" w:lineRule="exact"/>
        <w:ind w:left="665" w:leftChars="165" w:hanging="319" w:hangingChars="145"/>
        <w:rPr>
          <w:rFonts w:hint="eastAsia" w:ascii="宋体" w:hAnsi="宋体"/>
          <w:color w:val="auto"/>
          <w:sz w:val="22"/>
          <w:szCs w:val="22"/>
        </w:rPr>
      </w:pPr>
      <w:r>
        <w:rPr>
          <w:rFonts w:ascii="宋体" w:hAnsi="宋体"/>
          <w:color w:val="auto"/>
          <w:sz w:val="22"/>
          <w:szCs w:val="22"/>
        </w:rPr>
        <w:t>6</w:t>
      </w:r>
      <w:r>
        <w:rPr>
          <w:rFonts w:hint="eastAsia" w:ascii="宋体" w:hAnsi="宋体"/>
          <w:color w:val="auto"/>
          <w:sz w:val="22"/>
          <w:szCs w:val="22"/>
        </w:rPr>
        <w:t>．如果在规定的开标时间后，我方在磋商有效期内撤回磋商，自愿接受贵方处罚。</w:t>
      </w:r>
    </w:p>
    <w:p w14:paraId="2CADE5CE">
      <w:pPr>
        <w:spacing w:line="400" w:lineRule="exact"/>
        <w:ind w:left="115" w:leftChars="55" w:firstLine="220" w:firstLineChars="100"/>
        <w:rPr>
          <w:rFonts w:hint="eastAsia" w:ascii="宋体" w:hAnsi="宋体"/>
          <w:color w:val="auto"/>
          <w:sz w:val="22"/>
          <w:szCs w:val="22"/>
        </w:rPr>
      </w:pPr>
      <w:r>
        <w:rPr>
          <w:rFonts w:ascii="宋体" w:hAnsi="宋体"/>
          <w:color w:val="auto"/>
          <w:sz w:val="22"/>
          <w:szCs w:val="22"/>
        </w:rPr>
        <w:t>7</w:t>
      </w:r>
      <w:r>
        <w:rPr>
          <w:rFonts w:hint="eastAsia" w:ascii="宋体" w:hAnsi="宋体"/>
          <w:color w:val="auto"/>
          <w:sz w:val="22"/>
          <w:szCs w:val="22"/>
        </w:rPr>
        <w:t>．与本磋商有关的一切正式往来信函请寄：</w:t>
      </w:r>
    </w:p>
    <w:p w14:paraId="2D60E580">
      <w:pPr>
        <w:spacing w:line="400" w:lineRule="exact"/>
        <w:ind w:firstLine="435"/>
        <w:rPr>
          <w:rFonts w:hint="eastAsia" w:ascii="宋体" w:hAnsi="宋体"/>
          <w:color w:val="auto"/>
          <w:sz w:val="22"/>
          <w:szCs w:val="22"/>
        </w:rPr>
      </w:pPr>
      <w:r>
        <w:rPr>
          <w:rFonts w:hint="eastAsia" w:ascii="宋体" w:hAnsi="宋体"/>
          <w:color w:val="auto"/>
          <w:sz w:val="22"/>
          <w:szCs w:val="22"/>
        </w:rPr>
        <w:t xml:space="preserve">   地址</w:t>
      </w:r>
      <w:r>
        <w:rPr>
          <w:rFonts w:hint="eastAsia" w:ascii="宋体" w:hAnsi="宋体"/>
          <w:color w:val="auto"/>
          <w:sz w:val="22"/>
          <w:szCs w:val="22"/>
          <w:u w:val="single"/>
        </w:rPr>
        <w:t xml:space="preserve">                           </w:t>
      </w:r>
    </w:p>
    <w:p w14:paraId="0DF8B1A6">
      <w:pPr>
        <w:spacing w:line="400" w:lineRule="exact"/>
        <w:ind w:firstLine="435"/>
        <w:rPr>
          <w:rFonts w:hint="eastAsia" w:ascii="宋体" w:hAnsi="宋体"/>
          <w:color w:val="auto"/>
          <w:sz w:val="22"/>
          <w:szCs w:val="22"/>
        </w:rPr>
      </w:pPr>
      <w:r>
        <w:rPr>
          <w:rFonts w:hint="eastAsia" w:ascii="宋体" w:hAnsi="宋体"/>
          <w:color w:val="auto"/>
          <w:sz w:val="22"/>
          <w:szCs w:val="22"/>
        </w:rPr>
        <w:t xml:space="preserve">   电话</w:t>
      </w:r>
      <w:r>
        <w:rPr>
          <w:rFonts w:hint="eastAsia" w:ascii="宋体" w:hAnsi="宋体"/>
          <w:color w:val="auto"/>
          <w:sz w:val="22"/>
          <w:szCs w:val="22"/>
          <w:u w:val="single"/>
        </w:rPr>
        <w:t xml:space="preserve">                           </w:t>
      </w:r>
    </w:p>
    <w:p w14:paraId="265724E5">
      <w:pPr>
        <w:spacing w:line="400" w:lineRule="exact"/>
        <w:ind w:firstLine="435"/>
        <w:rPr>
          <w:rFonts w:hint="eastAsia" w:ascii="宋体" w:hAnsi="宋体"/>
          <w:color w:val="auto"/>
          <w:sz w:val="22"/>
          <w:szCs w:val="22"/>
          <w:u w:val="single"/>
        </w:rPr>
      </w:pPr>
      <w:r>
        <w:rPr>
          <w:rFonts w:hint="eastAsia" w:ascii="宋体" w:hAnsi="宋体"/>
          <w:color w:val="auto"/>
          <w:sz w:val="22"/>
          <w:szCs w:val="22"/>
        </w:rPr>
        <w:t xml:space="preserve">   传真</w:t>
      </w:r>
      <w:r>
        <w:rPr>
          <w:rFonts w:hint="eastAsia" w:ascii="宋体" w:hAnsi="宋体"/>
          <w:color w:val="auto"/>
          <w:sz w:val="22"/>
          <w:szCs w:val="22"/>
          <w:u w:val="single"/>
        </w:rPr>
        <w:t xml:space="preserve">                           </w:t>
      </w:r>
    </w:p>
    <w:p w14:paraId="4BBA0618">
      <w:pPr>
        <w:spacing w:line="400" w:lineRule="exact"/>
        <w:ind w:left="105" w:leftChars="50" w:firstLine="675" w:firstLineChars="307"/>
        <w:rPr>
          <w:rFonts w:hint="eastAsia" w:ascii="宋体" w:hAnsi="宋体"/>
          <w:color w:val="auto"/>
          <w:sz w:val="22"/>
          <w:szCs w:val="22"/>
          <w:u w:val="single"/>
        </w:rPr>
      </w:pPr>
      <w:r>
        <w:rPr>
          <w:rFonts w:hint="eastAsia" w:ascii="宋体" w:hAnsi="宋体"/>
          <w:color w:val="auto"/>
          <w:sz w:val="22"/>
          <w:szCs w:val="22"/>
        </w:rPr>
        <w:t>电子邮件</w:t>
      </w:r>
      <w:r>
        <w:rPr>
          <w:rFonts w:hint="eastAsia" w:ascii="宋体" w:hAnsi="宋体"/>
          <w:color w:val="auto"/>
          <w:sz w:val="22"/>
          <w:szCs w:val="22"/>
          <w:u w:val="single"/>
        </w:rPr>
        <w:t xml:space="preserve">                       </w:t>
      </w:r>
    </w:p>
    <w:p w14:paraId="12DDA46D">
      <w:pPr>
        <w:spacing w:line="400" w:lineRule="exact"/>
        <w:ind w:firstLine="435"/>
        <w:rPr>
          <w:rFonts w:hint="eastAsia" w:ascii="宋体" w:hAnsi="宋体"/>
          <w:color w:val="auto"/>
          <w:sz w:val="22"/>
          <w:szCs w:val="22"/>
        </w:rPr>
      </w:pPr>
    </w:p>
    <w:p w14:paraId="39B0BFBB">
      <w:pPr>
        <w:spacing w:line="440" w:lineRule="exact"/>
        <w:ind w:firstLine="435"/>
        <w:rPr>
          <w:rFonts w:hint="eastAsia"/>
          <w:color w:val="auto"/>
          <w:szCs w:val="22"/>
        </w:rPr>
      </w:pPr>
      <w:r>
        <w:rPr>
          <w:rFonts w:hint="eastAsia" w:ascii="宋体" w:hAnsi="宋体"/>
          <w:color w:val="auto"/>
          <w:sz w:val="22"/>
          <w:szCs w:val="22"/>
        </w:rPr>
        <w:t xml:space="preserve">                                  </w:t>
      </w:r>
      <w:r>
        <w:rPr>
          <w:rFonts w:hint="eastAsia"/>
          <w:color w:val="auto"/>
          <w:szCs w:val="22"/>
        </w:rPr>
        <w:t>磋商供应商名称</w:t>
      </w:r>
      <w:r>
        <w:rPr>
          <w:rFonts w:hint="eastAsia"/>
          <w:color w:val="auto"/>
          <w:szCs w:val="22"/>
          <w:u w:val="single"/>
        </w:rPr>
        <w:t xml:space="preserve">                           </w:t>
      </w:r>
    </w:p>
    <w:p w14:paraId="56A7737F">
      <w:pPr>
        <w:spacing w:line="440" w:lineRule="exact"/>
        <w:ind w:firstLine="435"/>
        <w:rPr>
          <w:rFonts w:hint="eastAsia"/>
          <w:color w:val="auto"/>
          <w:szCs w:val="22"/>
        </w:rPr>
      </w:pPr>
      <w:r>
        <w:rPr>
          <w:rFonts w:hint="eastAsia"/>
          <w:color w:val="auto"/>
          <w:szCs w:val="22"/>
        </w:rPr>
        <w:t xml:space="preserve">                                   公章（</w:t>
      </w:r>
      <w:r>
        <w:rPr>
          <w:rFonts w:hint="eastAsia" w:ascii="宋体" w:hAnsi="宋体" w:cs="宋体"/>
          <w:color w:val="auto"/>
          <w:szCs w:val="22"/>
          <w:u w:val="single"/>
        </w:rPr>
        <w:t>电子签名/公章</w:t>
      </w:r>
      <w:r>
        <w:rPr>
          <w:rFonts w:hint="eastAsia"/>
          <w:color w:val="auto"/>
          <w:szCs w:val="22"/>
        </w:rPr>
        <w:t>）</w:t>
      </w:r>
      <w:r>
        <w:rPr>
          <w:rFonts w:hint="eastAsia"/>
          <w:color w:val="auto"/>
          <w:szCs w:val="22"/>
          <w:u w:val="single"/>
        </w:rPr>
        <w:t xml:space="preserve">                    </w:t>
      </w:r>
    </w:p>
    <w:p w14:paraId="7B1F81BC">
      <w:pPr>
        <w:spacing w:line="440" w:lineRule="exact"/>
        <w:ind w:firstLine="420" w:firstLineChars="200"/>
        <w:rPr>
          <w:rFonts w:hint="eastAsia"/>
          <w:color w:val="auto"/>
          <w:szCs w:val="22"/>
          <w:u w:val="single"/>
        </w:rPr>
      </w:pPr>
      <w:r>
        <w:rPr>
          <w:rFonts w:hint="eastAsia"/>
          <w:color w:val="auto"/>
          <w:szCs w:val="22"/>
        </w:rPr>
        <w:t xml:space="preserve">                                   日期</w:t>
      </w:r>
      <w:r>
        <w:rPr>
          <w:rFonts w:hint="eastAsia"/>
          <w:color w:val="auto"/>
          <w:szCs w:val="22"/>
          <w:u w:val="single"/>
        </w:rPr>
        <w:t xml:space="preserve">                                     </w:t>
      </w:r>
    </w:p>
    <w:p w14:paraId="484B69F9">
      <w:pPr>
        <w:spacing w:line="400" w:lineRule="exact"/>
        <w:ind w:firstLine="435"/>
        <w:rPr>
          <w:rFonts w:hint="eastAsia" w:ascii="新宋体" w:hAnsi="新宋体" w:eastAsia="新宋体"/>
          <w:color w:val="auto"/>
          <w:sz w:val="22"/>
          <w:szCs w:val="22"/>
          <w:u w:val="single"/>
        </w:rPr>
        <w:sectPr>
          <w:footerReference r:id="rId3" w:type="default"/>
          <w:footerReference r:id="rId4" w:type="even"/>
          <w:type w:val="continuous"/>
          <w:pgSz w:w="11906" w:h="16838"/>
          <w:pgMar w:top="1134" w:right="1134" w:bottom="1134" w:left="1134" w:header="851" w:footer="992" w:gutter="0"/>
          <w:pgNumType w:start="0"/>
          <w:cols w:space="720" w:num="1"/>
          <w:titlePg/>
          <w:docGrid w:linePitch="312" w:charSpace="0"/>
        </w:sectPr>
      </w:pPr>
    </w:p>
    <w:p w14:paraId="2B38C3F8">
      <w:pPr>
        <w:pStyle w:val="3"/>
        <w:spacing w:line="440" w:lineRule="exact"/>
        <w:rPr>
          <w:rFonts w:hint="eastAsia" w:ascii="黑体" w:hAnsi="宋体"/>
          <w:color w:val="auto"/>
          <w:sz w:val="24"/>
          <w:szCs w:val="24"/>
        </w:rPr>
      </w:pPr>
      <w:bookmarkStart w:id="57" w:name="_Toc2075"/>
      <w:bookmarkStart w:id="58" w:name="_Toc7375"/>
      <w:r>
        <w:rPr>
          <w:rFonts w:hint="eastAsia" w:ascii="黑体" w:hAnsi="宋体"/>
          <w:color w:val="auto"/>
          <w:sz w:val="24"/>
          <w:szCs w:val="24"/>
        </w:rPr>
        <w:t>附件2 工程量报价表</w:t>
      </w:r>
      <w:bookmarkEnd w:id="57"/>
      <w:bookmarkEnd w:id="58"/>
    </w:p>
    <w:p w14:paraId="5A4A47AC">
      <w:pPr>
        <w:spacing w:line="400" w:lineRule="exact"/>
        <w:jc w:val="center"/>
        <w:rPr>
          <w:rFonts w:hint="eastAsia" w:ascii="新宋体" w:hAnsi="新宋体" w:eastAsia="新宋体"/>
          <w:color w:val="auto"/>
          <w:sz w:val="22"/>
          <w:szCs w:val="22"/>
          <w:u w:val="single"/>
        </w:rPr>
      </w:pPr>
    </w:p>
    <w:p w14:paraId="1DE122D3">
      <w:pPr>
        <w:spacing w:line="400" w:lineRule="exact"/>
        <w:jc w:val="center"/>
        <w:rPr>
          <w:rFonts w:hint="eastAsia" w:ascii="新宋体" w:hAnsi="新宋体" w:eastAsia="新宋体"/>
          <w:color w:val="auto"/>
          <w:sz w:val="22"/>
          <w:szCs w:val="22"/>
          <w:u w:val="single"/>
        </w:rPr>
      </w:pPr>
    </w:p>
    <w:p w14:paraId="19B9C002">
      <w:pPr>
        <w:spacing w:line="680" w:lineRule="exact"/>
        <w:jc w:val="center"/>
        <w:rPr>
          <w:rFonts w:hint="eastAsia" w:ascii="宋体" w:hAnsi="宋体"/>
          <w:b/>
          <w:bCs/>
          <w:color w:val="auto"/>
          <w:sz w:val="36"/>
          <w:szCs w:val="36"/>
        </w:rPr>
      </w:pPr>
      <w:r>
        <w:rPr>
          <w:rFonts w:hint="eastAsia" w:ascii="新宋体" w:hAnsi="新宋体" w:eastAsia="新宋体" w:cs="宋体"/>
          <w:b/>
          <w:color w:val="auto"/>
          <w:sz w:val="44"/>
          <w:szCs w:val="44"/>
          <w:lang w:eastAsia="zh-CN"/>
        </w:rPr>
        <w:t>学校配电房提升改造（2x630KVA配电工程（单电源））</w:t>
      </w:r>
      <w:r>
        <w:rPr>
          <w:rFonts w:hint="eastAsia" w:ascii="宋体" w:hAnsi="宋体"/>
          <w:b/>
          <w:bCs/>
          <w:color w:val="auto"/>
          <w:sz w:val="44"/>
          <w:szCs w:val="44"/>
        </w:rPr>
        <w:t>项目工程量清单报价</w:t>
      </w:r>
      <w:r>
        <w:rPr>
          <w:rFonts w:hint="eastAsia" w:ascii="新宋体" w:hAnsi="新宋体" w:eastAsia="新宋体" w:cs="宋体"/>
          <w:b/>
          <w:color w:val="auto"/>
          <w:sz w:val="44"/>
          <w:szCs w:val="44"/>
        </w:rPr>
        <w:t>表</w:t>
      </w:r>
    </w:p>
    <w:p w14:paraId="3E1DAB4E">
      <w:pPr>
        <w:spacing w:line="400" w:lineRule="exact"/>
        <w:jc w:val="center"/>
        <w:rPr>
          <w:rFonts w:hint="eastAsia" w:ascii="宋体" w:hAnsi="宋体"/>
          <w:b/>
          <w:color w:val="auto"/>
          <w:sz w:val="22"/>
          <w:szCs w:val="22"/>
        </w:rPr>
      </w:pPr>
    </w:p>
    <w:p w14:paraId="6EE1F7FD">
      <w:pPr>
        <w:spacing w:line="400" w:lineRule="exact"/>
        <w:jc w:val="center"/>
        <w:rPr>
          <w:rFonts w:hint="eastAsia" w:ascii="宋体" w:hAnsi="宋体"/>
          <w:color w:val="auto"/>
          <w:sz w:val="22"/>
          <w:szCs w:val="22"/>
        </w:rPr>
      </w:pPr>
    </w:p>
    <w:p w14:paraId="60F7FAFD">
      <w:pPr>
        <w:spacing w:line="400" w:lineRule="exact"/>
        <w:jc w:val="center"/>
        <w:rPr>
          <w:rFonts w:hint="eastAsia" w:ascii="宋体" w:hAnsi="宋体"/>
          <w:color w:val="auto"/>
          <w:sz w:val="22"/>
          <w:szCs w:val="22"/>
        </w:rPr>
      </w:pPr>
    </w:p>
    <w:p w14:paraId="1223E485">
      <w:pPr>
        <w:spacing w:line="400" w:lineRule="exact"/>
        <w:rPr>
          <w:rFonts w:hint="eastAsia" w:ascii="宋体" w:hAnsi="宋体"/>
          <w:color w:val="auto"/>
          <w:sz w:val="22"/>
          <w:szCs w:val="22"/>
        </w:rPr>
      </w:pPr>
    </w:p>
    <w:p w14:paraId="4ECB9900">
      <w:pPr>
        <w:spacing w:line="400" w:lineRule="exact"/>
        <w:jc w:val="center"/>
        <w:rPr>
          <w:rFonts w:hint="eastAsia" w:ascii="宋体" w:hAnsi="宋体"/>
          <w:color w:val="auto"/>
          <w:sz w:val="22"/>
          <w:szCs w:val="22"/>
        </w:rPr>
      </w:pPr>
    </w:p>
    <w:p w14:paraId="3EB7C99F">
      <w:pPr>
        <w:spacing w:line="400" w:lineRule="exact"/>
        <w:rPr>
          <w:rFonts w:hint="eastAsia" w:ascii="宋体" w:hAnsi="宋体"/>
          <w:color w:val="auto"/>
          <w:sz w:val="22"/>
          <w:szCs w:val="22"/>
        </w:rPr>
      </w:pPr>
    </w:p>
    <w:p w14:paraId="0E33F598">
      <w:pPr>
        <w:spacing w:line="400" w:lineRule="exact"/>
        <w:ind w:firstLine="1078" w:firstLineChars="490"/>
        <w:rPr>
          <w:rFonts w:hint="eastAsia" w:ascii="宋体" w:hAnsi="宋体"/>
          <w:color w:val="auto"/>
          <w:sz w:val="22"/>
          <w:szCs w:val="22"/>
        </w:rPr>
      </w:pPr>
      <w:r>
        <w:rPr>
          <w:rFonts w:hint="eastAsia" w:ascii="宋体" w:hAnsi="宋体"/>
          <w:color w:val="auto"/>
          <w:sz w:val="22"/>
          <w:szCs w:val="22"/>
        </w:rPr>
        <w:t>投  标  人：</w:t>
      </w:r>
      <w:r>
        <w:rPr>
          <w:rFonts w:hint="eastAsia" w:ascii="宋体" w:hAnsi="宋体"/>
          <w:color w:val="auto"/>
          <w:sz w:val="22"/>
          <w:szCs w:val="22"/>
          <w:u w:val="single"/>
        </w:rPr>
        <w:t xml:space="preserve">                                 </w:t>
      </w:r>
      <w:r>
        <w:rPr>
          <w:rFonts w:hint="eastAsia" w:ascii="宋体" w:hAnsi="宋体"/>
          <w:color w:val="auto"/>
          <w:sz w:val="22"/>
          <w:szCs w:val="22"/>
        </w:rPr>
        <w:t>（单位盖章）</w:t>
      </w:r>
    </w:p>
    <w:p w14:paraId="72CF8285">
      <w:pPr>
        <w:spacing w:line="400" w:lineRule="exact"/>
        <w:ind w:firstLine="1078" w:firstLineChars="490"/>
        <w:rPr>
          <w:rFonts w:hint="eastAsia" w:ascii="宋体" w:hAnsi="宋体"/>
          <w:color w:val="auto"/>
          <w:sz w:val="22"/>
          <w:szCs w:val="22"/>
        </w:rPr>
      </w:pPr>
    </w:p>
    <w:p w14:paraId="6EEFA656">
      <w:pPr>
        <w:spacing w:line="400" w:lineRule="exact"/>
        <w:ind w:firstLine="1078" w:firstLineChars="490"/>
        <w:rPr>
          <w:rFonts w:hint="eastAsia" w:ascii="宋体" w:hAnsi="宋体"/>
          <w:color w:val="auto"/>
          <w:sz w:val="22"/>
          <w:szCs w:val="22"/>
        </w:rPr>
      </w:pPr>
      <w:r>
        <w:rPr>
          <w:rFonts w:hint="eastAsia" w:ascii="宋体" w:hAnsi="宋体"/>
          <w:color w:val="auto"/>
          <w:sz w:val="22"/>
          <w:szCs w:val="22"/>
        </w:rPr>
        <w:t>法定代表人或授权委托人：</w:t>
      </w:r>
      <w:r>
        <w:rPr>
          <w:rFonts w:hint="eastAsia" w:ascii="宋体" w:hAnsi="宋体"/>
          <w:color w:val="auto"/>
          <w:sz w:val="22"/>
          <w:szCs w:val="22"/>
          <w:u w:val="single"/>
        </w:rPr>
        <w:t xml:space="preserve">                     </w:t>
      </w:r>
      <w:r>
        <w:rPr>
          <w:rFonts w:hint="eastAsia" w:ascii="宋体" w:hAnsi="宋体"/>
          <w:color w:val="auto"/>
          <w:sz w:val="22"/>
          <w:szCs w:val="22"/>
        </w:rPr>
        <w:t>（签字或盖章）</w:t>
      </w:r>
    </w:p>
    <w:p w14:paraId="011AE9AD">
      <w:pPr>
        <w:spacing w:line="400" w:lineRule="exact"/>
        <w:ind w:firstLine="1078" w:firstLineChars="490"/>
        <w:rPr>
          <w:rFonts w:hint="eastAsia" w:ascii="宋体" w:hAnsi="宋体"/>
          <w:color w:val="auto"/>
          <w:sz w:val="22"/>
          <w:szCs w:val="22"/>
        </w:rPr>
      </w:pPr>
    </w:p>
    <w:p w14:paraId="24FCE838">
      <w:pPr>
        <w:spacing w:line="400" w:lineRule="exact"/>
        <w:ind w:firstLine="1078" w:firstLineChars="490"/>
        <w:rPr>
          <w:rFonts w:hint="eastAsia" w:ascii="宋体" w:hAnsi="宋体"/>
          <w:color w:val="auto"/>
          <w:sz w:val="22"/>
          <w:szCs w:val="22"/>
          <w:u w:val="single"/>
        </w:rPr>
      </w:pPr>
    </w:p>
    <w:p w14:paraId="137A2904">
      <w:pPr>
        <w:spacing w:line="400" w:lineRule="exact"/>
        <w:ind w:firstLine="1078" w:firstLineChars="490"/>
        <w:rPr>
          <w:rFonts w:hint="eastAsia" w:ascii="宋体" w:hAnsi="宋体"/>
          <w:b/>
          <w:bCs/>
          <w:color w:val="auto"/>
          <w:sz w:val="22"/>
          <w:szCs w:val="22"/>
        </w:rPr>
      </w:pPr>
      <w:r>
        <w:rPr>
          <w:rFonts w:hint="eastAsia" w:ascii="宋体" w:hAnsi="宋体"/>
          <w:color w:val="auto"/>
          <w:sz w:val="22"/>
          <w:szCs w:val="22"/>
        </w:rPr>
        <w:t>编制时间：</w:t>
      </w:r>
      <w:r>
        <w:rPr>
          <w:rFonts w:hint="eastAsia" w:ascii="宋体" w:hAnsi="宋体"/>
          <w:color w:val="auto"/>
          <w:sz w:val="22"/>
          <w:szCs w:val="22"/>
          <w:u w:val="single"/>
        </w:rPr>
        <w:t xml:space="preserve">                                   </w:t>
      </w:r>
    </w:p>
    <w:p w14:paraId="7538E873">
      <w:pPr>
        <w:spacing w:line="400" w:lineRule="exact"/>
        <w:rPr>
          <w:rFonts w:hint="eastAsia" w:ascii="宋体" w:hAnsi="宋体"/>
          <w:color w:val="auto"/>
          <w:sz w:val="22"/>
          <w:szCs w:val="22"/>
        </w:rPr>
      </w:pPr>
    </w:p>
    <w:p w14:paraId="7A2673DE">
      <w:pPr>
        <w:spacing w:line="400" w:lineRule="exact"/>
        <w:rPr>
          <w:rFonts w:hint="eastAsia" w:ascii="宋体" w:hAnsi="宋体"/>
          <w:color w:val="auto"/>
          <w:sz w:val="22"/>
          <w:szCs w:val="22"/>
        </w:rPr>
      </w:pPr>
    </w:p>
    <w:p w14:paraId="182F66AF">
      <w:pPr>
        <w:spacing w:line="400" w:lineRule="exact"/>
        <w:rPr>
          <w:rFonts w:hint="eastAsia" w:ascii="宋体" w:hAnsi="宋体"/>
          <w:color w:val="auto"/>
          <w:sz w:val="22"/>
          <w:szCs w:val="22"/>
        </w:rPr>
      </w:pPr>
    </w:p>
    <w:p w14:paraId="482C0D43">
      <w:pPr>
        <w:spacing w:line="400" w:lineRule="exact"/>
        <w:rPr>
          <w:rFonts w:hint="eastAsia" w:ascii="宋体" w:hAnsi="宋体"/>
          <w:color w:val="auto"/>
          <w:sz w:val="22"/>
          <w:szCs w:val="22"/>
        </w:rPr>
      </w:pPr>
    </w:p>
    <w:p w14:paraId="643D3465">
      <w:pPr>
        <w:spacing w:line="400" w:lineRule="exact"/>
        <w:rPr>
          <w:rFonts w:hint="eastAsia" w:ascii="宋体" w:hAnsi="宋体"/>
          <w:color w:val="auto"/>
          <w:sz w:val="22"/>
          <w:szCs w:val="22"/>
        </w:rPr>
      </w:pPr>
    </w:p>
    <w:p w14:paraId="5FC11943">
      <w:pPr>
        <w:spacing w:line="400" w:lineRule="exact"/>
        <w:rPr>
          <w:rFonts w:hint="eastAsia" w:ascii="宋体" w:hAnsi="宋体"/>
          <w:color w:val="auto"/>
          <w:sz w:val="22"/>
          <w:szCs w:val="22"/>
        </w:rPr>
      </w:pPr>
    </w:p>
    <w:p w14:paraId="34F787B5">
      <w:pPr>
        <w:spacing w:line="400" w:lineRule="exact"/>
        <w:rPr>
          <w:rFonts w:hint="eastAsia" w:ascii="宋体" w:hAnsi="宋体"/>
          <w:color w:val="auto"/>
          <w:sz w:val="22"/>
          <w:szCs w:val="22"/>
        </w:rPr>
      </w:pPr>
    </w:p>
    <w:p w14:paraId="039A883E">
      <w:pPr>
        <w:spacing w:line="400" w:lineRule="exact"/>
        <w:rPr>
          <w:rFonts w:hint="eastAsia" w:ascii="新宋体" w:hAnsi="新宋体" w:eastAsia="新宋体"/>
          <w:color w:val="auto"/>
          <w:sz w:val="22"/>
          <w:szCs w:val="22"/>
        </w:rPr>
      </w:pPr>
    </w:p>
    <w:p w14:paraId="53067148">
      <w:pPr>
        <w:spacing w:line="400" w:lineRule="exact"/>
        <w:rPr>
          <w:rFonts w:hint="eastAsia" w:ascii="新宋体" w:hAnsi="新宋体" w:eastAsia="新宋体"/>
          <w:color w:val="auto"/>
          <w:sz w:val="22"/>
          <w:szCs w:val="22"/>
        </w:rPr>
      </w:pPr>
    </w:p>
    <w:p w14:paraId="2A01BE62">
      <w:pPr>
        <w:spacing w:line="400" w:lineRule="exact"/>
        <w:rPr>
          <w:rFonts w:hint="eastAsia" w:ascii="新宋体" w:hAnsi="新宋体" w:eastAsia="新宋体"/>
          <w:color w:val="auto"/>
          <w:sz w:val="22"/>
          <w:szCs w:val="22"/>
        </w:rPr>
        <w:sectPr>
          <w:pgSz w:w="11906" w:h="16838"/>
          <w:pgMar w:top="1134" w:right="1134" w:bottom="1134" w:left="1134" w:header="851" w:footer="992" w:gutter="0"/>
          <w:cols w:space="720" w:num="1"/>
          <w:docGrid w:linePitch="312" w:charSpace="0"/>
        </w:sectPr>
      </w:pPr>
    </w:p>
    <w:p w14:paraId="597902B1">
      <w:pPr>
        <w:pStyle w:val="3"/>
        <w:spacing w:line="440" w:lineRule="exact"/>
        <w:rPr>
          <w:rFonts w:hint="eastAsia" w:ascii="黑体" w:hAnsi="宋体"/>
          <w:color w:val="auto"/>
          <w:sz w:val="24"/>
          <w:szCs w:val="24"/>
        </w:rPr>
      </w:pPr>
      <w:bookmarkStart w:id="59" w:name="_Toc287018660"/>
      <w:bookmarkStart w:id="60" w:name="_Toc287018834"/>
      <w:bookmarkStart w:id="61" w:name="_Toc287019109"/>
      <w:bookmarkStart w:id="62" w:name="_Toc11186"/>
      <w:bookmarkStart w:id="63" w:name="_Toc19"/>
      <w:r>
        <w:rPr>
          <w:rFonts w:hint="eastAsia" w:ascii="黑体" w:hAnsi="宋体"/>
          <w:color w:val="auto"/>
          <w:sz w:val="24"/>
          <w:szCs w:val="24"/>
        </w:rPr>
        <w:t>附件3</w:t>
      </w:r>
      <w:bookmarkEnd w:id="59"/>
      <w:bookmarkEnd w:id="60"/>
      <w:bookmarkEnd w:id="61"/>
      <w:r>
        <w:rPr>
          <w:rFonts w:hint="eastAsia" w:ascii="黑体" w:hAnsi="宋体"/>
          <w:color w:val="auto"/>
          <w:sz w:val="24"/>
          <w:szCs w:val="24"/>
        </w:rPr>
        <w:t xml:space="preserve"> 编制说明</w:t>
      </w:r>
      <w:bookmarkEnd w:id="62"/>
      <w:bookmarkEnd w:id="63"/>
    </w:p>
    <w:p w14:paraId="7C388C56">
      <w:pPr>
        <w:spacing w:line="400" w:lineRule="exact"/>
        <w:jc w:val="center"/>
        <w:rPr>
          <w:rFonts w:hint="eastAsia" w:ascii="宋体" w:hAnsi="宋体"/>
          <w:b/>
          <w:bCs/>
          <w:color w:val="auto"/>
          <w:sz w:val="32"/>
          <w:szCs w:val="32"/>
        </w:rPr>
      </w:pPr>
      <w:r>
        <w:rPr>
          <w:rFonts w:hint="eastAsia" w:ascii="宋体" w:hAnsi="宋体"/>
          <w:b/>
          <w:bCs/>
          <w:color w:val="auto"/>
          <w:sz w:val="32"/>
          <w:szCs w:val="32"/>
        </w:rPr>
        <w:t>编 制 说 明</w:t>
      </w:r>
    </w:p>
    <w:p w14:paraId="24F9923E">
      <w:pPr>
        <w:spacing w:line="400" w:lineRule="exact"/>
        <w:rPr>
          <w:rFonts w:hint="eastAsia" w:ascii="宋体" w:hAnsi="宋体"/>
          <w:color w:val="auto"/>
          <w:sz w:val="22"/>
          <w:szCs w:val="22"/>
        </w:rPr>
      </w:pPr>
    </w:p>
    <w:p w14:paraId="2988F643">
      <w:pPr>
        <w:spacing w:line="600" w:lineRule="exact"/>
        <w:rPr>
          <w:rFonts w:hint="eastAsia" w:ascii="宋体" w:hAnsi="宋体"/>
          <w:b/>
          <w:bCs/>
          <w:color w:val="auto"/>
          <w:sz w:val="36"/>
          <w:szCs w:val="36"/>
        </w:rPr>
      </w:pPr>
      <w:r>
        <w:rPr>
          <w:rFonts w:hint="eastAsia" w:ascii="宋体" w:hAnsi="宋体"/>
          <w:color w:val="auto"/>
          <w:sz w:val="22"/>
          <w:szCs w:val="22"/>
        </w:rPr>
        <w:t xml:space="preserve">工程名称：                                                  </w:t>
      </w:r>
      <w:r>
        <w:rPr>
          <w:rFonts w:hint="eastAsia" w:ascii="宋体" w:hAnsi="宋体"/>
          <w:b/>
          <w:bCs/>
          <w:color w:val="auto"/>
          <w:sz w:val="36"/>
          <w:szCs w:val="36"/>
        </w:rPr>
        <w:t xml:space="preserve">     </w:t>
      </w:r>
      <w:r>
        <w:rPr>
          <w:rFonts w:hint="eastAsia" w:ascii="宋体" w:hAnsi="宋体"/>
          <w:color w:val="auto"/>
          <w:sz w:val="22"/>
          <w:szCs w:val="22"/>
        </w:rPr>
        <w:t>第   页  共  页</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14:paraId="1F5F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9" w:hRule="atLeast"/>
        </w:trPr>
        <w:tc>
          <w:tcPr>
            <w:tcW w:w="9648" w:type="dxa"/>
          </w:tcPr>
          <w:p w14:paraId="2A0CA694">
            <w:pPr>
              <w:spacing w:line="400" w:lineRule="exact"/>
              <w:rPr>
                <w:rFonts w:hint="eastAsia" w:ascii="宋体" w:hAnsi="宋体"/>
                <w:color w:val="auto"/>
                <w:sz w:val="22"/>
                <w:szCs w:val="22"/>
              </w:rPr>
            </w:pPr>
          </w:p>
        </w:tc>
      </w:tr>
    </w:tbl>
    <w:p w14:paraId="3985DDB9">
      <w:pPr>
        <w:spacing w:line="400" w:lineRule="exact"/>
        <w:rPr>
          <w:rFonts w:hint="eastAsia" w:ascii="宋体" w:hAnsi="宋体"/>
          <w:color w:val="auto"/>
          <w:sz w:val="22"/>
          <w:szCs w:val="22"/>
        </w:rPr>
      </w:pPr>
    </w:p>
    <w:p w14:paraId="782D0895">
      <w:pPr>
        <w:spacing w:line="400" w:lineRule="exact"/>
        <w:rPr>
          <w:rFonts w:hint="eastAsia" w:ascii="宋体" w:hAnsi="宋体"/>
          <w:color w:val="auto"/>
          <w:sz w:val="22"/>
          <w:szCs w:val="22"/>
        </w:rPr>
      </w:pPr>
    </w:p>
    <w:p w14:paraId="1A72C77A">
      <w:pPr>
        <w:pStyle w:val="3"/>
        <w:spacing w:line="440" w:lineRule="exact"/>
        <w:rPr>
          <w:rFonts w:hint="eastAsia" w:ascii="黑体" w:hAnsi="宋体"/>
          <w:color w:val="auto"/>
          <w:sz w:val="24"/>
          <w:szCs w:val="24"/>
        </w:rPr>
      </w:pPr>
      <w:bookmarkStart w:id="64" w:name="_Toc29476"/>
      <w:bookmarkStart w:id="65" w:name="_Toc27278"/>
      <w:r>
        <w:rPr>
          <w:rFonts w:hint="eastAsia" w:ascii="黑体" w:hAnsi="宋体"/>
          <w:color w:val="auto"/>
          <w:sz w:val="24"/>
          <w:szCs w:val="24"/>
        </w:rPr>
        <w:t>附件4 磋商总价</w:t>
      </w:r>
      <w:bookmarkEnd w:id="64"/>
      <w:bookmarkEnd w:id="65"/>
    </w:p>
    <w:p w14:paraId="3F07CA53">
      <w:pPr>
        <w:spacing w:line="400" w:lineRule="exact"/>
        <w:jc w:val="center"/>
        <w:rPr>
          <w:rFonts w:hint="eastAsia" w:ascii="新宋体" w:hAnsi="新宋体" w:eastAsia="新宋体"/>
          <w:b/>
          <w:bCs/>
          <w:color w:val="auto"/>
          <w:sz w:val="32"/>
          <w:szCs w:val="32"/>
        </w:rPr>
      </w:pPr>
    </w:p>
    <w:p w14:paraId="7EFBE141">
      <w:pPr>
        <w:spacing w:line="400" w:lineRule="exact"/>
        <w:jc w:val="center"/>
        <w:rPr>
          <w:rFonts w:hint="eastAsia" w:ascii="新宋体" w:hAnsi="新宋体" w:eastAsia="新宋体"/>
          <w:b/>
          <w:bCs/>
          <w:color w:val="auto"/>
          <w:sz w:val="32"/>
          <w:szCs w:val="32"/>
        </w:rPr>
      </w:pPr>
      <w:r>
        <w:rPr>
          <w:rFonts w:hint="eastAsia" w:ascii="新宋体" w:hAnsi="新宋体" w:eastAsia="新宋体"/>
          <w:b/>
          <w:bCs/>
          <w:color w:val="auto"/>
          <w:sz w:val="32"/>
          <w:szCs w:val="32"/>
        </w:rPr>
        <w:t>磋 商 总 价</w:t>
      </w:r>
    </w:p>
    <w:p w14:paraId="3FB48DC7">
      <w:pPr>
        <w:spacing w:line="400" w:lineRule="exact"/>
        <w:jc w:val="center"/>
        <w:rPr>
          <w:rFonts w:hint="eastAsia" w:ascii="新宋体" w:hAnsi="新宋体" w:eastAsia="新宋体"/>
          <w:color w:val="auto"/>
          <w:sz w:val="22"/>
          <w:szCs w:val="22"/>
        </w:rPr>
      </w:pPr>
    </w:p>
    <w:p w14:paraId="54193C8E">
      <w:pPr>
        <w:spacing w:line="400" w:lineRule="exact"/>
        <w:jc w:val="center"/>
        <w:rPr>
          <w:rFonts w:hint="eastAsia" w:ascii="新宋体" w:hAnsi="新宋体" w:eastAsia="新宋体"/>
          <w:color w:val="auto"/>
          <w:sz w:val="22"/>
          <w:szCs w:val="22"/>
        </w:rPr>
      </w:pPr>
    </w:p>
    <w:p w14:paraId="7A2E1249">
      <w:pPr>
        <w:spacing w:line="400" w:lineRule="exact"/>
        <w:ind w:firstLine="899" w:firstLineChars="409"/>
        <w:rPr>
          <w:rFonts w:hint="eastAsia" w:ascii="新宋体" w:hAnsi="新宋体" w:eastAsia="新宋体"/>
          <w:color w:val="auto"/>
          <w:sz w:val="22"/>
          <w:szCs w:val="22"/>
          <w:u w:val="single"/>
        </w:rPr>
      </w:pPr>
      <w:r>
        <w:rPr>
          <w:rFonts w:hint="eastAsia" w:ascii="新宋体" w:hAnsi="新宋体" w:eastAsia="新宋体"/>
          <w:color w:val="auto"/>
          <w:sz w:val="22"/>
          <w:szCs w:val="22"/>
        </w:rPr>
        <w:t>建设单位：</w:t>
      </w:r>
      <w:r>
        <w:rPr>
          <w:rFonts w:hint="eastAsia" w:ascii="新宋体" w:hAnsi="新宋体" w:eastAsia="新宋体"/>
          <w:color w:val="auto"/>
          <w:sz w:val="22"/>
          <w:szCs w:val="22"/>
          <w:u w:val="single"/>
        </w:rPr>
        <w:t xml:space="preserve">                                                 </w:t>
      </w:r>
    </w:p>
    <w:p w14:paraId="255DC9C1">
      <w:pPr>
        <w:spacing w:line="400" w:lineRule="exact"/>
        <w:ind w:firstLine="899" w:firstLineChars="409"/>
        <w:rPr>
          <w:rFonts w:hint="eastAsia" w:ascii="新宋体" w:hAnsi="新宋体" w:eastAsia="新宋体"/>
          <w:color w:val="auto"/>
          <w:sz w:val="22"/>
          <w:szCs w:val="22"/>
        </w:rPr>
      </w:pPr>
    </w:p>
    <w:p w14:paraId="5E18DE96">
      <w:pPr>
        <w:spacing w:line="400" w:lineRule="exact"/>
        <w:ind w:firstLine="899" w:firstLineChars="409"/>
        <w:rPr>
          <w:rFonts w:hint="eastAsia" w:ascii="新宋体" w:hAnsi="新宋体" w:eastAsia="新宋体"/>
          <w:color w:val="auto"/>
          <w:sz w:val="22"/>
          <w:szCs w:val="22"/>
          <w:u w:val="single"/>
        </w:rPr>
      </w:pPr>
      <w:r>
        <w:rPr>
          <w:rFonts w:hint="eastAsia" w:ascii="新宋体" w:hAnsi="新宋体" w:eastAsia="新宋体"/>
          <w:color w:val="auto"/>
          <w:sz w:val="22"/>
          <w:szCs w:val="22"/>
        </w:rPr>
        <w:t>工程名称：</w:t>
      </w:r>
      <w:r>
        <w:rPr>
          <w:rFonts w:hint="eastAsia" w:ascii="新宋体" w:hAnsi="新宋体" w:eastAsia="新宋体"/>
          <w:color w:val="auto"/>
          <w:sz w:val="22"/>
          <w:szCs w:val="22"/>
          <w:u w:val="single"/>
        </w:rPr>
        <w:t xml:space="preserve">                                                  </w:t>
      </w:r>
    </w:p>
    <w:p w14:paraId="163D4C51">
      <w:pPr>
        <w:spacing w:line="400" w:lineRule="exact"/>
        <w:ind w:firstLine="899" w:firstLineChars="409"/>
        <w:rPr>
          <w:rFonts w:hint="eastAsia" w:ascii="新宋体" w:hAnsi="新宋体" w:eastAsia="新宋体"/>
          <w:color w:val="auto"/>
          <w:sz w:val="22"/>
          <w:szCs w:val="22"/>
        </w:rPr>
      </w:pPr>
    </w:p>
    <w:p w14:paraId="330482CC">
      <w:pPr>
        <w:spacing w:line="400" w:lineRule="exact"/>
        <w:ind w:firstLine="899" w:firstLineChars="409"/>
        <w:rPr>
          <w:rFonts w:hint="eastAsia" w:ascii="新宋体" w:hAnsi="新宋体" w:eastAsia="新宋体"/>
          <w:color w:val="auto"/>
          <w:sz w:val="22"/>
          <w:szCs w:val="22"/>
          <w:u w:val="single"/>
        </w:rPr>
      </w:pPr>
      <w:r>
        <w:rPr>
          <w:rFonts w:hint="eastAsia" w:ascii="新宋体" w:hAnsi="新宋体" w:eastAsia="新宋体"/>
          <w:color w:val="auto"/>
          <w:sz w:val="22"/>
          <w:szCs w:val="22"/>
        </w:rPr>
        <w:t>磋商总价（小写）：</w:t>
      </w:r>
      <w:r>
        <w:rPr>
          <w:rFonts w:hint="eastAsia" w:ascii="新宋体" w:hAnsi="新宋体" w:eastAsia="新宋体"/>
          <w:color w:val="auto"/>
          <w:sz w:val="22"/>
          <w:szCs w:val="22"/>
          <w:u w:val="single"/>
        </w:rPr>
        <w:t xml:space="preserve">                                           </w:t>
      </w:r>
    </w:p>
    <w:p w14:paraId="5E48B928">
      <w:pPr>
        <w:spacing w:line="400" w:lineRule="exact"/>
        <w:ind w:firstLine="899" w:firstLineChars="409"/>
        <w:rPr>
          <w:rFonts w:hint="eastAsia" w:ascii="新宋体" w:hAnsi="新宋体" w:eastAsia="新宋体"/>
          <w:color w:val="auto"/>
          <w:sz w:val="22"/>
          <w:szCs w:val="22"/>
        </w:rPr>
      </w:pPr>
    </w:p>
    <w:p w14:paraId="6AFAA9E4">
      <w:pPr>
        <w:spacing w:line="400" w:lineRule="exact"/>
        <w:ind w:firstLine="899" w:firstLineChars="409"/>
        <w:rPr>
          <w:rFonts w:hint="eastAsia" w:ascii="新宋体" w:hAnsi="新宋体" w:eastAsia="新宋体"/>
          <w:color w:val="auto"/>
          <w:sz w:val="22"/>
          <w:szCs w:val="22"/>
          <w:u w:val="single"/>
        </w:rPr>
      </w:pPr>
      <w:r>
        <w:rPr>
          <w:rFonts w:hint="eastAsia" w:ascii="新宋体" w:hAnsi="新宋体" w:eastAsia="新宋体"/>
          <w:color w:val="auto"/>
          <w:sz w:val="22"/>
          <w:szCs w:val="22"/>
        </w:rPr>
        <w:t xml:space="preserve">        （大写）：</w:t>
      </w:r>
      <w:r>
        <w:rPr>
          <w:rFonts w:hint="eastAsia" w:ascii="新宋体" w:hAnsi="新宋体" w:eastAsia="新宋体"/>
          <w:color w:val="auto"/>
          <w:sz w:val="22"/>
          <w:szCs w:val="22"/>
          <w:u w:val="single"/>
        </w:rPr>
        <w:t xml:space="preserve">                                           </w:t>
      </w:r>
    </w:p>
    <w:p w14:paraId="76F831AA">
      <w:pPr>
        <w:spacing w:line="400" w:lineRule="exact"/>
        <w:ind w:firstLine="899" w:firstLineChars="409"/>
        <w:rPr>
          <w:rFonts w:hint="eastAsia" w:ascii="新宋体" w:hAnsi="新宋体" w:eastAsia="新宋体"/>
          <w:color w:val="auto"/>
          <w:sz w:val="22"/>
          <w:szCs w:val="22"/>
        </w:rPr>
      </w:pPr>
    </w:p>
    <w:p w14:paraId="139B6C5B">
      <w:pPr>
        <w:spacing w:line="400" w:lineRule="exact"/>
        <w:ind w:firstLine="899" w:firstLineChars="409"/>
        <w:rPr>
          <w:rFonts w:hint="eastAsia" w:ascii="新宋体" w:hAnsi="新宋体" w:eastAsia="新宋体"/>
          <w:color w:val="auto"/>
          <w:sz w:val="22"/>
          <w:szCs w:val="22"/>
        </w:rPr>
      </w:pPr>
    </w:p>
    <w:p w14:paraId="6B18BBB6">
      <w:pPr>
        <w:spacing w:line="400" w:lineRule="exact"/>
        <w:ind w:firstLine="899" w:firstLineChars="409"/>
        <w:rPr>
          <w:rFonts w:hint="eastAsia" w:ascii="新宋体" w:hAnsi="新宋体" w:eastAsia="新宋体"/>
          <w:color w:val="auto"/>
          <w:sz w:val="22"/>
          <w:szCs w:val="22"/>
        </w:rPr>
      </w:pPr>
    </w:p>
    <w:p w14:paraId="5584D52D">
      <w:pPr>
        <w:spacing w:line="400" w:lineRule="exact"/>
        <w:ind w:firstLine="899" w:firstLineChars="409"/>
        <w:rPr>
          <w:rFonts w:hint="eastAsia" w:ascii="新宋体" w:hAnsi="新宋体" w:eastAsia="新宋体"/>
          <w:color w:val="auto"/>
          <w:sz w:val="22"/>
          <w:szCs w:val="22"/>
        </w:rPr>
      </w:pPr>
    </w:p>
    <w:p w14:paraId="25210FA6">
      <w:pPr>
        <w:spacing w:line="400" w:lineRule="exact"/>
        <w:ind w:firstLine="899" w:firstLineChars="409"/>
        <w:rPr>
          <w:rFonts w:hint="eastAsia" w:ascii="新宋体" w:hAnsi="新宋体" w:eastAsia="新宋体"/>
          <w:color w:val="auto"/>
          <w:sz w:val="22"/>
          <w:szCs w:val="22"/>
        </w:rPr>
      </w:pPr>
    </w:p>
    <w:p w14:paraId="1D3728CA">
      <w:pPr>
        <w:spacing w:line="400" w:lineRule="exact"/>
        <w:ind w:firstLine="899" w:firstLineChars="409"/>
        <w:rPr>
          <w:rFonts w:hint="eastAsia" w:ascii="新宋体" w:hAnsi="新宋体" w:eastAsia="新宋体"/>
          <w:color w:val="auto"/>
          <w:sz w:val="22"/>
          <w:szCs w:val="22"/>
        </w:rPr>
      </w:pPr>
      <w:r>
        <w:rPr>
          <w:rFonts w:hint="eastAsia" w:ascii="新宋体" w:hAnsi="新宋体" w:eastAsia="新宋体"/>
          <w:color w:val="auto"/>
          <w:sz w:val="22"/>
          <w:szCs w:val="22"/>
        </w:rPr>
        <w:t>磋商供应商：</w:t>
      </w:r>
      <w:r>
        <w:rPr>
          <w:rFonts w:hint="eastAsia" w:ascii="新宋体" w:hAnsi="新宋体" w:eastAsia="新宋体"/>
          <w:color w:val="auto"/>
          <w:sz w:val="22"/>
          <w:szCs w:val="22"/>
          <w:u w:val="single"/>
        </w:rPr>
        <w:t xml:space="preserve">                          </w:t>
      </w:r>
      <w:r>
        <w:rPr>
          <w:rFonts w:hint="eastAsia" w:ascii="新宋体" w:hAnsi="新宋体" w:eastAsia="新宋体"/>
          <w:color w:val="auto"/>
          <w:sz w:val="22"/>
          <w:szCs w:val="22"/>
        </w:rPr>
        <w:t>（单位盖章）</w:t>
      </w:r>
    </w:p>
    <w:p w14:paraId="53F2BC74">
      <w:pPr>
        <w:spacing w:line="400" w:lineRule="exact"/>
        <w:ind w:firstLine="899" w:firstLineChars="409"/>
        <w:rPr>
          <w:rFonts w:hint="eastAsia" w:ascii="新宋体" w:hAnsi="新宋体" w:eastAsia="新宋体"/>
          <w:color w:val="auto"/>
          <w:sz w:val="22"/>
          <w:szCs w:val="22"/>
        </w:rPr>
      </w:pPr>
    </w:p>
    <w:p w14:paraId="6931DA51">
      <w:pPr>
        <w:spacing w:line="400" w:lineRule="exact"/>
        <w:ind w:firstLine="899" w:firstLineChars="409"/>
        <w:rPr>
          <w:rFonts w:hint="eastAsia" w:ascii="新宋体" w:hAnsi="新宋体" w:eastAsia="新宋体"/>
          <w:color w:val="auto"/>
          <w:sz w:val="22"/>
          <w:szCs w:val="22"/>
        </w:rPr>
      </w:pPr>
      <w:r>
        <w:rPr>
          <w:rFonts w:hint="eastAsia" w:ascii="新宋体" w:hAnsi="新宋体" w:eastAsia="新宋体"/>
          <w:color w:val="auto"/>
          <w:sz w:val="22"/>
          <w:szCs w:val="22"/>
        </w:rPr>
        <w:t>法定代表人：</w:t>
      </w:r>
      <w:r>
        <w:rPr>
          <w:rFonts w:hint="eastAsia" w:ascii="新宋体" w:hAnsi="新宋体" w:eastAsia="新宋体"/>
          <w:color w:val="auto"/>
          <w:sz w:val="22"/>
          <w:szCs w:val="22"/>
          <w:u w:val="single"/>
        </w:rPr>
        <w:t xml:space="preserve">                          </w:t>
      </w:r>
      <w:r>
        <w:rPr>
          <w:rFonts w:hint="eastAsia" w:ascii="新宋体" w:hAnsi="新宋体" w:eastAsia="新宋体"/>
          <w:color w:val="auto"/>
          <w:sz w:val="22"/>
          <w:szCs w:val="22"/>
        </w:rPr>
        <w:t>（签字或盖章）</w:t>
      </w:r>
    </w:p>
    <w:p w14:paraId="6F50BE49">
      <w:pPr>
        <w:spacing w:line="400" w:lineRule="exact"/>
        <w:ind w:firstLine="899" w:firstLineChars="409"/>
        <w:rPr>
          <w:rFonts w:hint="eastAsia" w:ascii="新宋体" w:hAnsi="新宋体" w:eastAsia="新宋体"/>
          <w:color w:val="auto"/>
          <w:sz w:val="22"/>
          <w:szCs w:val="22"/>
        </w:rPr>
      </w:pPr>
    </w:p>
    <w:p w14:paraId="3F8D7B1C">
      <w:pPr>
        <w:spacing w:line="400" w:lineRule="exact"/>
        <w:ind w:firstLine="899" w:firstLineChars="409"/>
        <w:rPr>
          <w:rFonts w:hint="eastAsia" w:ascii="新宋体" w:hAnsi="新宋体" w:eastAsia="新宋体"/>
          <w:b/>
          <w:bCs/>
          <w:color w:val="auto"/>
          <w:sz w:val="22"/>
          <w:szCs w:val="22"/>
        </w:rPr>
      </w:pPr>
      <w:r>
        <w:rPr>
          <w:rFonts w:hint="eastAsia" w:ascii="新宋体" w:hAnsi="新宋体" w:eastAsia="新宋体"/>
          <w:color w:val="auto"/>
          <w:sz w:val="22"/>
          <w:szCs w:val="22"/>
        </w:rPr>
        <w:t>编制时间：</w:t>
      </w:r>
      <w:r>
        <w:rPr>
          <w:rFonts w:hint="eastAsia" w:ascii="新宋体" w:hAnsi="新宋体" w:eastAsia="新宋体"/>
          <w:color w:val="auto"/>
          <w:sz w:val="22"/>
          <w:szCs w:val="22"/>
          <w:u w:val="single"/>
        </w:rPr>
        <w:t xml:space="preserve">                                   </w:t>
      </w:r>
    </w:p>
    <w:p w14:paraId="28E3BA89">
      <w:pPr>
        <w:spacing w:line="400" w:lineRule="exact"/>
        <w:ind w:firstLine="899" w:firstLineChars="409"/>
        <w:rPr>
          <w:rFonts w:hint="eastAsia" w:ascii="新宋体" w:hAnsi="新宋体" w:eastAsia="新宋体"/>
          <w:color w:val="auto"/>
          <w:sz w:val="22"/>
          <w:szCs w:val="22"/>
        </w:rPr>
      </w:pPr>
    </w:p>
    <w:p w14:paraId="42F37598">
      <w:pPr>
        <w:spacing w:line="400" w:lineRule="exact"/>
        <w:rPr>
          <w:rFonts w:hint="eastAsia" w:ascii="新宋体" w:hAnsi="新宋体" w:eastAsia="新宋体"/>
          <w:color w:val="auto"/>
          <w:sz w:val="22"/>
          <w:szCs w:val="22"/>
        </w:rPr>
      </w:pPr>
    </w:p>
    <w:p w14:paraId="59B40771">
      <w:pPr>
        <w:spacing w:line="400" w:lineRule="exact"/>
        <w:rPr>
          <w:rFonts w:hint="eastAsia" w:ascii="新宋体" w:hAnsi="新宋体" w:eastAsia="新宋体"/>
          <w:color w:val="auto"/>
          <w:sz w:val="22"/>
          <w:szCs w:val="22"/>
        </w:rPr>
      </w:pPr>
    </w:p>
    <w:p w14:paraId="613A7E11">
      <w:pPr>
        <w:spacing w:line="400" w:lineRule="exact"/>
        <w:rPr>
          <w:rFonts w:hint="eastAsia" w:ascii="新宋体" w:hAnsi="新宋体" w:eastAsia="新宋体"/>
          <w:color w:val="auto"/>
          <w:sz w:val="22"/>
          <w:szCs w:val="22"/>
        </w:rPr>
      </w:pPr>
    </w:p>
    <w:p w14:paraId="02900E6C">
      <w:pPr>
        <w:spacing w:line="400" w:lineRule="exact"/>
        <w:rPr>
          <w:rFonts w:hint="eastAsia" w:ascii="新宋体" w:hAnsi="新宋体" w:eastAsia="新宋体"/>
          <w:color w:val="auto"/>
          <w:sz w:val="22"/>
          <w:szCs w:val="22"/>
        </w:rPr>
      </w:pPr>
    </w:p>
    <w:p w14:paraId="4E503E50">
      <w:pPr>
        <w:spacing w:line="400" w:lineRule="exact"/>
        <w:rPr>
          <w:rFonts w:hint="eastAsia" w:ascii="新宋体" w:hAnsi="新宋体" w:eastAsia="新宋体"/>
          <w:color w:val="auto"/>
          <w:sz w:val="22"/>
          <w:szCs w:val="22"/>
        </w:rPr>
      </w:pPr>
    </w:p>
    <w:p w14:paraId="39946856">
      <w:pPr>
        <w:spacing w:line="400" w:lineRule="exact"/>
        <w:rPr>
          <w:rFonts w:hint="eastAsia" w:ascii="新宋体" w:hAnsi="新宋体" w:eastAsia="新宋体"/>
          <w:color w:val="auto"/>
          <w:sz w:val="22"/>
          <w:szCs w:val="22"/>
        </w:rPr>
      </w:pPr>
    </w:p>
    <w:p w14:paraId="2A708D2F">
      <w:pPr>
        <w:spacing w:line="400" w:lineRule="exact"/>
        <w:rPr>
          <w:rFonts w:hint="eastAsia" w:ascii="新宋体" w:hAnsi="新宋体" w:eastAsia="新宋体"/>
          <w:color w:val="auto"/>
          <w:sz w:val="22"/>
          <w:szCs w:val="22"/>
        </w:rPr>
      </w:pPr>
    </w:p>
    <w:p w14:paraId="05D9D8D1">
      <w:pPr>
        <w:spacing w:line="400" w:lineRule="exact"/>
        <w:rPr>
          <w:rFonts w:hint="eastAsia" w:ascii="新宋体" w:hAnsi="新宋体" w:eastAsia="新宋体"/>
          <w:color w:val="auto"/>
          <w:sz w:val="22"/>
          <w:szCs w:val="22"/>
        </w:rPr>
      </w:pPr>
    </w:p>
    <w:p w14:paraId="3EDBA290">
      <w:pPr>
        <w:spacing w:line="400" w:lineRule="exact"/>
        <w:rPr>
          <w:rFonts w:hint="eastAsia" w:ascii="新宋体" w:hAnsi="新宋体" w:eastAsia="新宋体"/>
          <w:color w:val="auto"/>
          <w:sz w:val="22"/>
          <w:szCs w:val="22"/>
        </w:rPr>
      </w:pPr>
    </w:p>
    <w:p w14:paraId="4D6B6818">
      <w:pPr>
        <w:spacing w:line="400" w:lineRule="exact"/>
        <w:rPr>
          <w:rFonts w:hint="eastAsia" w:ascii="新宋体" w:hAnsi="新宋体" w:eastAsia="新宋体"/>
          <w:color w:val="auto"/>
          <w:sz w:val="22"/>
          <w:szCs w:val="22"/>
        </w:rPr>
      </w:pPr>
    </w:p>
    <w:p w14:paraId="1CCBC831">
      <w:pPr>
        <w:spacing w:line="400" w:lineRule="exact"/>
        <w:rPr>
          <w:rFonts w:hint="eastAsia" w:ascii="新宋体" w:hAnsi="新宋体" w:eastAsia="新宋体"/>
          <w:color w:val="auto"/>
          <w:sz w:val="22"/>
          <w:szCs w:val="22"/>
        </w:rPr>
      </w:pPr>
    </w:p>
    <w:p w14:paraId="621D90FD">
      <w:pPr>
        <w:pStyle w:val="3"/>
        <w:spacing w:line="440" w:lineRule="exact"/>
        <w:rPr>
          <w:rFonts w:hint="eastAsia" w:ascii="黑体" w:hAnsi="宋体"/>
          <w:color w:val="auto"/>
          <w:sz w:val="24"/>
          <w:szCs w:val="24"/>
        </w:rPr>
      </w:pPr>
      <w:bookmarkStart w:id="66" w:name="_Toc287018662"/>
      <w:bookmarkStart w:id="67" w:name="_Toc287018836"/>
      <w:bookmarkStart w:id="68" w:name="_Toc287019111"/>
      <w:bookmarkStart w:id="69" w:name="_Toc29802"/>
      <w:bookmarkStart w:id="70" w:name="_Toc2662"/>
      <w:r>
        <w:rPr>
          <w:rFonts w:hint="eastAsia" w:ascii="黑体" w:hAnsi="宋体"/>
          <w:color w:val="auto"/>
          <w:sz w:val="24"/>
          <w:szCs w:val="24"/>
        </w:rPr>
        <w:t>附件5</w:t>
      </w:r>
      <w:bookmarkEnd w:id="66"/>
      <w:bookmarkEnd w:id="67"/>
      <w:bookmarkEnd w:id="68"/>
      <w:r>
        <w:rPr>
          <w:rFonts w:hint="eastAsia" w:ascii="黑体" w:hAnsi="宋体"/>
          <w:color w:val="auto"/>
          <w:sz w:val="24"/>
          <w:szCs w:val="24"/>
        </w:rPr>
        <w:t xml:space="preserve"> 工程项目磋商报价汇总表</w:t>
      </w:r>
      <w:bookmarkEnd w:id="69"/>
      <w:bookmarkEnd w:id="70"/>
    </w:p>
    <w:p w14:paraId="1C864564">
      <w:pPr>
        <w:spacing w:line="600" w:lineRule="exact"/>
        <w:jc w:val="center"/>
        <w:rPr>
          <w:rFonts w:hint="eastAsia"/>
          <w:b/>
          <w:color w:val="auto"/>
          <w:sz w:val="36"/>
          <w:szCs w:val="36"/>
        </w:rPr>
      </w:pPr>
      <w:r>
        <w:rPr>
          <w:rFonts w:hint="eastAsia"/>
          <w:b/>
          <w:color w:val="auto"/>
          <w:sz w:val="36"/>
          <w:szCs w:val="36"/>
        </w:rPr>
        <w:t>工程项目磋商报价汇总表</w:t>
      </w:r>
    </w:p>
    <w:p w14:paraId="6C894A10">
      <w:pPr>
        <w:spacing w:line="600" w:lineRule="exact"/>
        <w:rPr>
          <w:rFonts w:hint="eastAsia"/>
          <w:b/>
          <w:color w:val="auto"/>
          <w:sz w:val="22"/>
          <w:szCs w:val="22"/>
        </w:rPr>
      </w:pPr>
      <w:r>
        <w:rPr>
          <w:rFonts w:hint="eastAsia"/>
          <w:color w:val="auto"/>
          <w:sz w:val="22"/>
          <w:szCs w:val="22"/>
        </w:rPr>
        <w:t>工程名称：                                                          第    页 共    页</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760"/>
        <w:gridCol w:w="2700"/>
      </w:tblGrid>
      <w:tr w14:paraId="1A84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368" w:type="dxa"/>
            <w:vAlign w:val="center"/>
          </w:tcPr>
          <w:p w14:paraId="086A2A79">
            <w:pPr>
              <w:jc w:val="center"/>
              <w:rPr>
                <w:rFonts w:hint="eastAsia" w:ascii="宋体" w:hAnsi="宋体"/>
                <w:b/>
                <w:color w:val="auto"/>
                <w:sz w:val="24"/>
              </w:rPr>
            </w:pPr>
            <w:r>
              <w:rPr>
                <w:rFonts w:hint="eastAsia" w:ascii="宋体" w:hAnsi="宋体"/>
                <w:b/>
                <w:color w:val="auto"/>
                <w:sz w:val="24"/>
              </w:rPr>
              <w:t>序号</w:t>
            </w:r>
          </w:p>
        </w:tc>
        <w:tc>
          <w:tcPr>
            <w:tcW w:w="5760" w:type="dxa"/>
            <w:vAlign w:val="center"/>
          </w:tcPr>
          <w:p w14:paraId="7968E5F5">
            <w:pPr>
              <w:jc w:val="center"/>
              <w:rPr>
                <w:rFonts w:hint="eastAsia" w:ascii="宋体" w:hAnsi="宋体"/>
                <w:b/>
                <w:color w:val="auto"/>
                <w:sz w:val="24"/>
              </w:rPr>
            </w:pPr>
            <w:r>
              <w:rPr>
                <w:rFonts w:hint="eastAsia" w:ascii="宋体" w:hAnsi="宋体"/>
                <w:b/>
                <w:color w:val="auto"/>
                <w:sz w:val="24"/>
              </w:rPr>
              <w:t>单位工程名称</w:t>
            </w:r>
          </w:p>
        </w:tc>
        <w:tc>
          <w:tcPr>
            <w:tcW w:w="2700" w:type="dxa"/>
            <w:vAlign w:val="center"/>
          </w:tcPr>
          <w:p w14:paraId="23DC964F">
            <w:pPr>
              <w:jc w:val="center"/>
              <w:rPr>
                <w:rFonts w:hint="eastAsia" w:ascii="宋体" w:hAnsi="宋体"/>
                <w:b/>
                <w:color w:val="auto"/>
                <w:sz w:val="24"/>
              </w:rPr>
            </w:pPr>
            <w:r>
              <w:rPr>
                <w:rFonts w:hint="eastAsia" w:ascii="宋体" w:hAnsi="宋体"/>
                <w:b/>
                <w:color w:val="auto"/>
                <w:sz w:val="24"/>
              </w:rPr>
              <w:t>金额（元）</w:t>
            </w:r>
          </w:p>
        </w:tc>
      </w:tr>
      <w:tr w14:paraId="46EF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68" w:type="dxa"/>
            <w:vAlign w:val="center"/>
          </w:tcPr>
          <w:p w14:paraId="4DA56840">
            <w:pPr>
              <w:jc w:val="center"/>
              <w:rPr>
                <w:rFonts w:hint="eastAsia" w:ascii="宋体" w:hAnsi="宋体"/>
                <w:color w:val="auto"/>
                <w:sz w:val="22"/>
                <w:szCs w:val="22"/>
              </w:rPr>
            </w:pPr>
            <w:r>
              <w:rPr>
                <w:rFonts w:hint="eastAsia" w:ascii="宋体" w:hAnsi="宋体"/>
                <w:color w:val="auto"/>
                <w:sz w:val="22"/>
                <w:szCs w:val="22"/>
              </w:rPr>
              <w:t>1</w:t>
            </w:r>
          </w:p>
        </w:tc>
        <w:tc>
          <w:tcPr>
            <w:tcW w:w="5760" w:type="dxa"/>
            <w:vAlign w:val="center"/>
          </w:tcPr>
          <w:p w14:paraId="46E7F031">
            <w:pPr>
              <w:rPr>
                <w:rFonts w:hint="eastAsia" w:ascii="宋体" w:hAnsi="宋体"/>
                <w:color w:val="auto"/>
                <w:sz w:val="22"/>
                <w:szCs w:val="22"/>
              </w:rPr>
            </w:pPr>
            <w:r>
              <w:rPr>
                <w:rFonts w:hint="eastAsia" w:ascii="宋体" w:hAnsi="宋体"/>
                <w:color w:val="auto"/>
                <w:sz w:val="22"/>
                <w:szCs w:val="22"/>
              </w:rPr>
              <w:t>单位工程</w:t>
            </w:r>
          </w:p>
        </w:tc>
        <w:tc>
          <w:tcPr>
            <w:tcW w:w="2700" w:type="dxa"/>
          </w:tcPr>
          <w:p w14:paraId="5E8CDF52">
            <w:pPr>
              <w:rPr>
                <w:rFonts w:hint="eastAsia" w:ascii="宋体" w:hAnsi="宋体"/>
                <w:color w:val="auto"/>
              </w:rPr>
            </w:pPr>
          </w:p>
        </w:tc>
      </w:tr>
      <w:tr w14:paraId="169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68" w:type="dxa"/>
            <w:vAlign w:val="center"/>
          </w:tcPr>
          <w:p w14:paraId="43D7A82B">
            <w:pPr>
              <w:jc w:val="center"/>
              <w:rPr>
                <w:rFonts w:hint="eastAsia" w:ascii="宋体" w:hAnsi="宋体"/>
                <w:color w:val="auto"/>
                <w:sz w:val="22"/>
                <w:szCs w:val="22"/>
              </w:rPr>
            </w:pPr>
            <w:r>
              <w:rPr>
                <w:rFonts w:hint="eastAsia" w:ascii="宋体" w:hAnsi="宋体"/>
                <w:color w:val="auto"/>
                <w:sz w:val="22"/>
                <w:szCs w:val="22"/>
              </w:rPr>
              <w:t>1.1</w:t>
            </w:r>
          </w:p>
        </w:tc>
        <w:tc>
          <w:tcPr>
            <w:tcW w:w="5760" w:type="dxa"/>
            <w:vAlign w:val="center"/>
          </w:tcPr>
          <w:p w14:paraId="4BB402D9">
            <w:pPr>
              <w:rPr>
                <w:rFonts w:hint="eastAsia" w:ascii="宋体" w:hAnsi="宋体"/>
                <w:color w:val="auto"/>
                <w:sz w:val="22"/>
                <w:szCs w:val="22"/>
              </w:rPr>
            </w:pPr>
            <w:r>
              <w:rPr>
                <w:rFonts w:hint="eastAsia" w:ascii="宋体" w:hAnsi="宋体"/>
                <w:color w:val="auto"/>
                <w:sz w:val="22"/>
                <w:szCs w:val="22"/>
              </w:rPr>
              <w:t>专业工程</w:t>
            </w:r>
          </w:p>
        </w:tc>
        <w:tc>
          <w:tcPr>
            <w:tcW w:w="2700" w:type="dxa"/>
          </w:tcPr>
          <w:p w14:paraId="02766B7B">
            <w:pPr>
              <w:rPr>
                <w:rFonts w:hint="eastAsia" w:ascii="宋体" w:hAnsi="宋体"/>
                <w:color w:val="auto"/>
              </w:rPr>
            </w:pPr>
          </w:p>
        </w:tc>
      </w:tr>
      <w:tr w14:paraId="60B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368" w:type="dxa"/>
            <w:vAlign w:val="center"/>
          </w:tcPr>
          <w:p w14:paraId="31D1126D">
            <w:pPr>
              <w:jc w:val="center"/>
              <w:rPr>
                <w:rFonts w:hint="eastAsia" w:ascii="宋体" w:hAnsi="宋体"/>
                <w:color w:val="auto"/>
                <w:sz w:val="22"/>
                <w:szCs w:val="22"/>
              </w:rPr>
            </w:pPr>
            <w:r>
              <w:rPr>
                <w:rFonts w:hint="eastAsia" w:ascii="宋体" w:hAnsi="宋体"/>
                <w:color w:val="auto"/>
                <w:sz w:val="22"/>
                <w:szCs w:val="22"/>
              </w:rPr>
              <w:t>1.2</w:t>
            </w:r>
          </w:p>
        </w:tc>
        <w:tc>
          <w:tcPr>
            <w:tcW w:w="5760" w:type="dxa"/>
            <w:vAlign w:val="center"/>
          </w:tcPr>
          <w:p w14:paraId="13ED0669">
            <w:pPr>
              <w:rPr>
                <w:rFonts w:hint="eastAsia" w:ascii="宋体" w:hAnsi="宋体"/>
                <w:color w:val="auto"/>
                <w:sz w:val="22"/>
                <w:szCs w:val="22"/>
              </w:rPr>
            </w:pPr>
            <w:r>
              <w:rPr>
                <w:rFonts w:hint="eastAsia" w:ascii="宋体" w:hAnsi="宋体"/>
                <w:color w:val="auto"/>
                <w:sz w:val="22"/>
                <w:szCs w:val="22"/>
              </w:rPr>
              <w:t>专业工程</w:t>
            </w:r>
          </w:p>
        </w:tc>
        <w:tc>
          <w:tcPr>
            <w:tcW w:w="2700" w:type="dxa"/>
          </w:tcPr>
          <w:p w14:paraId="4E23A61A">
            <w:pPr>
              <w:rPr>
                <w:rFonts w:hint="eastAsia" w:ascii="宋体" w:hAnsi="宋体"/>
                <w:color w:val="auto"/>
              </w:rPr>
            </w:pPr>
          </w:p>
        </w:tc>
      </w:tr>
      <w:tr w14:paraId="3AE3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68" w:type="dxa"/>
            <w:vAlign w:val="center"/>
          </w:tcPr>
          <w:p w14:paraId="449BCDCF">
            <w:pPr>
              <w:jc w:val="center"/>
              <w:rPr>
                <w:rFonts w:hint="eastAsia" w:ascii="宋体" w:hAnsi="宋体"/>
                <w:color w:val="auto"/>
                <w:sz w:val="22"/>
                <w:szCs w:val="22"/>
              </w:rPr>
            </w:pPr>
            <w:r>
              <w:rPr>
                <w:rFonts w:ascii="宋体" w:hAnsi="宋体"/>
                <w:color w:val="auto"/>
                <w:sz w:val="22"/>
                <w:szCs w:val="22"/>
              </w:rPr>
              <w:t>……</w:t>
            </w:r>
            <w:r>
              <w:rPr>
                <w:rFonts w:hint="eastAsia" w:ascii="宋体" w:hAnsi="宋体"/>
                <w:color w:val="auto"/>
                <w:sz w:val="22"/>
                <w:szCs w:val="22"/>
              </w:rPr>
              <w:t>.</w:t>
            </w:r>
          </w:p>
        </w:tc>
        <w:tc>
          <w:tcPr>
            <w:tcW w:w="5760" w:type="dxa"/>
            <w:vAlign w:val="center"/>
          </w:tcPr>
          <w:p w14:paraId="0E02E3FF">
            <w:pPr>
              <w:rPr>
                <w:rFonts w:hint="eastAsia" w:ascii="宋体" w:hAnsi="宋体"/>
                <w:color w:val="auto"/>
                <w:sz w:val="22"/>
                <w:szCs w:val="22"/>
              </w:rPr>
            </w:pPr>
          </w:p>
        </w:tc>
        <w:tc>
          <w:tcPr>
            <w:tcW w:w="2700" w:type="dxa"/>
          </w:tcPr>
          <w:p w14:paraId="7DEB2CDA">
            <w:pPr>
              <w:rPr>
                <w:rFonts w:hint="eastAsia" w:ascii="宋体" w:hAnsi="宋体"/>
                <w:color w:val="auto"/>
              </w:rPr>
            </w:pPr>
          </w:p>
        </w:tc>
      </w:tr>
      <w:tr w14:paraId="686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68" w:type="dxa"/>
            <w:vAlign w:val="center"/>
          </w:tcPr>
          <w:p w14:paraId="7835D6A4">
            <w:pPr>
              <w:jc w:val="center"/>
              <w:rPr>
                <w:rFonts w:hint="eastAsia" w:ascii="宋体" w:hAnsi="宋体"/>
                <w:color w:val="auto"/>
                <w:sz w:val="22"/>
                <w:szCs w:val="22"/>
              </w:rPr>
            </w:pPr>
            <w:r>
              <w:rPr>
                <w:rFonts w:hint="eastAsia" w:ascii="宋体" w:hAnsi="宋体"/>
                <w:color w:val="auto"/>
                <w:sz w:val="22"/>
                <w:szCs w:val="22"/>
              </w:rPr>
              <w:t>2</w:t>
            </w:r>
          </w:p>
        </w:tc>
        <w:tc>
          <w:tcPr>
            <w:tcW w:w="5760" w:type="dxa"/>
            <w:vAlign w:val="center"/>
          </w:tcPr>
          <w:p w14:paraId="600BD636">
            <w:pPr>
              <w:rPr>
                <w:rFonts w:hint="eastAsia" w:ascii="宋体" w:hAnsi="宋体"/>
                <w:color w:val="auto"/>
                <w:sz w:val="22"/>
                <w:szCs w:val="22"/>
              </w:rPr>
            </w:pPr>
            <w:r>
              <w:rPr>
                <w:rFonts w:hint="eastAsia" w:ascii="宋体" w:hAnsi="宋体"/>
                <w:color w:val="auto"/>
                <w:sz w:val="22"/>
                <w:szCs w:val="22"/>
              </w:rPr>
              <w:t>单位工程</w:t>
            </w:r>
          </w:p>
        </w:tc>
        <w:tc>
          <w:tcPr>
            <w:tcW w:w="2700" w:type="dxa"/>
          </w:tcPr>
          <w:p w14:paraId="0A4BDDEA">
            <w:pPr>
              <w:rPr>
                <w:rFonts w:hint="eastAsia" w:ascii="宋体" w:hAnsi="宋体"/>
                <w:color w:val="auto"/>
              </w:rPr>
            </w:pPr>
          </w:p>
        </w:tc>
      </w:tr>
      <w:tr w14:paraId="22F6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68" w:type="dxa"/>
            <w:vAlign w:val="center"/>
          </w:tcPr>
          <w:p w14:paraId="05858373">
            <w:pPr>
              <w:jc w:val="center"/>
              <w:rPr>
                <w:rFonts w:hint="eastAsia" w:ascii="宋体" w:hAnsi="宋体"/>
                <w:color w:val="auto"/>
                <w:sz w:val="22"/>
                <w:szCs w:val="22"/>
              </w:rPr>
            </w:pPr>
            <w:r>
              <w:rPr>
                <w:rFonts w:hint="eastAsia" w:ascii="宋体" w:hAnsi="宋体"/>
                <w:color w:val="auto"/>
                <w:sz w:val="22"/>
                <w:szCs w:val="22"/>
              </w:rPr>
              <w:t>2.1</w:t>
            </w:r>
          </w:p>
        </w:tc>
        <w:tc>
          <w:tcPr>
            <w:tcW w:w="5760" w:type="dxa"/>
            <w:vAlign w:val="center"/>
          </w:tcPr>
          <w:p w14:paraId="674BCCC2">
            <w:pPr>
              <w:rPr>
                <w:rFonts w:hint="eastAsia" w:ascii="宋体" w:hAnsi="宋体"/>
                <w:color w:val="auto"/>
                <w:sz w:val="22"/>
                <w:szCs w:val="22"/>
              </w:rPr>
            </w:pPr>
            <w:r>
              <w:rPr>
                <w:rFonts w:hint="eastAsia" w:ascii="宋体" w:hAnsi="宋体"/>
                <w:color w:val="auto"/>
                <w:sz w:val="22"/>
                <w:szCs w:val="22"/>
              </w:rPr>
              <w:t>专业工程</w:t>
            </w:r>
          </w:p>
        </w:tc>
        <w:tc>
          <w:tcPr>
            <w:tcW w:w="2700" w:type="dxa"/>
          </w:tcPr>
          <w:p w14:paraId="4B012735">
            <w:pPr>
              <w:rPr>
                <w:rFonts w:hint="eastAsia" w:ascii="宋体" w:hAnsi="宋体"/>
                <w:color w:val="auto"/>
              </w:rPr>
            </w:pPr>
          </w:p>
        </w:tc>
      </w:tr>
      <w:tr w14:paraId="3E5A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368" w:type="dxa"/>
            <w:vAlign w:val="center"/>
          </w:tcPr>
          <w:p w14:paraId="345D9250">
            <w:pPr>
              <w:jc w:val="center"/>
              <w:rPr>
                <w:rFonts w:hint="eastAsia" w:ascii="宋体" w:hAnsi="宋体"/>
                <w:color w:val="auto"/>
                <w:sz w:val="22"/>
                <w:szCs w:val="22"/>
              </w:rPr>
            </w:pPr>
            <w:r>
              <w:rPr>
                <w:rFonts w:hint="eastAsia" w:ascii="宋体" w:hAnsi="宋体"/>
                <w:color w:val="auto"/>
                <w:sz w:val="22"/>
                <w:szCs w:val="22"/>
              </w:rPr>
              <w:t>2.2</w:t>
            </w:r>
          </w:p>
        </w:tc>
        <w:tc>
          <w:tcPr>
            <w:tcW w:w="5760" w:type="dxa"/>
            <w:vAlign w:val="center"/>
          </w:tcPr>
          <w:p w14:paraId="27E73432">
            <w:pPr>
              <w:rPr>
                <w:rFonts w:hint="eastAsia" w:ascii="宋体" w:hAnsi="宋体"/>
                <w:color w:val="auto"/>
                <w:sz w:val="22"/>
                <w:szCs w:val="22"/>
              </w:rPr>
            </w:pPr>
            <w:r>
              <w:rPr>
                <w:rFonts w:hint="eastAsia" w:ascii="宋体" w:hAnsi="宋体"/>
                <w:color w:val="auto"/>
                <w:sz w:val="22"/>
                <w:szCs w:val="22"/>
              </w:rPr>
              <w:t>专业工程</w:t>
            </w:r>
          </w:p>
        </w:tc>
        <w:tc>
          <w:tcPr>
            <w:tcW w:w="2700" w:type="dxa"/>
          </w:tcPr>
          <w:p w14:paraId="18354FEB">
            <w:pPr>
              <w:rPr>
                <w:rFonts w:hint="eastAsia" w:ascii="宋体" w:hAnsi="宋体"/>
                <w:color w:val="auto"/>
              </w:rPr>
            </w:pPr>
          </w:p>
        </w:tc>
      </w:tr>
      <w:tr w14:paraId="478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68" w:type="dxa"/>
            <w:vAlign w:val="center"/>
          </w:tcPr>
          <w:p w14:paraId="3FA89CC7">
            <w:pPr>
              <w:jc w:val="center"/>
              <w:rPr>
                <w:rFonts w:hint="eastAsia" w:ascii="宋体" w:hAnsi="宋体"/>
                <w:color w:val="auto"/>
                <w:sz w:val="22"/>
                <w:szCs w:val="22"/>
              </w:rPr>
            </w:pPr>
            <w:r>
              <w:rPr>
                <w:rFonts w:ascii="宋体" w:hAnsi="宋体"/>
                <w:color w:val="auto"/>
                <w:sz w:val="22"/>
                <w:szCs w:val="22"/>
              </w:rPr>
              <w:t>……</w:t>
            </w:r>
          </w:p>
        </w:tc>
        <w:tc>
          <w:tcPr>
            <w:tcW w:w="5760" w:type="dxa"/>
            <w:vAlign w:val="center"/>
          </w:tcPr>
          <w:p w14:paraId="0AA355AC">
            <w:pPr>
              <w:rPr>
                <w:rFonts w:hint="eastAsia" w:ascii="宋体" w:hAnsi="宋体"/>
                <w:color w:val="auto"/>
                <w:sz w:val="22"/>
                <w:szCs w:val="22"/>
              </w:rPr>
            </w:pPr>
          </w:p>
        </w:tc>
        <w:tc>
          <w:tcPr>
            <w:tcW w:w="2700" w:type="dxa"/>
          </w:tcPr>
          <w:p w14:paraId="484F8F3F">
            <w:pPr>
              <w:rPr>
                <w:rFonts w:hint="eastAsia" w:ascii="宋体" w:hAnsi="宋体"/>
                <w:color w:val="auto"/>
              </w:rPr>
            </w:pPr>
          </w:p>
        </w:tc>
      </w:tr>
      <w:tr w14:paraId="72FB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68" w:type="dxa"/>
            <w:vAlign w:val="center"/>
          </w:tcPr>
          <w:p w14:paraId="129694AB">
            <w:pPr>
              <w:jc w:val="center"/>
              <w:rPr>
                <w:rFonts w:hint="eastAsia" w:ascii="宋体" w:hAnsi="宋体"/>
                <w:color w:val="auto"/>
                <w:sz w:val="22"/>
                <w:szCs w:val="22"/>
              </w:rPr>
            </w:pPr>
          </w:p>
        </w:tc>
        <w:tc>
          <w:tcPr>
            <w:tcW w:w="5760" w:type="dxa"/>
            <w:vAlign w:val="center"/>
          </w:tcPr>
          <w:p w14:paraId="6EA234BA">
            <w:pPr>
              <w:rPr>
                <w:rFonts w:hint="eastAsia" w:ascii="宋体" w:hAnsi="宋体"/>
                <w:color w:val="auto"/>
                <w:sz w:val="22"/>
                <w:szCs w:val="22"/>
              </w:rPr>
            </w:pPr>
          </w:p>
        </w:tc>
        <w:tc>
          <w:tcPr>
            <w:tcW w:w="2700" w:type="dxa"/>
          </w:tcPr>
          <w:p w14:paraId="3A968488">
            <w:pPr>
              <w:rPr>
                <w:rFonts w:hint="eastAsia" w:ascii="宋体" w:hAnsi="宋体"/>
                <w:color w:val="auto"/>
              </w:rPr>
            </w:pPr>
          </w:p>
        </w:tc>
      </w:tr>
      <w:tr w14:paraId="5EBE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68" w:type="dxa"/>
            <w:vAlign w:val="center"/>
          </w:tcPr>
          <w:p w14:paraId="675E56A5">
            <w:pPr>
              <w:jc w:val="center"/>
              <w:rPr>
                <w:rFonts w:hint="eastAsia" w:ascii="宋体" w:hAnsi="宋体"/>
                <w:color w:val="auto"/>
                <w:sz w:val="22"/>
                <w:szCs w:val="22"/>
              </w:rPr>
            </w:pPr>
          </w:p>
        </w:tc>
        <w:tc>
          <w:tcPr>
            <w:tcW w:w="5760" w:type="dxa"/>
            <w:vAlign w:val="center"/>
          </w:tcPr>
          <w:p w14:paraId="5E7E421D">
            <w:pPr>
              <w:rPr>
                <w:rFonts w:hint="eastAsia" w:ascii="宋体" w:hAnsi="宋体"/>
                <w:color w:val="auto"/>
                <w:sz w:val="22"/>
                <w:szCs w:val="22"/>
              </w:rPr>
            </w:pPr>
          </w:p>
        </w:tc>
        <w:tc>
          <w:tcPr>
            <w:tcW w:w="2700" w:type="dxa"/>
          </w:tcPr>
          <w:p w14:paraId="28420B90">
            <w:pPr>
              <w:rPr>
                <w:rFonts w:hint="eastAsia" w:ascii="宋体" w:hAnsi="宋体"/>
                <w:color w:val="auto"/>
              </w:rPr>
            </w:pPr>
          </w:p>
        </w:tc>
      </w:tr>
      <w:tr w14:paraId="60C9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68" w:type="dxa"/>
            <w:vAlign w:val="center"/>
          </w:tcPr>
          <w:p w14:paraId="1A958505">
            <w:pPr>
              <w:rPr>
                <w:rFonts w:hint="eastAsia" w:ascii="宋体" w:hAnsi="宋体"/>
                <w:color w:val="auto"/>
                <w:sz w:val="22"/>
                <w:szCs w:val="22"/>
              </w:rPr>
            </w:pPr>
          </w:p>
        </w:tc>
        <w:tc>
          <w:tcPr>
            <w:tcW w:w="5760" w:type="dxa"/>
            <w:vAlign w:val="center"/>
          </w:tcPr>
          <w:p w14:paraId="334CABD9">
            <w:pPr>
              <w:rPr>
                <w:rFonts w:hint="eastAsia" w:ascii="宋体" w:hAnsi="宋体"/>
                <w:color w:val="auto"/>
                <w:sz w:val="22"/>
                <w:szCs w:val="22"/>
              </w:rPr>
            </w:pPr>
          </w:p>
        </w:tc>
        <w:tc>
          <w:tcPr>
            <w:tcW w:w="2700" w:type="dxa"/>
          </w:tcPr>
          <w:p w14:paraId="7F6CD75C">
            <w:pPr>
              <w:rPr>
                <w:rFonts w:hint="eastAsia" w:ascii="宋体" w:hAnsi="宋体"/>
                <w:color w:val="auto"/>
              </w:rPr>
            </w:pPr>
          </w:p>
        </w:tc>
      </w:tr>
      <w:tr w14:paraId="62F3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28" w:type="dxa"/>
            <w:gridSpan w:val="2"/>
            <w:vAlign w:val="center"/>
          </w:tcPr>
          <w:p w14:paraId="3CD00B3D">
            <w:pPr>
              <w:jc w:val="center"/>
              <w:rPr>
                <w:rFonts w:hint="eastAsia" w:ascii="宋体" w:hAnsi="宋体"/>
                <w:color w:val="auto"/>
                <w:sz w:val="22"/>
                <w:szCs w:val="22"/>
              </w:rPr>
            </w:pPr>
            <w:r>
              <w:rPr>
                <w:rFonts w:hint="eastAsia" w:ascii="宋体" w:hAnsi="宋体"/>
                <w:color w:val="auto"/>
                <w:sz w:val="22"/>
                <w:szCs w:val="22"/>
              </w:rPr>
              <w:t>合   计</w:t>
            </w:r>
          </w:p>
        </w:tc>
        <w:tc>
          <w:tcPr>
            <w:tcW w:w="2700" w:type="dxa"/>
          </w:tcPr>
          <w:p w14:paraId="1332C6C2">
            <w:pPr>
              <w:rPr>
                <w:rFonts w:hint="eastAsia" w:ascii="宋体" w:hAnsi="宋体"/>
                <w:color w:val="auto"/>
              </w:rPr>
            </w:pPr>
          </w:p>
        </w:tc>
      </w:tr>
    </w:tbl>
    <w:p w14:paraId="7D0779A0">
      <w:pPr>
        <w:spacing w:line="400" w:lineRule="exact"/>
        <w:rPr>
          <w:rFonts w:hint="eastAsia" w:ascii="新宋体" w:hAnsi="新宋体" w:eastAsia="新宋体"/>
          <w:color w:val="auto"/>
          <w:sz w:val="22"/>
          <w:szCs w:val="22"/>
        </w:rPr>
      </w:pPr>
    </w:p>
    <w:p w14:paraId="190F5492">
      <w:pPr>
        <w:pStyle w:val="3"/>
        <w:spacing w:line="440" w:lineRule="exact"/>
        <w:rPr>
          <w:rFonts w:hint="eastAsia" w:ascii="黑体" w:hAnsi="宋体"/>
          <w:color w:val="auto"/>
          <w:sz w:val="24"/>
          <w:szCs w:val="24"/>
        </w:rPr>
      </w:pPr>
      <w:bookmarkStart w:id="71" w:name="_Toc3574"/>
      <w:bookmarkStart w:id="72" w:name="_Toc18871"/>
      <w:bookmarkStart w:id="73" w:name="_Toc287018663"/>
      <w:bookmarkStart w:id="74" w:name="_Toc3840268"/>
      <w:bookmarkStart w:id="75" w:name="_Toc287018837"/>
      <w:bookmarkStart w:id="76" w:name="_Toc287019112"/>
      <w:r>
        <w:rPr>
          <w:rFonts w:hint="eastAsia" w:ascii="黑体" w:hAnsi="宋体"/>
          <w:color w:val="auto"/>
          <w:sz w:val="24"/>
          <w:szCs w:val="24"/>
        </w:rPr>
        <w:t>附件6 单位（专业）工程招标控制价（磋商报价）费用表</w:t>
      </w:r>
      <w:bookmarkEnd w:id="71"/>
      <w:bookmarkEnd w:id="72"/>
    </w:p>
    <w:p w14:paraId="3BBCD954">
      <w:pPr>
        <w:spacing w:line="600" w:lineRule="exact"/>
        <w:jc w:val="center"/>
        <w:rPr>
          <w:b/>
          <w:color w:val="auto"/>
          <w:sz w:val="36"/>
          <w:szCs w:val="36"/>
        </w:rPr>
      </w:pPr>
      <w:r>
        <w:rPr>
          <w:rFonts w:hint="eastAsia"/>
          <w:b/>
          <w:color w:val="auto"/>
          <w:sz w:val="36"/>
          <w:szCs w:val="36"/>
        </w:rPr>
        <w:t>单位（专业）工程招标控制价（磋商报价）费用表</w:t>
      </w:r>
    </w:p>
    <w:p w14:paraId="64032EFD">
      <w:pPr>
        <w:spacing w:line="600" w:lineRule="exact"/>
        <w:rPr>
          <w:rFonts w:hint="eastAsia"/>
          <w:b/>
          <w:color w:val="auto"/>
          <w:sz w:val="36"/>
          <w:szCs w:val="36"/>
        </w:rPr>
      </w:pPr>
      <w:r>
        <w:rPr>
          <w:rFonts w:hint="eastAsia"/>
          <w:color w:val="auto"/>
          <w:sz w:val="22"/>
          <w:szCs w:val="22"/>
        </w:rPr>
        <w:t>工程名称：                                                          第    页 共    页</w:t>
      </w:r>
    </w:p>
    <w:tbl>
      <w:tblPr>
        <w:tblStyle w:val="37"/>
        <w:tblW w:w="0" w:type="auto"/>
        <w:tblInd w:w="-318" w:type="dxa"/>
        <w:tblLayout w:type="fixed"/>
        <w:tblCellMar>
          <w:top w:w="15" w:type="dxa"/>
          <w:left w:w="15" w:type="dxa"/>
          <w:bottom w:w="15" w:type="dxa"/>
          <w:right w:w="15" w:type="dxa"/>
        </w:tblCellMar>
      </w:tblPr>
      <w:tblGrid>
        <w:gridCol w:w="773"/>
        <w:gridCol w:w="655"/>
        <w:gridCol w:w="2118"/>
        <w:gridCol w:w="4151"/>
        <w:gridCol w:w="1470"/>
        <w:gridCol w:w="1306"/>
      </w:tblGrid>
      <w:tr w14:paraId="11B502CD">
        <w:tblPrEx>
          <w:tblCellMar>
            <w:top w:w="15" w:type="dxa"/>
            <w:left w:w="15" w:type="dxa"/>
            <w:bottom w:w="15" w:type="dxa"/>
            <w:right w:w="15" w:type="dxa"/>
          </w:tblCellMar>
        </w:tblPrEx>
        <w:trPr>
          <w:trHeight w:val="464" w:hRule="atLeast"/>
        </w:trPr>
        <w:tc>
          <w:tcPr>
            <w:tcW w:w="773" w:type="dxa"/>
            <w:tcBorders>
              <w:top w:val="single" w:color="000000" w:sz="4" w:space="0"/>
              <w:left w:val="single" w:color="000000" w:sz="4" w:space="0"/>
            </w:tcBorders>
            <w:shd w:val="clear" w:color="auto" w:fill="FFFFFF"/>
            <w:vAlign w:val="center"/>
          </w:tcPr>
          <w:p w14:paraId="76089DD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序号</w:t>
            </w:r>
          </w:p>
        </w:tc>
        <w:tc>
          <w:tcPr>
            <w:tcW w:w="2773" w:type="dxa"/>
            <w:gridSpan w:val="2"/>
            <w:tcBorders>
              <w:top w:val="single" w:color="000000" w:sz="4" w:space="0"/>
              <w:left w:val="single" w:color="000000" w:sz="4" w:space="0"/>
            </w:tcBorders>
            <w:shd w:val="clear" w:color="auto" w:fill="FFFFFF"/>
            <w:vAlign w:val="center"/>
          </w:tcPr>
          <w:p w14:paraId="61FD0E6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费用名称</w:t>
            </w:r>
          </w:p>
        </w:tc>
        <w:tc>
          <w:tcPr>
            <w:tcW w:w="4151" w:type="dxa"/>
            <w:tcBorders>
              <w:top w:val="single" w:color="000000" w:sz="4" w:space="0"/>
              <w:left w:val="single" w:color="000000" w:sz="4" w:space="0"/>
            </w:tcBorders>
            <w:shd w:val="clear" w:color="auto" w:fill="FFFFFF"/>
            <w:vAlign w:val="center"/>
          </w:tcPr>
          <w:p w14:paraId="79591AE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计算公式</w:t>
            </w:r>
          </w:p>
        </w:tc>
        <w:tc>
          <w:tcPr>
            <w:tcW w:w="1470" w:type="dxa"/>
            <w:tcBorders>
              <w:top w:val="single" w:color="000000" w:sz="4" w:space="0"/>
              <w:left w:val="single" w:color="000000" w:sz="4" w:space="0"/>
            </w:tcBorders>
            <w:shd w:val="clear" w:color="auto" w:fill="FFFFFF"/>
            <w:vAlign w:val="center"/>
          </w:tcPr>
          <w:p w14:paraId="4EDC0AEC">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金额(元)</w:t>
            </w:r>
          </w:p>
        </w:tc>
        <w:tc>
          <w:tcPr>
            <w:tcW w:w="1306" w:type="dxa"/>
            <w:tcBorders>
              <w:top w:val="single" w:color="000000" w:sz="4" w:space="0"/>
              <w:left w:val="single" w:color="000000" w:sz="4" w:space="0"/>
              <w:right w:val="single" w:color="000000" w:sz="4" w:space="0"/>
            </w:tcBorders>
            <w:shd w:val="clear" w:color="auto" w:fill="FFFFFF"/>
            <w:vAlign w:val="center"/>
          </w:tcPr>
          <w:p w14:paraId="6664554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备注</w:t>
            </w:r>
          </w:p>
        </w:tc>
      </w:tr>
      <w:tr w14:paraId="5BA252AE">
        <w:tblPrEx>
          <w:tblCellMar>
            <w:top w:w="15" w:type="dxa"/>
            <w:left w:w="15" w:type="dxa"/>
            <w:bottom w:w="15" w:type="dxa"/>
            <w:right w:w="15" w:type="dxa"/>
          </w:tblCellMar>
        </w:tblPrEx>
        <w:trPr>
          <w:trHeight w:val="448" w:hRule="atLeast"/>
        </w:trPr>
        <w:tc>
          <w:tcPr>
            <w:tcW w:w="773" w:type="dxa"/>
            <w:tcBorders>
              <w:top w:val="single" w:color="000000" w:sz="4" w:space="0"/>
              <w:left w:val="single" w:color="000000" w:sz="4" w:space="0"/>
            </w:tcBorders>
            <w:shd w:val="clear" w:color="auto" w:fill="FFFFFF"/>
            <w:vAlign w:val="center"/>
          </w:tcPr>
          <w:p w14:paraId="0E97566C">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2773" w:type="dxa"/>
            <w:gridSpan w:val="2"/>
            <w:tcBorders>
              <w:top w:val="single" w:color="000000" w:sz="4" w:space="0"/>
              <w:left w:val="single" w:color="000000" w:sz="4" w:space="0"/>
            </w:tcBorders>
            <w:shd w:val="clear" w:color="auto" w:fill="FFFFFF"/>
            <w:vAlign w:val="center"/>
          </w:tcPr>
          <w:p w14:paraId="7D76BF58">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分部分项工程费</w:t>
            </w:r>
          </w:p>
        </w:tc>
        <w:tc>
          <w:tcPr>
            <w:tcW w:w="4151" w:type="dxa"/>
            <w:tcBorders>
              <w:top w:val="single" w:color="000000" w:sz="4" w:space="0"/>
              <w:left w:val="single" w:color="000000" w:sz="4" w:space="0"/>
            </w:tcBorders>
            <w:shd w:val="clear" w:color="auto" w:fill="FFFFFF"/>
            <w:vAlign w:val="center"/>
          </w:tcPr>
          <w:p w14:paraId="17AF7E9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∑(分部分项工程量×综合单价）</w:t>
            </w:r>
          </w:p>
        </w:tc>
        <w:tc>
          <w:tcPr>
            <w:tcW w:w="1470" w:type="dxa"/>
            <w:tcBorders>
              <w:top w:val="single" w:color="000000" w:sz="4" w:space="0"/>
              <w:left w:val="single" w:color="000000" w:sz="4" w:space="0"/>
            </w:tcBorders>
            <w:shd w:val="clear" w:color="auto" w:fill="FFFFFF"/>
            <w:vAlign w:val="center"/>
          </w:tcPr>
          <w:p w14:paraId="69D70C81">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4E8E96A0">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见表10.2.2-16</w:t>
            </w:r>
          </w:p>
        </w:tc>
      </w:tr>
      <w:tr w14:paraId="5A779DE9">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72BD2130">
            <w:pPr>
              <w:jc w:val="center"/>
              <w:rPr>
                <w:rFonts w:hint="eastAsia" w:ascii="宋体" w:hAnsi="宋体" w:cs="宋体"/>
                <w:color w:val="auto"/>
                <w:sz w:val="18"/>
                <w:szCs w:val="18"/>
              </w:rPr>
            </w:pPr>
          </w:p>
        </w:tc>
        <w:tc>
          <w:tcPr>
            <w:tcW w:w="655" w:type="dxa"/>
            <w:tcBorders>
              <w:top w:val="single" w:color="000000" w:sz="4" w:space="0"/>
              <w:left w:val="single" w:color="000000" w:sz="4" w:space="0"/>
            </w:tcBorders>
            <w:shd w:val="clear" w:color="auto" w:fill="FFFFFF"/>
            <w:vAlign w:val="center"/>
          </w:tcPr>
          <w:p w14:paraId="045AEB32">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2118" w:type="dxa"/>
            <w:tcBorders>
              <w:top w:val="single" w:color="000000" w:sz="4" w:space="0"/>
              <w:left w:val="single" w:color="000000" w:sz="4" w:space="0"/>
            </w:tcBorders>
            <w:shd w:val="clear" w:color="auto" w:fill="FFFFFF"/>
            <w:vAlign w:val="center"/>
          </w:tcPr>
          <w:p w14:paraId="0F7056F0">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 人工费+机械费</w:t>
            </w:r>
          </w:p>
        </w:tc>
        <w:tc>
          <w:tcPr>
            <w:tcW w:w="4151" w:type="dxa"/>
            <w:tcBorders>
              <w:top w:val="single" w:color="000000" w:sz="4" w:space="0"/>
              <w:left w:val="single" w:color="000000" w:sz="4" w:space="0"/>
            </w:tcBorders>
            <w:shd w:val="clear" w:color="auto" w:fill="FFFFFF"/>
            <w:vAlign w:val="center"/>
          </w:tcPr>
          <w:p w14:paraId="0F1BDBFF">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∑分部分项（定额人工费+定额机械费）</w:t>
            </w:r>
          </w:p>
        </w:tc>
        <w:tc>
          <w:tcPr>
            <w:tcW w:w="1470" w:type="dxa"/>
            <w:tcBorders>
              <w:top w:val="single" w:color="000000" w:sz="4" w:space="0"/>
              <w:left w:val="single" w:color="000000" w:sz="4" w:space="0"/>
            </w:tcBorders>
            <w:shd w:val="clear" w:color="auto" w:fill="FFFFFF"/>
            <w:vAlign w:val="center"/>
          </w:tcPr>
          <w:p w14:paraId="27FA86B6">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17816E38">
            <w:pPr>
              <w:jc w:val="left"/>
              <w:rPr>
                <w:rFonts w:hint="eastAsia" w:ascii="宋体" w:hAnsi="宋体" w:cs="宋体"/>
                <w:color w:val="auto"/>
                <w:sz w:val="18"/>
                <w:szCs w:val="18"/>
              </w:rPr>
            </w:pPr>
          </w:p>
        </w:tc>
      </w:tr>
      <w:tr w14:paraId="659AFB26">
        <w:tblPrEx>
          <w:tblCellMar>
            <w:top w:w="15" w:type="dxa"/>
            <w:left w:w="15" w:type="dxa"/>
            <w:bottom w:w="15" w:type="dxa"/>
            <w:right w:w="15" w:type="dxa"/>
          </w:tblCellMar>
        </w:tblPrEx>
        <w:trPr>
          <w:trHeight w:val="403" w:hRule="atLeast"/>
        </w:trPr>
        <w:tc>
          <w:tcPr>
            <w:tcW w:w="773" w:type="dxa"/>
            <w:tcBorders>
              <w:top w:val="single" w:color="000000" w:sz="4" w:space="0"/>
              <w:left w:val="single" w:color="000000" w:sz="4" w:space="0"/>
            </w:tcBorders>
            <w:shd w:val="clear" w:color="auto" w:fill="FFFFFF"/>
            <w:vAlign w:val="center"/>
          </w:tcPr>
          <w:p w14:paraId="1444CDCC">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2773" w:type="dxa"/>
            <w:gridSpan w:val="2"/>
            <w:tcBorders>
              <w:top w:val="single" w:color="000000" w:sz="4" w:space="0"/>
              <w:left w:val="single" w:color="000000" w:sz="4" w:space="0"/>
            </w:tcBorders>
            <w:shd w:val="clear" w:color="auto" w:fill="FFFFFF"/>
            <w:vAlign w:val="center"/>
          </w:tcPr>
          <w:p w14:paraId="03BBA4E6">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措施项目费</w:t>
            </w:r>
          </w:p>
        </w:tc>
        <w:tc>
          <w:tcPr>
            <w:tcW w:w="4151" w:type="dxa"/>
            <w:tcBorders>
              <w:top w:val="single" w:color="000000" w:sz="4" w:space="0"/>
              <w:left w:val="single" w:color="000000" w:sz="4" w:space="0"/>
            </w:tcBorders>
            <w:shd w:val="clear" w:color="auto" w:fill="FFFFFF"/>
            <w:vAlign w:val="center"/>
          </w:tcPr>
          <w:p w14:paraId="1BC692A2">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（2.1+2.2）</w:t>
            </w:r>
          </w:p>
        </w:tc>
        <w:tc>
          <w:tcPr>
            <w:tcW w:w="1470" w:type="dxa"/>
            <w:tcBorders>
              <w:top w:val="single" w:color="000000" w:sz="4" w:space="0"/>
              <w:left w:val="single" w:color="000000" w:sz="4" w:space="0"/>
            </w:tcBorders>
            <w:shd w:val="clear" w:color="auto" w:fill="FFFFFF"/>
            <w:vAlign w:val="center"/>
          </w:tcPr>
          <w:p w14:paraId="63E3B9C0">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31666E1E">
            <w:pPr>
              <w:jc w:val="left"/>
              <w:rPr>
                <w:rFonts w:hint="eastAsia" w:ascii="宋体" w:hAnsi="宋体" w:cs="宋体"/>
                <w:color w:val="auto"/>
                <w:sz w:val="18"/>
                <w:szCs w:val="18"/>
              </w:rPr>
            </w:pPr>
          </w:p>
        </w:tc>
      </w:tr>
      <w:tr w14:paraId="406EE925">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3A341FF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w:t>
            </w:r>
          </w:p>
        </w:tc>
        <w:tc>
          <w:tcPr>
            <w:tcW w:w="2773" w:type="dxa"/>
            <w:gridSpan w:val="2"/>
            <w:tcBorders>
              <w:top w:val="single" w:color="000000" w:sz="4" w:space="0"/>
              <w:left w:val="single" w:color="000000" w:sz="4" w:space="0"/>
            </w:tcBorders>
            <w:shd w:val="clear" w:color="auto" w:fill="FFFFFF"/>
            <w:vAlign w:val="center"/>
          </w:tcPr>
          <w:p w14:paraId="5EB3E42B">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施工技术措施项目费</w:t>
            </w:r>
          </w:p>
        </w:tc>
        <w:tc>
          <w:tcPr>
            <w:tcW w:w="4151" w:type="dxa"/>
            <w:tcBorders>
              <w:top w:val="single" w:color="000000" w:sz="4" w:space="0"/>
              <w:left w:val="single" w:color="000000" w:sz="4" w:space="0"/>
            </w:tcBorders>
            <w:shd w:val="clear" w:color="auto" w:fill="FFFFFF"/>
            <w:vAlign w:val="center"/>
          </w:tcPr>
          <w:p w14:paraId="0F14CCA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∑(技措项目工程量×综合单价）</w:t>
            </w:r>
          </w:p>
        </w:tc>
        <w:tc>
          <w:tcPr>
            <w:tcW w:w="1470" w:type="dxa"/>
            <w:tcBorders>
              <w:top w:val="single" w:color="000000" w:sz="4" w:space="0"/>
              <w:left w:val="single" w:color="000000" w:sz="4" w:space="0"/>
            </w:tcBorders>
            <w:shd w:val="clear" w:color="auto" w:fill="FFFFFF"/>
            <w:vAlign w:val="center"/>
          </w:tcPr>
          <w:p w14:paraId="181AAB27">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23EF81C7">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见表10.2.2-16</w:t>
            </w:r>
          </w:p>
        </w:tc>
      </w:tr>
      <w:tr w14:paraId="254267A4">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35FF0DCF">
            <w:pPr>
              <w:jc w:val="center"/>
              <w:rPr>
                <w:rFonts w:hint="eastAsia" w:ascii="宋体" w:hAnsi="宋体" w:cs="宋体"/>
                <w:color w:val="auto"/>
                <w:sz w:val="18"/>
                <w:szCs w:val="18"/>
              </w:rPr>
            </w:pPr>
          </w:p>
        </w:tc>
        <w:tc>
          <w:tcPr>
            <w:tcW w:w="655" w:type="dxa"/>
            <w:tcBorders>
              <w:top w:val="single" w:color="000000" w:sz="4" w:space="0"/>
              <w:left w:val="single" w:color="000000" w:sz="4" w:space="0"/>
            </w:tcBorders>
            <w:shd w:val="clear" w:color="auto" w:fill="FFFFFF"/>
            <w:vAlign w:val="center"/>
          </w:tcPr>
          <w:p w14:paraId="2FC04E61">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2118" w:type="dxa"/>
            <w:tcBorders>
              <w:top w:val="single" w:color="000000" w:sz="4" w:space="0"/>
              <w:left w:val="single" w:color="000000" w:sz="4" w:space="0"/>
            </w:tcBorders>
            <w:shd w:val="clear" w:color="auto" w:fill="FFFFFF"/>
            <w:vAlign w:val="center"/>
          </w:tcPr>
          <w:p w14:paraId="63643FEC">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2.1.1 人工费+机械费</w:t>
            </w:r>
          </w:p>
        </w:tc>
        <w:tc>
          <w:tcPr>
            <w:tcW w:w="4151" w:type="dxa"/>
            <w:tcBorders>
              <w:top w:val="single" w:color="000000" w:sz="4" w:space="0"/>
              <w:left w:val="single" w:color="000000" w:sz="4" w:space="0"/>
            </w:tcBorders>
            <w:shd w:val="clear" w:color="auto" w:fill="FFFFFF"/>
            <w:vAlign w:val="center"/>
          </w:tcPr>
          <w:p w14:paraId="15F9A6D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∑技措项目（定额人工费+定额机械费）</w:t>
            </w:r>
          </w:p>
        </w:tc>
        <w:tc>
          <w:tcPr>
            <w:tcW w:w="1470" w:type="dxa"/>
            <w:tcBorders>
              <w:top w:val="single" w:color="000000" w:sz="4" w:space="0"/>
              <w:left w:val="single" w:color="000000" w:sz="4" w:space="0"/>
            </w:tcBorders>
            <w:shd w:val="clear" w:color="auto" w:fill="FFFFFF"/>
            <w:vAlign w:val="center"/>
          </w:tcPr>
          <w:p w14:paraId="1DF0A4F2">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434577D8">
            <w:pPr>
              <w:jc w:val="left"/>
              <w:rPr>
                <w:rFonts w:hint="eastAsia" w:ascii="宋体" w:hAnsi="宋体" w:cs="宋体"/>
                <w:color w:val="auto"/>
                <w:sz w:val="18"/>
                <w:szCs w:val="18"/>
              </w:rPr>
            </w:pPr>
          </w:p>
        </w:tc>
      </w:tr>
      <w:tr w14:paraId="7E53CA75">
        <w:tblPrEx>
          <w:tblCellMar>
            <w:top w:w="15" w:type="dxa"/>
            <w:left w:w="15" w:type="dxa"/>
            <w:bottom w:w="15" w:type="dxa"/>
            <w:right w:w="15" w:type="dxa"/>
          </w:tblCellMar>
        </w:tblPrEx>
        <w:trPr>
          <w:trHeight w:val="462" w:hRule="atLeast"/>
        </w:trPr>
        <w:tc>
          <w:tcPr>
            <w:tcW w:w="773" w:type="dxa"/>
            <w:tcBorders>
              <w:top w:val="single" w:color="000000" w:sz="4" w:space="0"/>
              <w:left w:val="single" w:color="000000" w:sz="4" w:space="0"/>
            </w:tcBorders>
            <w:shd w:val="clear" w:color="auto" w:fill="FFFFFF"/>
            <w:vAlign w:val="center"/>
          </w:tcPr>
          <w:p w14:paraId="4FA5194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2.2</w:t>
            </w:r>
          </w:p>
        </w:tc>
        <w:tc>
          <w:tcPr>
            <w:tcW w:w="2773" w:type="dxa"/>
            <w:gridSpan w:val="2"/>
            <w:tcBorders>
              <w:top w:val="single" w:color="000000" w:sz="4" w:space="0"/>
              <w:left w:val="single" w:color="000000" w:sz="4" w:space="0"/>
            </w:tcBorders>
            <w:shd w:val="clear" w:color="auto" w:fill="FFFFFF"/>
            <w:vAlign w:val="center"/>
          </w:tcPr>
          <w:p w14:paraId="55649188">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施工组织措施项目费</w:t>
            </w:r>
          </w:p>
        </w:tc>
        <w:tc>
          <w:tcPr>
            <w:tcW w:w="4151" w:type="dxa"/>
            <w:tcBorders>
              <w:top w:val="single" w:color="000000" w:sz="4" w:space="0"/>
              <w:left w:val="single" w:color="000000" w:sz="4" w:space="0"/>
            </w:tcBorders>
            <w:shd w:val="clear" w:color="auto" w:fill="FFFFFF"/>
            <w:vAlign w:val="center"/>
          </w:tcPr>
          <w:p w14:paraId="7AE6681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(1.1+2.1.1)×费率</w:t>
            </w:r>
          </w:p>
        </w:tc>
        <w:tc>
          <w:tcPr>
            <w:tcW w:w="1470" w:type="dxa"/>
            <w:tcBorders>
              <w:top w:val="single" w:color="000000" w:sz="4" w:space="0"/>
              <w:left w:val="single" w:color="000000" w:sz="4" w:space="0"/>
            </w:tcBorders>
            <w:shd w:val="clear" w:color="auto" w:fill="FFFFFF"/>
            <w:vAlign w:val="center"/>
          </w:tcPr>
          <w:p w14:paraId="29908261">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5467C3BC">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见表10.2.2-20</w:t>
            </w:r>
          </w:p>
        </w:tc>
      </w:tr>
      <w:tr w14:paraId="54403FFD">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50F0AC35">
            <w:pPr>
              <w:jc w:val="center"/>
              <w:rPr>
                <w:rFonts w:hint="eastAsia" w:ascii="宋体" w:hAnsi="宋体" w:cs="宋体"/>
                <w:color w:val="auto"/>
                <w:sz w:val="18"/>
                <w:szCs w:val="18"/>
              </w:rPr>
            </w:pPr>
          </w:p>
        </w:tc>
        <w:tc>
          <w:tcPr>
            <w:tcW w:w="655" w:type="dxa"/>
            <w:tcBorders>
              <w:top w:val="single" w:color="000000" w:sz="4" w:space="0"/>
              <w:left w:val="single" w:color="000000" w:sz="4" w:space="0"/>
            </w:tcBorders>
            <w:shd w:val="clear" w:color="auto" w:fill="FFFFFF"/>
            <w:vAlign w:val="center"/>
          </w:tcPr>
          <w:p w14:paraId="6C342AE7">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2118" w:type="dxa"/>
            <w:tcBorders>
              <w:top w:val="single" w:color="000000" w:sz="4" w:space="0"/>
              <w:left w:val="single" w:color="000000" w:sz="4" w:space="0"/>
            </w:tcBorders>
            <w:shd w:val="clear" w:color="auto" w:fill="FFFFFF"/>
            <w:vAlign w:val="center"/>
          </w:tcPr>
          <w:p w14:paraId="073557B2">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安全文明施工基本费</w:t>
            </w:r>
          </w:p>
        </w:tc>
        <w:tc>
          <w:tcPr>
            <w:tcW w:w="4151" w:type="dxa"/>
            <w:tcBorders>
              <w:top w:val="single" w:color="000000" w:sz="4" w:space="0"/>
              <w:left w:val="single" w:color="000000" w:sz="4" w:space="0"/>
            </w:tcBorders>
            <w:shd w:val="clear" w:color="auto" w:fill="FFFFFF"/>
            <w:vAlign w:val="center"/>
          </w:tcPr>
          <w:p w14:paraId="37243A3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(1.1+2.1.1)×费率</w:t>
            </w:r>
          </w:p>
        </w:tc>
        <w:tc>
          <w:tcPr>
            <w:tcW w:w="1470" w:type="dxa"/>
            <w:tcBorders>
              <w:top w:val="single" w:color="000000" w:sz="4" w:space="0"/>
              <w:left w:val="single" w:color="000000" w:sz="4" w:space="0"/>
            </w:tcBorders>
            <w:shd w:val="clear" w:color="auto" w:fill="FFFFFF"/>
            <w:vAlign w:val="center"/>
          </w:tcPr>
          <w:p w14:paraId="6613CB7F">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7B5F836A">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见表10.2.2-20</w:t>
            </w:r>
          </w:p>
        </w:tc>
      </w:tr>
      <w:tr w14:paraId="18979C7A">
        <w:tblPrEx>
          <w:tblCellMar>
            <w:top w:w="15" w:type="dxa"/>
            <w:left w:w="15" w:type="dxa"/>
            <w:bottom w:w="15" w:type="dxa"/>
            <w:right w:w="15" w:type="dxa"/>
          </w:tblCellMar>
        </w:tblPrEx>
        <w:trPr>
          <w:trHeight w:val="418" w:hRule="atLeast"/>
        </w:trPr>
        <w:tc>
          <w:tcPr>
            <w:tcW w:w="773" w:type="dxa"/>
            <w:tcBorders>
              <w:top w:val="single" w:color="000000" w:sz="4" w:space="0"/>
              <w:left w:val="single" w:color="000000" w:sz="4" w:space="0"/>
            </w:tcBorders>
            <w:shd w:val="clear" w:color="auto" w:fill="FFFFFF"/>
            <w:vAlign w:val="center"/>
          </w:tcPr>
          <w:p w14:paraId="3008E2C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w:t>
            </w:r>
          </w:p>
        </w:tc>
        <w:tc>
          <w:tcPr>
            <w:tcW w:w="2773" w:type="dxa"/>
            <w:gridSpan w:val="2"/>
            <w:tcBorders>
              <w:top w:val="single" w:color="000000" w:sz="4" w:space="0"/>
              <w:left w:val="single" w:color="000000" w:sz="4" w:space="0"/>
            </w:tcBorders>
            <w:shd w:val="clear" w:color="auto" w:fill="FFFFFF"/>
            <w:vAlign w:val="center"/>
          </w:tcPr>
          <w:p w14:paraId="7B19243B">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其他项目费</w:t>
            </w:r>
          </w:p>
        </w:tc>
        <w:tc>
          <w:tcPr>
            <w:tcW w:w="4151" w:type="dxa"/>
            <w:tcBorders>
              <w:top w:val="single" w:color="000000" w:sz="4" w:space="0"/>
              <w:left w:val="single" w:color="000000" w:sz="4" w:space="0"/>
            </w:tcBorders>
            <w:shd w:val="clear" w:color="auto" w:fill="FFFFFF"/>
            <w:vAlign w:val="center"/>
          </w:tcPr>
          <w:p w14:paraId="6EA4790D">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（3.1+3.2+3.3+3.4）</w:t>
            </w:r>
          </w:p>
        </w:tc>
        <w:tc>
          <w:tcPr>
            <w:tcW w:w="1470" w:type="dxa"/>
            <w:tcBorders>
              <w:top w:val="single" w:color="000000" w:sz="4" w:space="0"/>
              <w:left w:val="single" w:color="000000" w:sz="4" w:space="0"/>
            </w:tcBorders>
            <w:shd w:val="clear" w:color="auto" w:fill="FFFFFF"/>
            <w:vAlign w:val="center"/>
          </w:tcPr>
          <w:p w14:paraId="1573EDBE">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0EB4DE28">
            <w:pPr>
              <w:jc w:val="left"/>
              <w:rPr>
                <w:rFonts w:hint="eastAsia" w:ascii="宋体" w:hAnsi="宋体" w:cs="宋体"/>
                <w:color w:val="auto"/>
                <w:sz w:val="18"/>
                <w:szCs w:val="18"/>
              </w:rPr>
            </w:pPr>
          </w:p>
        </w:tc>
      </w:tr>
      <w:tr w14:paraId="1108882A">
        <w:tblPrEx>
          <w:tblCellMar>
            <w:top w:w="15" w:type="dxa"/>
            <w:left w:w="15" w:type="dxa"/>
            <w:bottom w:w="15" w:type="dxa"/>
            <w:right w:w="15" w:type="dxa"/>
          </w:tblCellMar>
        </w:tblPrEx>
        <w:trPr>
          <w:trHeight w:val="432" w:hRule="atLeast"/>
        </w:trPr>
        <w:tc>
          <w:tcPr>
            <w:tcW w:w="773" w:type="dxa"/>
            <w:tcBorders>
              <w:top w:val="single" w:color="000000" w:sz="4" w:space="0"/>
              <w:left w:val="single" w:color="000000" w:sz="4" w:space="0"/>
            </w:tcBorders>
            <w:shd w:val="clear" w:color="auto" w:fill="FFFFFF"/>
            <w:vAlign w:val="center"/>
          </w:tcPr>
          <w:p w14:paraId="35405E4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3.1</w:t>
            </w:r>
          </w:p>
        </w:tc>
        <w:tc>
          <w:tcPr>
            <w:tcW w:w="2773" w:type="dxa"/>
            <w:gridSpan w:val="2"/>
            <w:tcBorders>
              <w:top w:val="single" w:color="000000" w:sz="4" w:space="0"/>
              <w:left w:val="single" w:color="000000" w:sz="4" w:space="0"/>
            </w:tcBorders>
            <w:shd w:val="clear" w:color="auto" w:fill="FFFFFF"/>
            <w:vAlign w:val="center"/>
          </w:tcPr>
          <w:p w14:paraId="0572C5C8">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暂列金额</w:t>
            </w:r>
          </w:p>
        </w:tc>
        <w:tc>
          <w:tcPr>
            <w:tcW w:w="4151" w:type="dxa"/>
            <w:tcBorders>
              <w:top w:val="single" w:color="000000" w:sz="4" w:space="0"/>
              <w:left w:val="single" w:color="000000" w:sz="4" w:space="0"/>
            </w:tcBorders>
            <w:shd w:val="clear" w:color="auto" w:fill="FFFFFF"/>
            <w:vAlign w:val="center"/>
          </w:tcPr>
          <w:p w14:paraId="15E3AFE6">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3.1.1+3.1.2+3.1.3</w:t>
            </w:r>
          </w:p>
        </w:tc>
        <w:tc>
          <w:tcPr>
            <w:tcW w:w="1470" w:type="dxa"/>
            <w:tcBorders>
              <w:top w:val="single" w:color="000000" w:sz="4" w:space="0"/>
              <w:left w:val="single" w:color="000000" w:sz="4" w:space="0"/>
            </w:tcBorders>
            <w:shd w:val="clear" w:color="auto" w:fill="FFFFFF"/>
            <w:vAlign w:val="center"/>
          </w:tcPr>
          <w:p w14:paraId="79867DDA">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3ADD6530">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见表10.2.2-21</w:t>
            </w:r>
          </w:p>
        </w:tc>
      </w:tr>
      <w:tr w14:paraId="720A9D8C">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0583B5E8">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3.1.1</w:t>
            </w:r>
          </w:p>
        </w:tc>
        <w:tc>
          <w:tcPr>
            <w:tcW w:w="655" w:type="dxa"/>
            <w:vMerge w:val="restart"/>
            <w:tcBorders>
              <w:top w:val="single" w:color="000000" w:sz="4" w:space="0"/>
              <w:left w:val="single" w:color="000000" w:sz="4" w:space="0"/>
            </w:tcBorders>
            <w:shd w:val="clear" w:color="auto" w:fill="FFFFFF"/>
            <w:vAlign w:val="center"/>
          </w:tcPr>
          <w:p w14:paraId="108F8370">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2118" w:type="dxa"/>
            <w:tcBorders>
              <w:top w:val="single" w:color="000000" w:sz="4" w:space="0"/>
              <w:left w:val="single" w:color="000000" w:sz="4" w:space="0"/>
            </w:tcBorders>
            <w:shd w:val="clear" w:color="auto" w:fill="FFFFFF"/>
            <w:vAlign w:val="center"/>
          </w:tcPr>
          <w:p w14:paraId="5FCF35A7">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标化工地增加费</w:t>
            </w:r>
          </w:p>
        </w:tc>
        <w:tc>
          <w:tcPr>
            <w:tcW w:w="4151" w:type="dxa"/>
            <w:tcBorders>
              <w:top w:val="single" w:color="000000" w:sz="4" w:space="0"/>
              <w:left w:val="single" w:color="000000" w:sz="4" w:space="0"/>
            </w:tcBorders>
            <w:shd w:val="clear" w:color="auto" w:fill="FFFFFF"/>
            <w:vAlign w:val="center"/>
          </w:tcPr>
          <w:p w14:paraId="4BD4788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06F3FD04">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06E3DDB9">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见表10.2.2-22</w:t>
            </w:r>
          </w:p>
        </w:tc>
      </w:tr>
      <w:tr w14:paraId="700AF7F0">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5B445FF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3.1.2</w:t>
            </w:r>
          </w:p>
        </w:tc>
        <w:tc>
          <w:tcPr>
            <w:tcW w:w="655" w:type="dxa"/>
            <w:vMerge w:val="continue"/>
            <w:tcBorders>
              <w:top w:val="single" w:color="000000" w:sz="4" w:space="0"/>
              <w:left w:val="single" w:color="000000" w:sz="4" w:space="0"/>
            </w:tcBorders>
            <w:shd w:val="clear" w:color="auto" w:fill="FFFFFF"/>
            <w:vAlign w:val="center"/>
          </w:tcPr>
          <w:p w14:paraId="0E2443C4">
            <w:pPr>
              <w:jc w:val="left"/>
              <w:rPr>
                <w:rFonts w:hint="eastAsia" w:ascii="宋体" w:hAnsi="宋体" w:cs="宋体"/>
                <w:color w:val="auto"/>
                <w:sz w:val="18"/>
                <w:szCs w:val="18"/>
              </w:rPr>
            </w:pPr>
          </w:p>
        </w:tc>
        <w:tc>
          <w:tcPr>
            <w:tcW w:w="2118" w:type="dxa"/>
            <w:tcBorders>
              <w:top w:val="single" w:color="000000" w:sz="4" w:space="0"/>
              <w:left w:val="single" w:color="000000" w:sz="4" w:space="0"/>
            </w:tcBorders>
            <w:shd w:val="clear" w:color="auto" w:fill="FFFFFF"/>
            <w:vAlign w:val="center"/>
          </w:tcPr>
          <w:p w14:paraId="03483473">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优质工程增加费</w:t>
            </w:r>
          </w:p>
        </w:tc>
        <w:tc>
          <w:tcPr>
            <w:tcW w:w="4151" w:type="dxa"/>
            <w:tcBorders>
              <w:top w:val="single" w:color="000000" w:sz="4" w:space="0"/>
              <w:left w:val="single" w:color="000000" w:sz="4" w:space="0"/>
            </w:tcBorders>
            <w:shd w:val="clear" w:color="auto" w:fill="FFFFFF"/>
            <w:vAlign w:val="center"/>
          </w:tcPr>
          <w:p w14:paraId="1EA67E6D">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7509395B">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57FC4D6F">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见表10.2.2-22</w:t>
            </w:r>
          </w:p>
        </w:tc>
      </w:tr>
      <w:tr w14:paraId="35BEA1CF">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462808E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3.1.3</w:t>
            </w:r>
          </w:p>
        </w:tc>
        <w:tc>
          <w:tcPr>
            <w:tcW w:w="655" w:type="dxa"/>
            <w:vMerge w:val="continue"/>
            <w:tcBorders>
              <w:top w:val="single" w:color="000000" w:sz="4" w:space="0"/>
              <w:left w:val="single" w:color="000000" w:sz="4" w:space="0"/>
            </w:tcBorders>
            <w:shd w:val="clear" w:color="auto" w:fill="FFFFFF"/>
            <w:vAlign w:val="center"/>
          </w:tcPr>
          <w:p w14:paraId="2203BF14">
            <w:pPr>
              <w:jc w:val="left"/>
              <w:rPr>
                <w:rFonts w:hint="eastAsia" w:ascii="宋体" w:hAnsi="宋体" w:cs="宋体"/>
                <w:color w:val="auto"/>
                <w:sz w:val="18"/>
                <w:szCs w:val="18"/>
              </w:rPr>
            </w:pPr>
          </w:p>
        </w:tc>
        <w:tc>
          <w:tcPr>
            <w:tcW w:w="2118" w:type="dxa"/>
            <w:tcBorders>
              <w:top w:val="single" w:color="000000" w:sz="4" w:space="0"/>
              <w:left w:val="single" w:color="000000" w:sz="4" w:space="0"/>
            </w:tcBorders>
            <w:shd w:val="clear" w:color="auto" w:fill="FFFFFF"/>
            <w:vAlign w:val="center"/>
          </w:tcPr>
          <w:p w14:paraId="4AA0644D">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其他暂列金额</w:t>
            </w:r>
          </w:p>
        </w:tc>
        <w:tc>
          <w:tcPr>
            <w:tcW w:w="4151" w:type="dxa"/>
            <w:tcBorders>
              <w:top w:val="single" w:color="000000" w:sz="4" w:space="0"/>
              <w:left w:val="single" w:color="000000" w:sz="4" w:space="0"/>
            </w:tcBorders>
            <w:shd w:val="clear" w:color="auto" w:fill="FFFFFF"/>
            <w:vAlign w:val="center"/>
          </w:tcPr>
          <w:p w14:paraId="52334D82">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15E98766">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5591149B">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见表10.2.2-22</w:t>
            </w:r>
          </w:p>
        </w:tc>
      </w:tr>
      <w:tr w14:paraId="794EFD6C">
        <w:tblPrEx>
          <w:tblCellMar>
            <w:top w:w="15" w:type="dxa"/>
            <w:left w:w="15" w:type="dxa"/>
            <w:bottom w:w="15" w:type="dxa"/>
            <w:right w:w="15" w:type="dxa"/>
          </w:tblCellMar>
        </w:tblPrEx>
        <w:trPr>
          <w:trHeight w:val="357" w:hRule="atLeast"/>
        </w:trPr>
        <w:tc>
          <w:tcPr>
            <w:tcW w:w="773" w:type="dxa"/>
            <w:tcBorders>
              <w:top w:val="single" w:color="000000" w:sz="4" w:space="0"/>
              <w:left w:val="single" w:color="000000" w:sz="4" w:space="0"/>
            </w:tcBorders>
            <w:shd w:val="clear" w:color="auto" w:fill="FFFFFF"/>
            <w:vAlign w:val="center"/>
          </w:tcPr>
          <w:p w14:paraId="3081A1F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3.2</w:t>
            </w:r>
          </w:p>
        </w:tc>
        <w:tc>
          <w:tcPr>
            <w:tcW w:w="2773" w:type="dxa"/>
            <w:gridSpan w:val="2"/>
            <w:tcBorders>
              <w:top w:val="single" w:color="000000" w:sz="4" w:space="0"/>
              <w:left w:val="single" w:color="000000" w:sz="4" w:space="0"/>
            </w:tcBorders>
            <w:shd w:val="clear" w:color="auto" w:fill="FFFFFF"/>
            <w:vAlign w:val="center"/>
          </w:tcPr>
          <w:p w14:paraId="71DD9538">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暂估价</w:t>
            </w:r>
          </w:p>
        </w:tc>
        <w:tc>
          <w:tcPr>
            <w:tcW w:w="4151" w:type="dxa"/>
            <w:tcBorders>
              <w:top w:val="single" w:color="000000" w:sz="4" w:space="0"/>
              <w:left w:val="single" w:color="000000" w:sz="4" w:space="0"/>
            </w:tcBorders>
            <w:shd w:val="clear" w:color="auto" w:fill="FFFFFF"/>
            <w:vAlign w:val="center"/>
          </w:tcPr>
          <w:p w14:paraId="4AC81EC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3.2.1+3.2.2+3.2.3</w:t>
            </w:r>
          </w:p>
        </w:tc>
        <w:tc>
          <w:tcPr>
            <w:tcW w:w="1470" w:type="dxa"/>
            <w:tcBorders>
              <w:top w:val="single" w:color="000000" w:sz="4" w:space="0"/>
              <w:left w:val="single" w:color="000000" w:sz="4" w:space="0"/>
            </w:tcBorders>
            <w:shd w:val="clear" w:color="auto" w:fill="FFFFFF"/>
            <w:vAlign w:val="center"/>
          </w:tcPr>
          <w:p w14:paraId="41F72CC5">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008E1667">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见表10.2.2-21</w:t>
            </w:r>
          </w:p>
        </w:tc>
      </w:tr>
      <w:tr w14:paraId="747FB0DD">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7E66406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3.2.1</w:t>
            </w:r>
          </w:p>
        </w:tc>
        <w:tc>
          <w:tcPr>
            <w:tcW w:w="655" w:type="dxa"/>
            <w:vMerge w:val="restart"/>
            <w:tcBorders>
              <w:top w:val="single" w:color="000000" w:sz="4" w:space="0"/>
              <w:left w:val="single" w:color="000000" w:sz="4" w:space="0"/>
            </w:tcBorders>
            <w:shd w:val="clear" w:color="auto" w:fill="FFFFFF"/>
            <w:vAlign w:val="center"/>
          </w:tcPr>
          <w:p w14:paraId="38027E7B">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2118" w:type="dxa"/>
            <w:tcBorders>
              <w:top w:val="single" w:color="000000" w:sz="4" w:space="0"/>
              <w:left w:val="single" w:color="000000" w:sz="4" w:space="0"/>
            </w:tcBorders>
            <w:shd w:val="clear" w:color="auto" w:fill="FFFFFF"/>
            <w:vAlign w:val="center"/>
          </w:tcPr>
          <w:p w14:paraId="5827224B">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材料（工程设备）暂估价</w:t>
            </w:r>
          </w:p>
        </w:tc>
        <w:tc>
          <w:tcPr>
            <w:tcW w:w="4151" w:type="dxa"/>
            <w:tcBorders>
              <w:top w:val="single" w:color="000000" w:sz="4" w:space="0"/>
              <w:left w:val="single" w:color="000000" w:sz="4" w:space="0"/>
            </w:tcBorders>
            <w:shd w:val="clear" w:color="auto" w:fill="FFFFFF"/>
            <w:vAlign w:val="center"/>
          </w:tcPr>
          <w:p w14:paraId="10EFA1B2">
            <w:pPr>
              <w:spacing w:line="600" w:lineRule="exact"/>
              <w:jc w:val="center"/>
              <w:rPr>
                <w:rFonts w:hint="eastAsia" w:ascii="宋体" w:hAnsi="宋体" w:cs="宋体"/>
                <w:color w:val="auto"/>
                <w:sz w:val="18"/>
                <w:szCs w:val="18"/>
              </w:rPr>
            </w:pPr>
            <w:r>
              <w:rPr>
                <w:rFonts w:hint="eastAsia" w:ascii="宋体" w:hAnsi="宋体" w:cs="宋体"/>
                <w:color w:val="auto"/>
                <w:kern w:val="0"/>
                <w:sz w:val="18"/>
                <w:szCs w:val="18"/>
                <w:lang w:bidi="ar"/>
              </w:rPr>
              <w:t>按招标文件规定额度列计(或计入综合单价)</w:t>
            </w:r>
          </w:p>
        </w:tc>
        <w:tc>
          <w:tcPr>
            <w:tcW w:w="1470" w:type="dxa"/>
            <w:tcBorders>
              <w:top w:val="single" w:color="000000" w:sz="4" w:space="0"/>
              <w:left w:val="single" w:color="000000" w:sz="4" w:space="0"/>
            </w:tcBorders>
            <w:shd w:val="clear" w:color="auto" w:fill="FFFFFF"/>
            <w:vAlign w:val="center"/>
          </w:tcPr>
          <w:p w14:paraId="0E35B507">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1B3303DB">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见表10.2.2-23</w:t>
            </w:r>
          </w:p>
        </w:tc>
      </w:tr>
      <w:tr w14:paraId="378EF527">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3DBE43C7">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3.2.2</w:t>
            </w:r>
          </w:p>
        </w:tc>
        <w:tc>
          <w:tcPr>
            <w:tcW w:w="655" w:type="dxa"/>
            <w:vMerge w:val="continue"/>
            <w:tcBorders>
              <w:top w:val="single" w:color="000000" w:sz="4" w:space="0"/>
              <w:left w:val="single" w:color="000000" w:sz="4" w:space="0"/>
            </w:tcBorders>
            <w:shd w:val="clear" w:color="auto" w:fill="FFFFFF"/>
            <w:vAlign w:val="center"/>
          </w:tcPr>
          <w:p w14:paraId="799125B1">
            <w:pPr>
              <w:jc w:val="center"/>
              <w:rPr>
                <w:rFonts w:hint="eastAsia" w:ascii="宋体" w:hAnsi="宋体" w:cs="宋体"/>
                <w:color w:val="auto"/>
                <w:sz w:val="18"/>
                <w:szCs w:val="18"/>
              </w:rPr>
            </w:pPr>
          </w:p>
        </w:tc>
        <w:tc>
          <w:tcPr>
            <w:tcW w:w="2118" w:type="dxa"/>
            <w:tcBorders>
              <w:top w:val="single" w:color="000000" w:sz="4" w:space="0"/>
              <w:left w:val="single" w:color="000000" w:sz="4" w:space="0"/>
            </w:tcBorders>
            <w:shd w:val="clear" w:color="auto" w:fill="FFFFFF"/>
            <w:vAlign w:val="center"/>
          </w:tcPr>
          <w:p w14:paraId="0F4BB17E">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专业工程暂估价</w:t>
            </w:r>
          </w:p>
        </w:tc>
        <w:tc>
          <w:tcPr>
            <w:tcW w:w="4151" w:type="dxa"/>
            <w:tcBorders>
              <w:top w:val="single" w:color="000000" w:sz="4" w:space="0"/>
              <w:left w:val="single" w:color="000000" w:sz="4" w:space="0"/>
            </w:tcBorders>
            <w:shd w:val="clear" w:color="auto" w:fill="FFFFFF"/>
            <w:vAlign w:val="center"/>
          </w:tcPr>
          <w:p w14:paraId="5CBA456F">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22A3E3B9">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59E95292">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见表10.2.2-24</w:t>
            </w:r>
          </w:p>
        </w:tc>
      </w:tr>
      <w:tr w14:paraId="2A6D69FF">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10C8647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3.2.3</w:t>
            </w:r>
          </w:p>
        </w:tc>
        <w:tc>
          <w:tcPr>
            <w:tcW w:w="655" w:type="dxa"/>
            <w:vMerge w:val="continue"/>
            <w:tcBorders>
              <w:top w:val="single" w:color="000000" w:sz="4" w:space="0"/>
              <w:left w:val="single" w:color="000000" w:sz="4" w:space="0"/>
            </w:tcBorders>
            <w:shd w:val="clear" w:color="auto" w:fill="FFFFFF"/>
            <w:vAlign w:val="center"/>
          </w:tcPr>
          <w:p w14:paraId="5149B68D">
            <w:pPr>
              <w:jc w:val="center"/>
              <w:rPr>
                <w:rFonts w:hint="eastAsia" w:ascii="宋体" w:hAnsi="宋体" w:cs="宋体"/>
                <w:color w:val="auto"/>
                <w:sz w:val="18"/>
                <w:szCs w:val="18"/>
              </w:rPr>
            </w:pPr>
          </w:p>
        </w:tc>
        <w:tc>
          <w:tcPr>
            <w:tcW w:w="2118" w:type="dxa"/>
            <w:tcBorders>
              <w:top w:val="single" w:color="000000" w:sz="4" w:space="0"/>
              <w:left w:val="single" w:color="000000" w:sz="4" w:space="0"/>
            </w:tcBorders>
            <w:shd w:val="clear" w:color="auto" w:fill="FFFFFF"/>
            <w:vAlign w:val="center"/>
          </w:tcPr>
          <w:p w14:paraId="7F8FDCFF">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专项技术措施暂估价</w:t>
            </w:r>
          </w:p>
        </w:tc>
        <w:tc>
          <w:tcPr>
            <w:tcW w:w="4151" w:type="dxa"/>
            <w:tcBorders>
              <w:top w:val="single" w:color="000000" w:sz="4" w:space="0"/>
              <w:left w:val="single" w:color="000000" w:sz="4" w:space="0"/>
            </w:tcBorders>
            <w:shd w:val="clear" w:color="auto" w:fill="FFFFFF"/>
            <w:vAlign w:val="center"/>
          </w:tcPr>
          <w:p w14:paraId="2727856C">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0F538E2B">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14EF8BAC">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见表10.2.2-25</w:t>
            </w:r>
          </w:p>
        </w:tc>
      </w:tr>
      <w:tr w14:paraId="439530A3">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096059BC">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3.3</w:t>
            </w:r>
          </w:p>
        </w:tc>
        <w:tc>
          <w:tcPr>
            <w:tcW w:w="2773" w:type="dxa"/>
            <w:gridSpan w:val="2"/>
            <w:tcBorders>
              <w:top w:val="single" w:color="000000" w:sz="4" w:space="0"/>
              <w:left w:val="single" w:color="000000" w:sz="4" w:space="0"/>
            </w:tcBorders>
            <w:shd w:val="clear" w:color="auto" w:fill="FFFFFF"/>
            <w:vAlign w:val="center"/>
          </w:tcPr>
          <w:p w14:paraId="5964DE15">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计日工</w:t>
            </w:r>
          </w:p>
        </w:tc>
        <w:tc>
          <w:tcPr>
            <w:tcW w:w="4151" w:type="dxa"/>
            <w:tcBorders>
              <w:top w:val="single" w:color="000000" w:sz="4" w:space="0"/>
              <w:left w:val="single" w:color="000000" w:sz="4" w:space="0"/>
            </w:tcBorders>
            <w:shd w:val="clear" w:color="auto" w:fill="FFFFFF"/>
            <w:vAlign w:val="center"/>
          </w:tcPr>
          <w:p w14:paraId="409496A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∑计日工(暂估数量×综合单价）</w:t>
            </w:r>
          </w:p>
        </w:tc>
        <w:tc>
          <w:tcPr>
            <w:tcW w:w="1470" w:type="dxa"/>
            <w:tcBorders>
              <w:top w:val="single" w:color="000000" w:sz="4" w:space="0"/>
              <w:left w:val="single" w:color="000000" w:sz="4" w:space="0"/>
            </w:tcBorders>
            <w:shd w:val="clear" w:color="auto" w:fill="FFFFFF"/>
            <w:vAlign w:val="center"/>
          </w:tcPr>
          <w:p w14:paraId="2176CA3A">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6E22683B">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见表10.2.2-21</w:t>
            </w:r>
          </w:p>
        </w:tc>
      </w:tr>
      <w:tr w14:paraId="51700F53">
        <w:tblPrEx>
          <w:tblCellMar>
            <w:top w:w="15" w:type="dxa"/>
            <w:left w:w="15" w:type="dxa"/>
            <w:bottom w:w="15" w:type="dxa"/>
            <w:right w:w="15" w:type="dxa"/>
          </w:tblCellMar>
        </w:tblPrEx>
        <w:trPr>
          <w:trHeight w:val="403" w:hRule="atLeast"/>
        </w:trPr>
        <w:tc>
          <w:tcPr>
            <w:tcW w:w="773" w:type="dxa"/>
            <w:tcBorders>
              <w:top w:val="single" w:color="000000" w:sz="4" w:space="0"/>
              <w:left w:val="single" w:color="000000" w:sz="4" w:space="0"/>
            </w:tcBorders>
            <w:shd w:val="clear" w:color="auto" w:fill="FFFFFF"/>
            <w:vAlign w:val="center"/>
          </w:tcPr>
          <w:p w14:paraId="7CD77E1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3.4</w:t>
            </w:r>
          </w:p>
        </w:tc>
        <w:tc>
          <w:tcPr>
            <w:tcW w:w="2773" w:type="dxa"/>
            <w:gridSpan w:val="2"/>
            <w:tcBorders>
              <w:top w:val="single" w:color="000000" w:sz="4" w:space="0"/>
              <w:left w:val="single" w:color="000000" w:sz="4" w:space="0"/>
            </w:tcBorders>
            <w:shd w:val="clear" w:color="auto" w:fill="FFFFFF"/>
            <w:vAlign w:val="center"/>
          </w:tcPr>
          <w:p w14:paraId="3BBB8397">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施工总承包服务费</w:t>
            </w:r>
          </w:p>
        </w:tc>
        <w:tc>
          <w:tcPr>
            <w:tcW w:w="4151" w:type="dxa"/>
            <w:tcBorders>
              <w:top w:val="single" w:color="000000" w:sz="4" w:space="0"/>
              <w:left w:val="single" w:color="000000" w:sz="4" w:space="0"/>
            </w:tcBorders>
            <w:shd w:val="clear" w:color="auto" w:fill="FFFFFF"/>
            <w:vAlign w:val="center"/>
          </w:tcPr>
          <w:p w14:paraId="22C5B85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3.4.1+3.4.2</w:t>
            </w:r>
          </w:p>
        </w:tc>
        <w:tc>
          <w:tcPr>
            <w:tcW w:w="1470" w:type="dxa"/>
            <w:tcBorders>
              <w:top w:val="single" w:color="000000" w:sz="4" w:space="0"/>
              <w:left w:val="single" w:color="000000" w:sz="4" w:space="0"/>
            </w:tcBorders>
            <w:shd w:val="clear" w:color="auto" w:fill="FFFFFF"/>
            <w:vAlign w:val="center"/>
          </w:tcPr>
          <w:p w14:paraId="6FB46DAE">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5C08EED5">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见表10.2.2-21</w:t>
            </w:r>
          </w:p>
        </w:tc>
      </w:tr>
      <w:tr w14:paraId="6E01762B">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39BFCE7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3.4.1</w:t>
            </w:r>
          </w:p>
        </w:tc>
        <w:tc>
          <w:tcPr>
            <w:tcW w:w="655" w:type="dxa"/>
            <w:vMerge w:val="restart"/>
            <w:tcBorders>
              <w:top w:val="single" w:color="000000" w:sz="4" w:space="0"/>
              <w:left w:val="single" w:color="000000" w:sz="4" w:space="0"/>
            </w:tcBorders>
            <w:shd w:val="clear" w:color="auto" w:fill="FFFFFF"/>
            <w:vAlign w:val="center"/>
          </w:tcPr>
          <w:p w14:paraId="79B9D42F">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2118" w:type="dxa"/>
            <w:tcBorders>
              <w:top w:val="single" w:color="000000" w:sz="4" w:space="0"/>
              <w:left w:val="single" w:color="000000" w:sz="4" w:space="0"/>
            </w:tcBorders>
            <w:shd w:val="clear" w:color="auto" w:fill="FFFFFF"/>
            <w:vAlign w:val="center"/>
          </w:tcPr>
          <w:p w14:paraId="7113E441">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专业发包工程管理费</w:t>
            </w:r>
          </w:p>
        </w:tc>
        <w:tc>
          <w:tcPr>
            <w:tcW w:w="4151" w:type="dxa"/>
            <w:tcBorders>
              <w:top w:val="single" w:color="000000" w:sz="4" w:space="0"/>
              <w:left w:val="single" w:color="000000" w:sz="4" w:space="0"/>
            </w:tcBorders>
            <w:shd w:val="clear" w:color="auto" w:fill="FFFFFF"/>
            <w:vAlign w:val="center"/>
          </w:tcPr>
          <w:p w14:paraId="0BDBB2A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∑专业发包工程（暂估金额×费率）</w:t>
            </w:r>
          </w:p>
        </w:tc>
        <w:tc>
          <w:tcPr>
            <w:tcW w:w="1470" w:type="dxa"/>
            <w:tcBorders>
              <w:top w:val="single" w:color="000000" w:sz="4" w:space="0"/>
              <w:left w:val="single" w:color="000000" w:sz="4" w:space="0"/>
            </w:tcBorders>
            <w:shd w:val="clear" w:color="auto" w:fill="FFFFFF"/>
            <w:vAlign w:val="center"/>
          </w:tcPr>
          <w:p w14:paraId="01FBC69F">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5244464A">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见表10.2.2-27</w:t>
            </w:r>
          </w:p>
        </w:tc>
      </w:tr>
      <w:tr w14:paraId="61FFCF42">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44386EF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3.4.2</w:t>
            </w:r>
          </w:p>
        </w:tc>
        <w:tc>
          <w:tcPr>
            <w:tcW w:w="655" w:type="dxa"/>
            <w:vMerge w:val="continue"/>
            <w:tcBorders>
              <w:top w:val="single" w:color="000000" w:sz="4" w:space="0"/>
              <w:left w:val="single" w:color="000000" w:sz="4" w:space="0"/>
            </w:tcBorders>
            <w:shd w:val="clear" w:color="auto" w:fill="FFFFFF"/>
            <w:vAlign w:val="center"/>
          </w:tcPr>
          <w:p w14:paraId="548E8747">
            <w:pPr>
              <w:jc w:val="center"/>
              <w:rPr>
                <w:rFonts w:hint="eastAsia" w:ascii="宋体" w:hAnsi="宋体" w:cs="宋体"/>
                <w:color w:val="auto"/>
                <w:sz w:val="18"/>
                <w:szCs w:val="18"/>
              </w:rPr>
            </w:pPr>
          </w:p>
        </w:tc>
        <w:tc>
          <w:tcPr>
            <w:tcW w:w="2118" w:type="dxa"/>
            <w:tcBorders>
              <w:top w:val="single" w:color="000000" w:sz="4" w:space="0"/>
              <w:left w:val="single" w:color="000000" w:sz="4" w:space="0"/>
            </w:tcBorders>
            <w:shd w:val="clear" w:color="auto" w:fill="FFFFFF"/>
            <w:vAlign w:val="center"/>
          </w:tcPr>
          <w:p w14:paraId="45F3BC54">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甲供材料设备管理费</w:t>
            </w:r>
          </w:p>
        </w:tc>
        <w:tc>
          <w:tcPr>
            <w:tcW w:w="4151" w:type="dxa"/>
            <w:tcBorders>
              <w:top w:val="single" w:color="000000" w:sz="4" w:space="0"/>
              <w:left w:val="single" w:color="000000" w:sz="4" w:space="0"/>
            </w:tcBorders>
            <w:shd w:val="clear" w:color="auto" w:fill="FFFFFF"/>
            <w:vAlign w:val="center"/>
          </w:tcPr>
          <w:p w14:paraId="15735BD6">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甲供材料暂估金额×费率+甲供设备暂估金额×费率</w:t>
            </w:r>
          </w:p>
        </w:tc>
        <w:tc>
          <w:tcPr>
            <w:tcW w:w="1470" w:type="dxa"/>
            <w:tcBorders>
              <w:top w:val="single" w:color="000000" w:sz="4" w:space="0"/>
              <w:left w:val="single" w:color="000000" w:sz="4" w:space="0"/>
            </w:tcBorders>
            <w:shd w:val="clear" w:color="auto" w:fill="FFFFFF"/>
            <w:vAlign w:val="center"/>
          </w:tcPr>
          <w:p w14:paraId="0A809A4C">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5DAC9ACA">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见表10.2.2-27</w:t>
            </w:r>
          </w:p>
        </w:tc>
      </w:tr>
      <w:tr w14:paraId="710057BB">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5AB35CF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2773" w:type="dxa"/>
            <w:gridSpan w:val="2"/>
            <w:tcBorders>
              <w:top w:val="single" w:color="000000" w:sz="4" w:space="0"/>
              <w:left w:val="single" w:color="000000" w:sz="4" w:space="0"/>
            </w:tcBorders>
            <w:shd w:val="clear" w:color="auto" w:fill="FFFFFF"/>
            <w:vAlign w:val="center"/>
          </w:tcPr>
          <w:p w14:paraId="3F2542B4">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规费</w:t>
            </w:r>
          </w:p>
        </w:tc>
        <w:tc>
          <w:tcPr>
            <w:tcW w:w="4151" w:type="dxa"/>
            <w:tcBorders>
              <w:top w:val="single" w:color="000000" w:sz="4" w:space="0"/>
              <w:left w:val="single" w:color="000000" w:sz="4" w:space="0"/>
            </w:tcBorders>
            <w:shd w:val="clear" w:color="auto" w:fill="FFFFFF"/>
            <w:vAlign w:val="center"/>
          </w:tcPr>
          <w:p w14:paraId="7C20E902">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(1.1+2.1.1)×</w:t>
            </w:r>
            <w:r>
              <w:rPr>
                <w:rFonts w:ascii="宋体" w:hAnsi="宋体" w:cs="宋体"/>
                <w:color w:val="auto"/>
                <w:kern w:val="0"/>
                <w:sz w:val="18"/>
                <w:szCs w:val="18"/>
                <w:lang w:bidi="ar"/>
              </w:rPr>
              <w:t>27.92%</w:t>
            </w:r>
          </w:p>
        </w:tc>
        <w:tc>
          <w:tcPr>
            <w:tcW w:w="1470" w:type="dxa"/>
            <w:tcBorders>
              <w:top w:val="single" w:color="000000" w:sz="4" w:space="0"/>
              <w:left w:val="single" w:color="000000" w:sz="4" w:space="0"/>
            </w:tcBorders>
            <w:shd w:val="clear" w:color="auto" w:fill="FFFFFF"/>
            <w:vAlign w:val="center"/>
          </w:tcPr>
          <w:p w14:paraId="18B36395">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34BFC605">
            <w:pPr>
              <w:jc w:val="left"/>
              <w:rPr>
                <w:rFonts w:hint="eastAsia" w:ascii="宋体" w:hAnsi="宋体" w:cs="宋体"/>
                <w:color w:val="auto"/>
                <w:sz w:val="18"/>
                <w:szCs w:val="18"/>
              </w:rPr>
            </w:pPr>
          </w:p>
        </w:tc>
      </w:tr>
      <w:tr w14:paraId="596B2687">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4BE990F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2773" w:type="dxa"/>
            <w:gridSpan w:val="2"/>
            <w:tcBorders>
              <w:top w:val="single" w:color="000000" w:sz="4" w:space="0"/>
              <w:left w:val="single" w:color="000000" w:sz="4" w:space="0"/>
            </w:tcBorders>
            <w:shd w:val="clear" w:color="auto" w:fill="FFFFFF"/>
            <w:vAlign w:val="center"/>
          </w:tcPr>
          <w:p w14:paraId="100DAB03">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税金</w:t>
            </w:r>
          </w:p>
        </w:tc>
        <w:tc>
          <w:tcPr>
            <w:tcW w:w="4151" w:type="dxa"/>
            <w:tcBorders>
              <w:top w:val="single" w:color="000000" w:sz="4" w:space="0"/>
              <w:left w:val="single" w:color="000000" w:sz="4" w:space="0"/>
            </w:tcBorders>
            <w:shd w:val="clear" w:color="auto" w:fill="FFFFFF"/>
            <w:vAlign w:val="center"/>
          </w:tcPr>
          <w:p w14:paraId="62DC40DD">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(1+2+3+4+计税不计费)×</w:t>
            </w:r>
            <w:r>
              <w:rPr>
                <w:rFonts w:ascii="宋体" w:hAnsi="宋体" w:cs="宋体"/>
                <w:color w:val="auto"/>
                <w:kern w:val="0"/>
                <w:sz w:val="18"/>
                <w:szCs w:val="18"/>
                <w:lang w:bidi="ar"/>
              </w:rPr>
              <w:t>9</w:t>
            </w:r>
            <w:r>
              <w:rPr>
                <w:rFonts w:hint="eastAsia" w:ascii="宋体" w:hAnsi="宋体" w:cs="宋体"/>
                <w:color w:val="auto"/>
                <w:kern w:val="0"/>
                <w:sz w:val="18"/>
                <w:szCs w:val="18"/>
                <w:lang w:bidi="ar"/>
              </w:rPr>
              <w:t>%</w:t>
            </w:r>
          </w:p>
        </w:tc>
        <w:tc>
          <w:tcPr>
            <w:tcW w:w="1470" w:type="dxa"/>
            <w:tcBorders>
              <w:top w:val="single" w:color="000000" w:sz="4" w:space="0"/>
              <w:left w:val="single" w:color="000000" w:sz="4" w:space="0"/>
            </w:tcBorders>
            <w:shd w:val="clear" w:color="auto" w:fill="FFFFFF"/>
            <w:vAlign w:val="center"/>
          </w:tcPr>
          <w:p w14:paraId="705CB9FA">
            <w:pPr>
              <w:jc w:val="right"/>
              <w:rPr>
                <w:rFonts w:hint="eastAsia" w:ascii="宋体" w:hAnsi="宋体" w:cs="宋体"/>
                <w:color w:val="auto"/>
                <w:sz w:val="18"/>
                <w:szCs w:val="18"/>
              </w:rPr>
            </w:pPr>
          </w:p>
        </w:tc>
        <w:tc>
          <w:tcPr>
            <w:tcW w:w="1306" w:type="dxa"/>
            <w:tcBorders>
              <w:top w:val="single" w:color="000000" w:sz="4" w:space="0"/>
              <w:left w:val="single" w:color="000000" w:sz="4" w:space="0"/>
              <w:right w:val="single" w:color="000000" w:sz="4" w:space="0"/>
            </w:tcBorders>
            <w:shd w:val="clear" w:color="auto" w:fill="FFFFFF"/>
            <w:vAlign w:val="center"/>
          </w:tcPr>
          <w:p w14:paraId="473EB99C">
            <w:pPr>
              <w:jc w:val="left"/>
              <w:rPr>
                <w:rFonts w:hint="eastAsia" w:ascii="宋体" w:hAnsi="宋体" w:cs="宋体"/>
                <w:color w:val="auto"/>
                <w:sz w:val="18"/>
                <w:szCs w:val="18"/>
              </w:rPr>
            </w:pPr>
          </w:p>
        </w:tc>
      </w:tr>
      <w:tr w14:paraId="7BCC5B17">
        <w:tblPrEx>
          <w:tblCellMar>
            <w:top w:w="15" w:type="dxa"/>
            <w:left w:w="15" w:type="dxa"/>
            <w:bottom w:w="15" w:type="dxa"/>
            <w:right w:w="15" w:type="dxa"/>
          </w:tblCellMar>
        </w:tblPrEx>
        <w:trPr>
          <w:trHeight w:val="463" w:hRule="atLeast"/>
        </w:trPr>
        <w:tc>
          <w:tcPr>
            <w:tcW w:w="3546" w:type="dxa"/>
            <w:gridSpan w:val="3"/>
            <w:tcBorders>
              <w:top w:val="single" w:color="000000" w:sz="4" w:space="0"/>
              <w:left w:val="single" w:color="000000" w:sz="4" w:space="0"/>
              <w:bottom w:val="single" w:color="000000" w:sz="4" w:space="0"/>
            </w:tcBorders>
            <w:shd w:val="clear" w:color="auto" w:fill="FFFFFF"/>
            <w:vAlign w:val="center"/>
          </w:tcPr>
          <w:p w14:paraId="1DF5627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合计</w:t>
            </w:r>
          </w:p>
        </w:tc>
        <w:tc>
          <w:tcPr>
            <w:tcW w:w="4151" w:type="dxa"/>
            <w:tcBorders>
              <w:top w:val="single" w:color="000000" w:sz="4" w:space="0"/>
              <w:left w:val="single" w:color="000000" w:sz="4" w:space="0"/>
              <w:bottom w:val="single" w:color="000000" w:sz="4" w:space="0"/>
            </w:tcBorders>
            <w:shd w:val="clear" w:color="auto" w:fill="FFFFFF"/>
            <w:vAlign w:val="center"/>
          </w:tcPr>
          <w:p w14:paraId="0CD71582">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1+2+3+4+5</w:t>
            </w:r>
          </w:p>
        </w:tc>
        <w:tc>
          <w:tcPr>
            <w:tcW w:w="1470" w:type="dxa"/>
            <w:tcBorders>
              <w:top w:val="single" w:color="000000" w:sz="4" w:space="0"/>
              <w:left w:val="single" w:color="000000" w:sz="4" w:space="0"/>
              <w:bottom w:val="single" w:color="000000" w:sz="4" w:space="0"/>
            </w:tcBorders>
            <w:shd w:val="clear" w:color="auto" w:fill="FFFFFF"/>
            <w:vAlign w:val="center"/>
          </w:tcPr>
          <w:p w14:paraId="507CB353">
            <w:pPr>
              <w:jc w:val="right"/>
              <w:rPr>
                <w:rFonts w:hint="eastAsia" w:ascii="宋体" w:hAnsi="宋体" w:cs="宋体"/>
                <w:color w:val="auto"/>
                <w:sz w:val="18"/>
                <w:szCs w:val="18"/>
              </w:rPr>
            </w:pP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3631">
            <w:pPr>
              <w:jc w:val="left"/>
              <w:rPr>
                <w:rFonts w:hint="eastAsia" w:ascii="宋体" w:hAnsi="宋体" w:cs="宋体"/>
                <w:color w:val="auto"/>
                <w:sz w:val="18"/>
                <w:szCs w:val="18"/>
              </w:rPr>
            </w:pPr>
          </w:p>
        </w:tc>
      </w:tr>
    </w:tbl>
    <w:p w14:paraId="5EE98B4A">
      <w:pPr>
        <w:pStyle w:val="3"/>
        <w:spacing w:line="440" w:lineRule="exact"/>
        <w:rPr>
          <w:rFonts w:hint="eastAsia" w:ascii="黑体" w:hAnsi="宋体"/>
          <w:color w:val="auto"/>
          <w:sz w:val="24"/>
          <w:szCs w:val="24"/>
        </w:rPr>
        <w:sectPr>
          <w:pgSz w:w="11906" w:h="16838"/>
          <w:pgMar w:top="1134" w:right="1134" w:bottom="1134" w:left="1134" w:header="851" w:footer="992" w:gutter="0"/>
          <w:cols w:space="720" w:num="1"/>
          <w:docGrid w:linePitch="312" w:charSpace="0"/>
        </w:sectPr>
      </w:pPr>
    </w:p>
    <w:p w14:paraId="634B3367">
      <w:pPr>
        <w:pStyle w:val="3"/>
        <w:spacing w:line="440" w:lineRule="exact"/>
        <w:rPr>
          <w:rFonts w:hint="eastAsia" w:ascii="黑体" w:hAnsi="宋体"/>
          <w:color w:val="auto"/>
          <w:sz w:val="24"/>
          <w:szCs w:val="24"/>
        </w:rPr>
      </w:pPr>
      <w:bookmarkStart w:id="77" w:name="_Toc15529"/>
      <w:bookmarkStart w:id="78" w:name="_Toc14630"/>
      <w:r>
        <w:rPr>
          <w:rFonts w:hint="eastAsia" w:ascii="黑体" w:hAnsi="宋体"/>
          <w:color w:val="auto"/>
          <w:sz w:val="24"/>
          <w:szCs w:val="24"/>
        </w:rPr>
        <w:t>附件7 分部分项工程清单与计价表</w:t>
      </w:r>
      <w:bookmarkEnd w:id="77"/>
      <w:bookmarkEnd w:id="78"/>
    </w:p>
    <w:p w14:paraId="62669467">
      <w:pPr>
        <w:spacing w:line="600" w:lineRule="exact"/>
        <w:jc w:val="center"/>
        <w:rPr>
          <w:rFonts w:hint="eastAsia"/>
          <w:b/>
          <w:color w:val="auto"/>
          <w:sz w:val="36"/>
          <w:szCs w:val="36"/>
        </w:rPr>
      </w:pPr>
      <w:r>
        <w:rPr>
          <w:rFonts w:hint="eastAsia"/>
          <w:b/>
          <w:color w:val="auto"/>
          <w:sz w:val="36"/>
          <w:szCs w:val="36"/>
        </w:rPr>
        <w:t>分部分项工程清单与计价表</w:t>
      </w:r>
    </w:p>
    <w:p w14:paraId="24DEE50D">
      <w:pPr>
        <w:spacing w:line="600" w:lineRule="exact"/>
        <w:rPr>
          <w:rFonts w:hint="eastAsia" w:ascii="黑体" w:hAnsi="宋体"/>
          <w:color w:val="auto"/>
          <w:sz w:val="24"/>
        </w:rPr>
      </w:pPr>
      <w:r>
        <w:rPr>
          <w:rFonts w:hint="eastAsia"/>
          <w:color w:val="auto"/>
          <w:sz w:val="22"/>
          <w:szCs w:val="22"/>
        </w:rPr>
        <w:t>工程名称：                                                                                                          第    页 共    页</w:t>
      </w:r>
    </w:p>
    <w:tbl>
      <w:tblPr>
        <w:tblStyle w:val="37"/>
        <w:tblW w:w="0" w:type="auto"/>
        <w:tblInd w:w="-587" w:type="dxa"/>
        <w:tblLayout w:type="fixed"/>
        <w:tblCellMar>
          <w:top w:w="15" w:type="dxa"/>
          <w:left w:w="15" w:type="dxa"/>
          <w:bottom w:w="15" w:type="dxa"/>
          <w:right w:w="15" w:type="dxa"/>
        </w:tblCellMar>
      </w:tblPr>
      <w:tblGrid>
        <w:gridCol w:w="758"/>
        <w:gridCol w:w="1500"/>
        <w:gridCol w:w="2423"/>
        <w:gridCol w:w="3105"/>
        <w:gridCol w:w="675"/>
        <w:gridCol w:w="1065"/>
        <w:gridCol w:w="1080"/>
        <w:gridCol w:w="1035"/>
        <w:gridCol w:w="1005"/>
        <w:gridCol w:w="1095"/>
        <w:gridCol w:w="1170"/>
        <w:gridCol w:w="1089"/>
      </w:tblGrid>
      <w:tr w14:paraId="43770303">
        <w:tblPrEx>
          <w:tblCellMar>
            <w:top w:w="15" w:type="dxa"/>
            <w:left w:w="15" w:type="dxa"/>
            <w:bottom w:w="15" w:type="dxa"/>
            <w:right w:w="15" w:type="dxa"/>
          </w:tblCellMar>
        </w:tblPrEx>
        <w:trPr>
          <w:trHeight w:val="450" w:hRule="atLeast"/>
        </w:trPr>
        <w:tc>
          <w:tcPr>
            <w:tcW w:w="758" w:type="dxa"/>
            <w:vMerge w:val="restart"/>
            <w:tcBorders>
              <w:top w:val="single" w:color="000000" w:sz="4" w:space="0"/>
              <w:left w:val="single" w:color="000000" w:sz="4" w:space="0"/>
            </w:tcBorders>
            <w:shd w:val="clear" w:color="auto" w:fill="FFFFFF"/>
            <w:vAlign w:val="center"/>
          </w:tcPr>
          <w:p w14:paraId="3BA9752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序号</w:t>
            </w:r>
          </w:p>
        </w:tc>
        <w:tc>
          <w:tcPr>
            <w:tcW w:w="1500" w:type="dxa"/>
            <w:vMerge w:val="restart"/>
            <w:tcBorders>
              <w:top w:val="single" w:color="000000" w:sz="4" w:space="0"/>
              <w:left w:val="single" w:color="000000" w:sz="4" w:space="0"/>
            </w:tcBorders>
            <w:shd w:val="clear" w:color="auto" w:fill="FFFFFF"/>
            <w:vAlign w:val="center"/>
          </w:tcPr>
          <w:p w14:paraId="4118221B">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项目编码</w:t>
            </w:r>
          </w:p>
        </w:tc>
        <w:tc>
          <w:tcPr>
            <w:tcW w:w="2423" w:type="dxa"/>
            <w:vMerge w:val="restart"/>
            <w:tcBorders>
              <w:top w:val="single" w:color="000000" w:sz="4" w:space="0"/>
              <w:left w:val="single" w:color="000000" w:sz="4" w:space="0"/>
            </w:tcBorders>
            <w:shd w:val="clear" w:color="auto" w:fill="FFFFFF"/>
            <w:vAlign w:val="center"/>
          </w:tcPr>
          <w:p w14:paraId="0FCC9758">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项目名称</w:t>
            </w:r>
          </w:p>
        </w:tc>
        <w:tc>
          <w:tcPr>
            <w:tcW w:w="3105" w:type="dxa"/>
            <w:vMerge w:val="restart"/>
            <w:tcBorders>
              <w:top w:val="single" w:color="000000" w:sz="4" w:space="0"/>
              <w:left w:val="single" w:color="000000" w:sz="4" w:space="0"/>
            </w:tcBorders>
            <w:shd w:val="clear" w:color="auto" w:fill="FFFFFF"/>
            <w:vAlign w:val="center"/>
          </w:tcPr>
          <w:p w14:paraId="0B317F98">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项目特征</w:t>
            </w:r>
          </w:p>
        </w:tc>
        <w:tc>
          <w:tcPr>
            <w:tcW w:w="675" w:type="dxa"/>
            <w:vMerge w:val="restart"/>
            <w:tcBorders>
              <w:top w:val="single" w:color="000000" w:sz="4" w:space="0"/>
              <w:left w:val="single" w:color="000000" w:sz="4" w:space="0"/>
            </w:tcBorders>
            <w:shd w:val="clear" w:color="auto" w:fill="FFFFFF"/>
            <w:vAlign w:val="center"/>
          </w:tcPr>
          <w:p w14:paraId="79D74C39">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计量</w:t>
            </w:r>
          </w:p>
          <w:p w14:paraId="1362AC0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单位</w:t>
            </w:r>
          </w:p>
        </w:tc>
        <w:tc>
          <w:tcPr>
            <w:tcW w:w="1065" w:type="dxa"/>
            <w:vMerge w:val="restart"/>
            <w:tcBorders>
              <w:top w:val="single" w:color="000000" w:sz="4" w:space="0"/>
              <w:left w:val="single" w:color="000000" w:sz="4" w:space="0"/>
            </w:tcBorders>
            <w:shd w:val="clear" w:color="auto" w:fill="FFFFFF"/>
            <w:vAlign w:val="center"/>
          </w:tcPr>
          <w:p w14:paraId="7D138367">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工程量</w:t>
            </w:r>
          </w:p>
        </w:tc>
        <w:tc>
          <w:tcPr>
            <w:tcW w:w="5385" w:type="dxa"/>
            <w:gridSpan w:val="5"/>
            <w:tcBorders>
              <w:top w:val="single" w:color="000000" w:sz="4" w:space="0"/>
              <w:left w:val="single" w:color="000000" w:sz="4" w:space="0"/>
            </w:tcBorders>
            <w:shd w:val="clear" w:color="auto" w:fill="FFFFFF"/>
            <w:vAlign w:val="center"/>
          </w:tcPr>
          <w:p w14:paraId="69EBF7E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 额  (元)</w:t>
            </w:r>
          </w:p>
        </w:tc>
        <w:tc>
          <w:tcPr>
            <w:tcW w:w="1089" w:type="dxa"/>
            <w:vMerge w:val="restart"/>
            <w:tcBorders>
              <w:top w:val="single" w:color="000000" w:sz="4" w:space="0"/>
              <w:left w:val="single" w:color="000000" w:sz="4" w:space="0"/>
              <w:right w:val="single" w:color="000000" w:sz="4" w:space="0"/>
            </w:tcBorders>
            <w:shd w:val="clear" w:color="auto" w:fill="FFFFFF"/>
            <w:vAlign w:val="center"/>
          </w:tcPr>
          <w:p w14:paraId="16DDE53C">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备注</w:t>
            </w:r>
          </w:p>
        </w:tc>
      </w:tr>
      <w:tr w14:paraId="67A63BBE">
        <w:tblPrEx>
          <w:tblCellMar>
            <w:top w:w="15" w:type="dxa"/>
            <w:left w:w="15" w:type="dxa"/>
            <w:bottom w:w="15" w:type="dxa"/>
            <w:right w:w="15" w:type="dxa"/>
          </w:tblCellMar>
        </w:tblPrEx>
        <w:trPr>
          <w:trHeight w:val="360" w:hRule="atLeast"/>
        </w:trPr>
        <w:tc>
          <w:tcPr>
            <w:tcW w:w="758" w:type="dxa"/>
            <w:vMerge w:val="continue"/>
            <w:tcBorders>
              <w:top w:val="single" w:color="000000" w:sz="4" w:space="0"/>
              <w:left w:val="single" w:color="000000" w:sz="4" w:space="0"/>
            </w:tcBorders>
            <w:shd w:val="clear" w:color="auto" w:fill="FFFFFF"/>
            <w:vAlign w:val="center"/>
          </w:tcPr>
          <w:p w14:paraId="565EEC18">
            <w:pPr>
              <w:jc w:val="center"/>
              <w:rPr>
                <w:rFonts w:hint="eastAsia" w:ascii="宋体" w:hAnsi="宋体" w:cs="宋体"/>
                <w:color w:val="auto"/>
                <w:sz w:val="18"/>
                <w:szCs w:val="18"/>
              </w:rPr>
            </w:pPr>
          </w:p>
        </w:tc>
        <w:tc>
          <w:tcPr>
            <w:tcW w:w="1500" w:type="dxa"/>
            <w:vMerge w:val="continue"/>
            <w:tcBorders>
              <w:top w:val="single" w:color="000000" w:sz="4" w:space="0"/>
              <w:left w:val="single" w:color="000000" w:sz="4" w:space="0"/>
            </w:tcBorders>
            <w:shd w:val="clear" w:color="auto" w:fill="FFFFFF"/>
            <w:vAlign w:val="center"/>
          </w:tcPr>
          <w:p w14:paraId="4CE400F2">
            <w:pPr>
              <w:jc w:val="center"/>
              <w:rPr>
                <w:rFonts w:hint="eastAsia" w:ascii="宋体" w:hAnsi="宋体" w:cs="宋体"/>
                <w:color w:val="auto"/>
                <w:sz w:val="18"/>
                <w:szCs w:val="18"/>
              </w:rPr>
            </w:pPr>
          </w:p>
        </w:tc>
        <w:tc>
          <w:tcPr>
            <w:tcW w:w="2423" w:type="dxa"/>
            <w:vMerge w:val="continue"/>
            <w:tcBorders>
              <w:top w:val="single" w:color="000000" w:sz="4" w:space="0"/>
              <w:left w:val="single" w:color="000000" w:sz="4" w:space="0"/>
            </w:tcBorders>
            <w:shd w:val="clear" w:color="auto" w:fill="FFFFFF"/>
            <w:vAlign w:val="center"/>
          </w:tcPr>
          <w:p w14:paraId="5D728D2F">
            <w:pPr>
              <w:jc w:val="center"/>
              <w:rPr>
                <w:rFonts w:hint="eastAsia" w:ascii="宋体" w:hAnsi="宋体" w:cs="宋体"/>
                <w:color w:val="auto"/>
                <w:sz w:val="18"/>
                <w:szCs w:val="18"/>
              </w:rPr>
            </w:pPr>
          </w:p>
        </w:tc>
        <w:tc>
          <w:tcPr>
            <w:tcW w:w="3105" w:type="dxa"/>
            <w:vMerge w:val="continue"/>
            <w:tcBorders>
              <w:top w:val="single" w:color="000000" w:sz="4" w:space="0"/>
              <w:left w:val="single" w:color="000000" w:sz="4" w:space="0"/>
            </w:tcBorders>
            <w:shd w:val="clear" w:color="auto" w:fill="FFFFFF"/>
            <w:vAlign w:val="center"/>
          </w:tcPr>
          <w:p w14:paraId="566D7FE9">
            <w:pPr>
              <w:jc w:val="center"/>
              <w:rPr>
                <w:rFonts w:hint="eastAsia" w:ascii="宋体" w:hAnsi="宋体" w:cs="宋体"/>
                <w:color w:val="auto"/>
                <w:sz w:val="18"/>
                <w:szCs w:val="18"/>
              </w:rPr>
            </w:pPr>
          </w:p>
        </w:tc>
        <w:tc>
          <w:tcPr>
            <w:tcW w:w="675" w:type="dxa"/>
            <w:vMerge w:val="continue"/>
            <w:tcBorders>
              <w:top w:val="single" w:color="000000" w:sz="4" w:space="0"/>
              <w:left w:val="single" w:color="000000" w:sz="4" w:space="0"/>
            </w:tcBorders>
            <w:shd w:val="clear" w:color="auto" w:fill="FFFFFF"/>
            <w:vAlign w:val="center"/>
          </w:tcPr>
          <w:p w14:paraId="365021E7">
            <w:pPr>
              <w:jc w:val="center"/>
              <w:rPr>
                <w:rFonts w:hint="eastAsia" w:ascii="宋体" w:hAnsi="宋体" w:cs="宋体"/>
                <w:color w:val="auto"/>
                <w:sz w:val="18"/>
                <w:szCs w:val="18"/>
              </w:rPr>
            </w:pPr>
          </w:p>
        </w:tc>
        <w:tc>
          <w:tcPr>
            <w:tcW w:w="1065" w:type="dxa"/>
            <w:vMerge w:val="continue"/>
            <w:tcBorders>
              <w:top w:val="single" w:color="000000" w:sz="4" w:space="0"/>
              <w:left w:val="single" w:color="000000" w:sz="4" w:space="0"/>
            </w:tcBorders>
            <w:shd w:val="clear" w:color="auto" w:fill="FFFFFF"/>
            <w:vAlign w:val="center"/>
          </w:tcPr>
          <w:p w14:paraId="2D2DBDA0">
            <w:pPr>
              <w:jc w:val="center"/>
              <w:rPr>
                <w:rFonts w:hint="eastAsia" w:ascii="宋体" w:hAnsi="宋体" w:cs="宋体"/>
                <w:color w:val="auto"/>
                <w:sz w:val="18"/>
                <w:szCs w:val="18"/>
              </w:rPr>
            </w:pPr>
          </w:p>
        </w:tc>
        <w:tc>
          <w:tcPr>
            <w:tcW w:w="1080" w:type="dxa"/>
            <w:vMerge w:val="restart"/>
            <w:tcBorders>
              <w:top w:val="single" w:color="000000" w:sz="4" w:space="0"/>
              <w:left w:val="single" w:color="000000" w:sz="4" w:space="0"/>
            </w:tcBorders>
            <w:shd w:val="clear" w:color="auto" w:fill="FFFFFF"/>
            <w:vAlign w:val="center"/>
          </w:tcPr>
          <w:p w14:paraId="07B7AA9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综合单价</w:t>
            </w:r>
          </w:p>
        </w:tc>
        <w:tc>
          <w:tcPr>
            <w:tcW w:w="1035" w:type="dxa"/>
            <w:vMerge w:val="restart"/>
            <w:tcBorders>
              <w:top w:val="single" w:color="000000" w:sz="4" w:space="0"/>
              <w:left w:val="single" w:color="000000" w:sz="4" w:space="0"/>
            </w:tcBorders>
            <w:shd w:val="clear" w:color="auto" w:fill="FFFFFF"/>
            <w:vAlign w:val="center"/>
          </w:tcPr>
          <w:p w14:paraId="2FE3900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合价</w:t>
            </w:r>
          </w:p>
        </w:tc>
        <w:tc>
          <w:tcPr>
            <w:tcW w:w="3270" w:type="dxa"/>
            <w:gridSpan w:val="3"/>
            <w:tcBorders>
              <w:top w:val="single" w:color="000000" w:sz="4" w:space="0"/>
              <w:left w:val="single" w:color="000000" w:sz="4" w:space="0"/>
              <w:right w:val="single" w:color="000000" w:sz="4" w:space="0"/>
            </w:tcBorders>
            <w:shd w:val="clear" w:color="auto" w:fill="FFFFFF"/>
            <w:vAlign w:val="center"/>
          </w:tcPr>
          <w:p w14:paraId="5D9FDC2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681AACF4">
            <w:pPr>
              <w:jc w:val="center"/>
              <w:rPr>
                <w:rFonts w:hint="eastAsia" w:ascii="宋体" w:hAnsi="宋体" w:cs="宋体"/>
                <w:color w:val="auto"/>
                <w:sz w:val="18"/>
                <w:szCs w:val="18"/>
              </w:rPr>
            </w:pPr>
          </w:p>
        </w:tc>
      </w:tr>
      <w:tr w14:paraId="79E04615">
        <w:tblPrEx>
          <w:tblCellMar>
            <w:top w:w="15" w:type="dxa"/>
            <w:left w:w="15" w:type="dxa"/>
            <w:bottom w:w="15" w:type="dxa"/>
            <w:right w:w="15" w:type="dxa"/>
          </w:tblCellMar>
        </w:tblPrEx>
        <w:trPr>
          <w:trHeight w:val="450" w:hRule="atLeast"/>
        </w:trPr>
        <w:tc>
          <w:tcPr>
            <w:tcW w:w="758" w:type="dxa"/>
            <w:vMerge w:val="continue"/>
            <w:tcBorders>
              <w:top w:val="single" w:color="000000" w:sz="4" w:space="0"/>
              <w:left w:val="single" w:color="000000" w:sz="4" w:space="0"/>
            </w:tcBorders>
            <w:shd w:val="clear" w:color="auto" w:fill="FFFFFF"/>
            <w:vAlign w:val="center"/>
          </w:tcPr>
          <w:p w14:paraId="4FB40D13">
            <w:pPr>
              <w:jc w:val="center"/>
              <w:rPr>
                <w:rFonts w:hint="eastAsia" w:ascii="宋体" w:hAnsi="宋体" w:cs="宋体"/>
                <w:color w:val="auto"/>
                <w:sz w:val="18"/>
                <w:szCs w:val="18"/>
              </w:rPr>
            </w:pPr>
          </w:p>
        </w:tc>
        <w:tc>
          <w:tcPr>
            <w:tcW w:w="1500" w:type="dxa"/>
            <w:vMerge w:val="continue"/>
            <w:tcBorders>
              <w:top w:val="single" w:color="000000" w:sz="4" w:space="0"/>
              <w:left w:val="single" w:color="000000" w:sz="4" w:space="0"/>
            </w:tcBorders>
            <w:shd w:val="clear" w:color="auto" w:fill="FFFFFF"/>
            <w:vAlign w:val="center"/>
          </w:tcPr>
          <w:p w14:paraId="229A4FAF">
            <w:pPr>
              <w:jc w:val="center"/>
              <w:rPr>
                <w:rFonts w:hint="eastAsia" w:ascii="宋体" w:hAnsi="宋体" w:cs="宋体"/>
                <w:color w:val="auto"/>
                <w:sz w:val="18"/>
                <w:szCs w:val="18"/>
              </w:rPr>
            </w:pPr>
          </w:p>
        </w:tc>
        <w:tc>
          <w:tcPr>
            <w:tcW w:w="2423" w:type="dxa"/>
            <w:vMerge w:val="continue"/>
            <w:tcBorders>
              <w:top w:val="single" w:color="000000" w:sz="4" w:space="0"/>
              <w:left w:val="single" w:color="000000" w:sz="4" w:space="0"/>
            </w:tcBorders>
            <w:shd w:val="clear" w:color="auto" w:fill="FFFFFF"/>
            <w:vAlign w:val="center"/>
          </w:tcPr>
          <w:p w14:paraId="40FD6789">
            <w:pPr>
              <w:jc w:val="center"/>
              <w:rPr>
                <w:rFonts w:hint="eastAsia" w:ascii="宋体" w:hAnsi="宋体" w:cs="宋体"/>
                <w:color w:val="auto"/>
                <w:sz w:val="18"/>
                <w:szCs w:val="18"/>
              </w:rPr>
            </w:pPr>
          </w:p>
        </w:tc>
        <w:tc>
          <w:tcPr>
            <w:tcW w:w="3105" w:type="dxa"/>
            <w:vMerge w:val="continue"/>
            <w:tcBorders>
              <w:top w:val="single" w:color="000000" w:sz="4" w:space="0"/>
              <w:left w:val="single" w:color="000000" w:sz="4" w:space="0"/>
            </w:tcBorders>
            <w:shd w:val="clear" w:color="auto" w:fill="FFFFFF"/>
            <w:vAlign w:val="center"/>
          </w:tcPr>
          <w:p w14:paraId="7CE28232">
            <w:pPr>
              <w:jc w:val="center"/>
              <w:rPr>
                <w:rFonts w:hint="eastAsia" w:ascii="宋体" w:hAnsi="宋体" w:cs="宋体"/>
                <w:color w:val="auto"/>
                <w:sz w:val="18"/>
                <w:szCs w:val="18"/>
              </w:rPr>
            </w:pPr>
          </w:p>
        </w:tc>
        <w:tc>
          <w:tcPr>
            <w:tcW w:w="675" w:type="dxa"/>
            <w:vMerge w:val="continue"/>
            <w:tcBorders>
              <w:top w:val="single" w:color="000000" w:sz="4" w:space="0"/>
              <w:left w:val="single" w:color="000000" w:sz="4" w:space="0"/>
            </w:tcBorders>
            <w:shd w:val="clear" w:color="auto" w:fill="FFFFFF"/>
            <w:vAlign w:val="center"/>
          </w:tcPr>
          <w:p w14:paraId="695232A5">
            <w:pPr>
              <w:jc w:val="center"/>
              <w:rPr>
                <w:rFonts w:hint="eastAsia" w:ascii="宋体" w:hAnsi="宋体" w:cs="宋体"/>
                <w:color w:val="auto"/>
                <w:sz w:val="18"/>
                <w:szCs w:val="18"/>
              </w:rPr>
            </w:pPr>
          </w:p>
        </w:tc>
        <w:tc>
          <w:tcPr>
            <w:tcW w:w="1065" w:type="dxa"/>
            <w:vMerge w:val="continue"/>
            <w:tcBorders>
              <w:top w:val="single" w:color="000000" w:sz="4" w:space="0"/>
              <w:left w:val="single" w:color="000000" w:sz="4" w:space="0"/>
            </w:tcBorders>
            <w:shd w:val="clear" w:color="auto" w:fill="FFFFFF"/>
            <w:vAlign w:val="center"/>
          </w:tcPr>
          <w:p w14:paraId="2A04E500">
            <w:pPr>
              <w:jc w:val="center"/>
              <w:rPr>
                <w:rFonts w:hint="eastAsia" w:ascii="宋体" w:hAnsi="宋体" w:cs="宋体"/>
                <w:color w:val="auto"/>
                <w:sz w:val="18"/>
                <w:szCs w:val="18"/>
              </w:rPr>
            </w:pPr>
          </w:p>
        </w:tc>
        <w:tc>
          <w:tcPr>
            <w:tcW w:w="1080" w:type="dxa"/>
            <w:vMerge w:val="continue"/>
            <w:tcBorders>
              <w:top w:val="single" w:color="000000" w:sz="4" w:space="0"/>
              <w:left w:val="single" w:color="000000" w:sz="4" w:space="0"/>
            </w:tcBorders>
            <w:shd w:val="clear" w:color="auto" w:fill="FFFFFF"/>
            <w:vAlign w:val="center"/>
          </w:tcPr>
          <w:p w14:paraId="56521312">
            <w:pPr>
              <w:jc w:val="center"/>
              <w:rPr>
                <w:rFonts w:hint="eastAsia" w:ascii="宋体" w:hAnsi="宋体" w:cs="宋体"/>
                <w:color w:val="auto"/>
                <w:sz w:val="18"/>
                <w:szCs w:val="18"/>
              </w:rPr>
            </w:pPr>
          </w:p>
        </w:tc>
        <w:tc>
          <w:tcPr>
            <w:tcW w:w="1035" w:type="dxa"/>
            <w:vMerge w:val="continue"/>
            <w:tcBorders>
              <w:top w:val="single" w:color="000000" w:sz="4" w:space="0"/>
              <w:left w:val="single" w:color="000000" w:sz="4" w:space="0"/>
            </w:tcBorders>
            <w:shd w:val="clear" w:color="auto" w:fill="FFFFFF"/>
            <w:vAlign w:val="center"/>
          </w:tcPr>
          <w:p w14:paraId="024BD0CD">
            <w:pPr>
              <w:jc w:val="center"/>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7942B8D6">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人工费</w:t>
            </w:r>
          </w:p>
        </w:tc>
        <w:tc>
          <w:tcPr>
            <w:tcW w:w="1095" w:type="dxa"/>
            <w:tcBorders>
              <w:top w:val="single" w:color="000000" w:sz="4" w:space="0"/>
              <w:left w:val="single" w:color="000000" w:sz="4" w:space="0"/>
            </w:tcBorders>
            <w:shd w:val="clear" w:color="auto" w:fill="FFFFFF"/>
            <w:vAlign w:val="center"/>
          </w:tcPr>
          <w:p w14:paraId="29273F67">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机械费</w:t>
            </w:r>
          </w:p>
        </w:tc>
        <w:tc>
          <w:tcPr>
            <w:tcW w:w="1170" w:type="dxa"/>
            <w:tcBorders>
              <w:top w:val="single" w:color="000000" w:sz="4" w:space="0"/>
              <w:left w:val="single" w:color="000000" w:sz="4" w:space="0"/>
              <w:right w:val="single" w:color="000000" w:sz="4" w:space="0"/>
            </w:tcBorders>
            <w:shd w:val="clear" w:color="auto" w:fill="FFFFFF"/>
            <w:vAlign w:val="center"/>
          </w:tcPr>
          <w:p w14:paraId="689F309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暂估价</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2CA20FD0">
            <w:pPr>
              <w:jc w:val="center"/>
              <w:rPr>
                <w:rFonts w:hint="eastAsia" w:ascii="宋体" w:hAnsi="宋体" w:cs="宋体"/>
                <w:color w:val="auto"/>
                <w:sz w:val="18"/>
                <w:szCs w:val="18"/>
              </w:rPr>
            </w:pPr>
          </w:p>
        </w:tc>
      </w:tr>
      <w:tr w14:paraId="692C8C74">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42F6BA2A">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5F9273DC">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6A43796B">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2222ED63">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488D4E40">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0D7771D9">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799E5A74">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2BAA0E76">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2FE18BEC">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6610B556">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2F111977">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61D72557">
            <w:pPr>
              <w:jc w:val="left"/>
              <w:rPr>
                <w:rFonts w:hint="eastAsia" w:ascii="宋体" w:hAnsi="宋体" w:cs="宋体"/>
                <w:color w:val="auto"/>
                <w:sz w:val="18"/>
                <w:szCs w:val="18"/>
              </w:rPr>
            </w:pPr>
          </w:p>
        </w:tc>
      </w:tr>
      <w:tr w14:paraId="31E26076">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2F61708">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320FD082">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5394AB02">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7C730CE3">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347C4720">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4A29D1B4">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44EBEE78">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735554D8">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6B46383B">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546DEC70">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6B8BBDE0">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76CBE7EC">
            <w:pPr>
              <w:jc w:val="left"/>
              <w:rPr>
                <w:rFonts w:hint="eastAsia" w:ascii="宋体" w:hAnsi="宋体" w:cs="宋体"/>
                <w:color w:val="auto"/>
                <w:sz w:val="18"/>
                <w:szCs w:val="18"/>
              </w:rPr>
            </w:pPr>
          </w:p>
        </w:tc>
      </w:tr>
      <w:tr w14:paraId="3E2717CF">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E27A5AF">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338FC88A">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050AC1CE">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4B216F46">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50B4BDA4">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449E8CD4">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78A5932A">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613F7FD1">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56F2153A">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0F8E05BB">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0DA28A2D">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69F9F566">
            <w:pPr>
              <w:jc w:val="left"/>
              <w:rPr>
                <w:rFonts w:hint="eastAsia" w:ascii="宋体" w:hAnsi="宋体" w:cs="宋体"/>
                <w:color w:val="auto"/>
                <w:sz w:val="18"/>
                <w:szCs w:val="18"/>
              </w:rPr>
            </w:pPr>
          </w:p>
        </w:tc>
      </w:tr>
      <w:tr w14:paraId="3C9071D1">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251033B5">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69410C39">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07271287">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3C1BA565">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33DAC729">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6A30443A">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01A51453">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18C04E74">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044E1C97">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5144AABB">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152CD427">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5B9FEDCB">
            <w:pPr>
              <w:jc w:val="left"/>
              <w:rPr>
                <w:rFonts w:hint="eastAsia" w:ascii="宋体" w:hAnsi="宋体" w:cs="宋体"/>
                <w:color w:val="auto"/>
                <w:sz w:val="18"/>
                <w:szCs w:val="18"/>
              </w:rPr>
            </w:pPr>
          </w:p>
        </w:tc>
      </w:tr>
      <w:tr w14:paraId="625E32EE">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75F7683E">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1190E18C">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229B758C">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7477973E">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21854157">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0C814BCB">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574683AC">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6C2F1F14">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40FDA6F1">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583F7750">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2D225CF6">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49A5AD4A">
            <w:pPr>
              <w:jc w:val="left"/>
              <w:rPr>
                <w:rFonts w:hint="eastAsia" w:ascii="宋体" w:hAnsi="宋体" w:cs="宋体"/>
                <w:color w:val="auto"/>
                <w:sz w:val="18"/>
                <w:szCs w:val="18"/>
              </w:rPr>
            </w:pPr>
          </w:p>
        </w:tc>
      </w:tr>
      <w:tr w14:paraId="4D5356D9">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5859110">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282DF79C">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71F73BF3">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5D8F30DD">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0C70CCAD">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2C05D2AE">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3EB70A73">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2F4D3CF5">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0DBA25C2">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1C7532A5">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46A46E7B">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012D81FD">
            <w:pPr>
              <w:jc w:val="left"/>
              <w:rPr>
                <w:rFonts w:hint="eastAsia" w:ascii="宋体" w:hAnsi="宋体" w:cs="宋体"/>
                <w:color w:val="auto"/>
                <w:sz w:val="18"/>
                <w:szCs w:val="18"/>
              </w:rPr>
            </w:pPr>
          </w:p>
        </w:tc>
      </w:tr>
      <w:tr w14:paraId="66570E3D">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794914A">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05C561A3">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1A0B80CE">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2D140E4B">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68CFE790">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153AEB3F">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58150F02">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6BDBD66D">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67B8876D">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4D4A5421">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71FB036E">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03B3C90A">
            <w:pPr>
              <w:jc w:val="left"/>
              <w:rPr>
                <w:rFonts w:hint="eastAsia" w:ascii="宋体" w:hAnsi="宋体" w:cs="宋体"/>
                <w:color w:val="auto"/>
                <w:sz w:val="18"/>
                <w:szCs w:val="18"/>
              </w:rPr>
            </w:pPr>
          </w:p>
        </w:tc>
      </w:tr>
      <w:tr w14:paraId="5E76ECD2">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A32A7FE">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65FFF521">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05D4FE82">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4EE0414D">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77A74A60">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284AAF54">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2E8C51CB">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5459FD0B">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4065C76E">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4CFBF80E">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7D84B19C">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0C7566B8">
            <w:pPr>
              <w:jc w:val="left"/>
              <w:rPr>
                <w:rFonts w:hint="eastAsia" w:ascii="宋体" w:hAnsi="宋体" w:cs="宋体"/>
                <w:color w:val="auto"/>
                <w:sz w:val="18"/>
                <w:szCs w:val="18"/>
              </w:rPr>
            </w:pPr>
          </w:p>
        </w:tc>
      </w:tr>
      <w:tr w14:paraId="253B1233">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36D2130D">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6103EB0E">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66A5329F">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13F43CA7">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0A1D0454">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044DC42C">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4AE0CA7D">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7FD76A05">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07665C9E">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57C35DC6">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1FD40BE1">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04E63791">
            <w:pPr>
              <w:jc w:val="left"/>
              <w:rPr>
                <w:rFonts w:hint="eastAsia" w:ascii="宋体" w:hAnsi="宋体" w:cs="宋体"/>
                <w:color w:val="auto"/>
                <w:sz w:val="18"/>
                <w:szCs w:val="18"/>
              </w:rPr>
            </w:pPr>
          </w:p>
        </w:tc>
      </w:tr>
      <w:tr w14:paraId="3B85810A">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9C95B3E">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13422094">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30463127">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3356EB6F">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6DFDF624">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3177CFEA">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222147F0">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69BE85FC">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28DE6D3E">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1D3E11C3">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0581788C">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23A48A1A">
            <w:pPr>
              <w:jc w:val="left"/>
              <w:rPr>
                <w:rFonts w:hint="eastAsia" w:ascii="宋体" w:hAnsi="宋体" w:cs="宋体"/>
                <w:color w:val="auto"/>
                <w:sz w:val="18"/>
                <w:szCs w:val="18"/>
              </w:rPr>
            </w:pPr>
          </w:p>
        </w:tc>
      </w:tr>
      <w:tr w14:paraId="03201CAD">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bottom w:val="single" w:color="000000" w:sz="4" w:space="0"/>
            </w:tcBorders>
            <w:shd w:val="clear" w:color="auto" w:fill="FFFFFF"/>
            <w:vAlign w:val="center"/>
          </w:tcPr>
          <w:p w14:paraId="2D8BF3AA">
            <w:pPr>
              <w:jc w:val="center"/>
              <w:rPr>
                <w:rFonts w:hint="eastAsia" w:ascii="宋体" w:hAnsi="宋体" w:cs="宋体"/>
                <w:color w:val="auto"/>
                <w:sz w:val="18"/>
                <w:szCs w:val="18"/>
              </w:rPr>
            </w:pPr>
          </w:p>
        </w:tc>
        <w:tc>
          <w:tcPr>
            <w:tcW w:w="1500" w:type="dxa"/>
            <w:tcBorders>
              <w:top w:val="single" w:color="000000" w:sz="4" w:space="0"/>
              <w:left w:val="single" w:color="000000" w:sz="4" w:space="0"/>
              <w:bottom w:val="single" w:color="000000" w:sz="4" w:space="0"/>
            </w:tcBorders>
            <w:shd w:val="clear" w:color="auto" w:fill="FFFFFF"/>
            <w:vAlign w:val="center"/>
          </w:tcPr>
          <w:p w14:paraId="004FE7F6">
            <w:pPr>
              <w:jc w:val="left"/>
              <w:rPr>
                <w:rFonts w:hint="eastAsia" w:ascii="宋体" w:hAnsi="宋体" w:cs="宋体"/>
                <w:color w:val="auto"/>
                <w:sz w:val="18"/>
                <w:szCs w:val="18"/>
              </w:rPr>
            </w:pPr>
          </w:p>
        </w:tc>
        <w:tc>
          <w:tcPr>
            <w:tcW w:w="2423" w:type="dxa"/>
            <w:tcBorders>
              <w:top w:val="single" w:color="000000" w:sz="4" w:space="0"/>
              <w:left w:val="single" w:color="000000" w:sz="4" w:space="0"/>
              <w:bottom w:val="single" w:color="000000" w:sz="4" w:space="0"/>
            </w:tcBorders>
            <w:shd w:val="clear" w:color="auto" w:fill="FFFFFF"/>
            <w:vAlign w:val="center"/>
          </w:tcPr>
          <w:p w14:paraId="304D7764">
            <w:pPr>
              <w:jc w:val="left"/>
              <w:rPr>
                <w:rFonts w:hint="eastAsia" w:ascii="宋体" w:hAnsi="宋体" w:cs="宋体"/>
                <w:color w:val="auto"/>
                <w:sz w:val="18"/>
                <w:szCs w:val="18"/>
              </w:rPr>
            </w:pPr>
          </w:p>
        </w:tc>
        <w:tc>
          <w:tcPr>
            <w:tcW w:w="3105" w:type="dxa"/>
            <w:tcBorders>
              <w:top w:val="single" w:color="000000" w:sz="4" w:space="0"/>
              <w:left w:val="single" w:color="000000" w:sz="4" w:space="0"/>
              <w:bottom w:val="single" w:color="000000" w:sz="4" w:space="0"/>
            </w:tcBorders>
            <w:shd w:val="clear" w:color="auto" w:fill="FFFFFF"/>
            <w:vAlign w:val="center"/>
          </w:tcPr>
          <w:p w14:paraId="3847E09B">
            <w:pPr>
              <w:jc w:val="left"/>
              <w:rPr>
                <w:rFonts w:hint="eastAsia" w:ascii="宋体" w:hAnsi="宋体" w:cs="宋体"/>
                <w:color w:val="auto"/>
                <w:sz w:val="18"/>
                <w:szCs w:val="18"/>
              </w:rPr>
            </w:pPr>
          </w:p>
        </w:tc>
        <w:tc>
          <w:tcPr>
            <w:tcW w:w="675" w:type="dxa"/>
            <w:tcBorders>
              <w:top w:val="single" w:color="000000" w:sz="4" w:space="0"/>
              <w:left w:val="single" w:color="000000" w:sz="4" w:space="0"/>
              <w:bottom w:val="single" w:color="000000" w:sz="4" w:space="0"/>
            </w:tcBorders>
            <w:shd w:val="clear" w:color="auto" w:fill="FFFFFF"/>
            <w:vAlign w:val="center"/>
          </w:tcPr>
          <w:p w14:paraId="7761C9CD">
            <w:pPr>
              <w:jc w:val="center"/>
              <w:rPr>
                <w:rFonts w:hint="eastAsia" w:ascii="宋体" w:hAnsi="宋体" w:cs="宋体"/>
                <w:color w:val="auto"/>
                <w:sz w:val="18"/>
                <w:szCs w:val="18"/>
              </w:rPr>
            </w:pPr>
          </w:p>
        </w:tc>
        <w:tc>
          <w:tcPr>
            <w:tcW w:w="1065" w:type="dxa"/>
            <w:tcBorders>
              <w:top w:val="single" w:color="000000" w:sz="4" w:space="0"/>
              <w:left w:val="single" w:color="000000" w:sz="4" w:space="0"/>
              <w:bottom w:val="single" w:color="000000" w:sz="4" w:space="0"/>
            </w:tcBorders>
            <w:shd w:val="clear" w:color="auto" w:fill="FFFFFF"/>
            <w:vAlign w:val="center"/>
          </w:tcPr>
          <w:p w14:paraId="05DE85AC">
            <w:pPr>
              <w:jc w:val="right"/>
              <w:rPr>
                <w:rFonts w:hint="eastAsia" w:ascii="宋体" w:hAnsi="宋体" w:cs="宋体"/>
                <w:color w:val="auto"/>
                <w:sz w:val="18"/>
                <w:szCs w:val="18"/>
              </w:rPr>
            </w:pPr>
          </w:p>
        </w:tc>
        <w:tc>
          <w:tcPr>
            <w:tcW w:w="1080" w:type="dxa"/>
            <w:tcBorders>
              <w:top w:val="single" w:color="000000" w:sz="4" w:space="0"/>
              <w:left w:val="single" w:color="000000" w:sz="4" w:space="0"/>
              <w:bottom w:val="single" w:color="000000" w:sz="4" w:space="0"/>
            </w:tcBorders>
            <w:shd w:val="clear" w:color="auto" w:fill="FFFFFF"/>
            <w:vAlign w:val="center"/>
          </w:tcPr>
          <w:p w14:paraId="18AE5B67">
            <w:pPr>
              <w:jc w:val="right"/>
              <w:rPr>
                <w:rFonts w:hint="eastAsia" w:ascii="宋体" w:hAnsi="宋体" w:cs="宋体"/>
                <w:color w:val="auto"/>
                <w:sz w:val="18"/>
                <w:szCs w:val="18"/>
              </w:rPr>
            </w:pPr>
          </w:p>
        </w:tc>
        <w:tc>
          <w:tcPr>
            <w:tcW w:w="1035" w:type="dxa"/>
            <w:tcBorders>
              <w:top w:val="single" w:color="000000" w:sz="4" w:space="0"/>
              <w:left w:val="single" w:color="000000" w:sz="4" w:space="0"/>
              <w:bottom w:val="single" w:color="000000" w:sz="4" w:space="0"/>
            </w:tcBorders>
            <w:shd w:val="clear" w:color="auto" w:fill="FFFFFF"/>
            <w:vAlign w:val="center"/>
          </w:tcPr>
          <w:p w14:paraId="15FEC50C">
            <w:pPr>
              <w:jc w:val="right"/>
              <w:rPr>
                <w:rFonts w:hint="eastAsia" w:ascii="宋体" w:hAnsi="宋体" w:cs="宋体"/>
                <w:color w:val="auto"/>
                <w:sz w:val="18"/>
                <w:szCs w:val="18"/>
              </w:rPr>
            </w:pPr>
          </w:p>
        </w:tc>
        <w:tc>
          <w:tcPr>
            <w:tcW w:w="1005" w:type="dxa"/>
            <w:tcBorders>
              <w:top w:val="single" w:color="000000" w:sz="4" w:space="0"/>
              <w:left w:val="single" w:color="000000" w:sz="4" w:space="0"/>
              <w:bottom w:val="single" w:color="000000" w:sz="4" w:space="0"/>
            </w:tcBorders>
            <w:shd w:val="clear" w:color="auto" w:fill="FFFFFF"/>
            <w:vAlign w:val="center"/>
          </w:tcPr>
          <w:p w14:paraId="252DDA97">
            <w:pPr>
              <w:jc w:val="right"/>
              <w:rPr>
                <w:rFonts w:hint="eastAsia" w:ascii="宋体" w:hAnsi="宋体" w:cs="宋体"/>
                <w:color w:val="auto"/>
                <w:sz w:val="18"/>
                <w:szCs w:val="18"/>
              </w:rPr>
            </w:pPr>
          </w:p>
        </w:tc>
        <w:tc>
          <w:tcPr>
            <w:tcW w:w="1095" w:type="dxa"/>
            <w:tcBorders>
              <w:top w:val="single" w:color="000000" w:sz="4" w:space="0"/>
              <w:left w:val="single" w:color="000000" w:sz="4" w:space="0"/>
              <w:bottom w:val="single" w:color="000000" w:sz="4" w:space="0"/>
            </w:tcBorders>
            <w:shd w:val="clear" w:color="auto" w:fill="FFFFFF"/>
            <w:vAlign w:val="center"/>
          </w:tcPr>
          <w:p w14:paraId="4BDFCDAF">
            <w:pPr>
              <w:jc w:val="right"/>
              <w:rPr>
                <w:rFonts w:hint="eastAsia" w:ascii="宋体" w:hAnsi="宋体" w:cs="宋体"/>
                <w:color w:val="auto"/>
                <w:sz w:val="18"/>
                <w:szCs w:val="18"/>
              </w:rPr>
            </w:pPr>
          </w:p>
        </w:tc>
        <w:tc>
          <w:tcPr>
            <w:tcW w:w="1170" w:type="dxa"/>
            <w:tcBorders>
              <w:top w:val="single" w:color="000000" w:sz="4" w:space="0"/>
              <w:left w:val="single" w:color="000000" w:sz="4" w:space="0"/>
              <w:bottom w:val="single" w:color="000000" w:sz="4" w:space="0"/>
            </w:tcBorders>
            <w:shd w:val="clear" w:color="auto" w:fill="FFFFFF"/>
            <w:vAlign w:val="center"/>
          </w:tcPr>
          <w:p w14:paraId="1269ECED">
            <w:pPr>
              <w:jc w:val="right"/>
              <w:rPr>
                <w:rFonts w:hint="eastAsia" w:ascii="宋体" w:hAnsi="宋体" w:cs="宋体"/>
                <w:color w:val="auto"/>
                <w:sz w:val="18"/>
                <w:szCs w:val="18"/>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A9F0">
            <w:pPr>
              <w:jc w:val="left"/>
              <w:rPr>
                <w:rFonts w:hint="eastAsia" w:ascii="宋体" w:hAnsi="宋体" w:cs="宋体"/>
                <w:color w:val="auto"/>
                <w:sz w:val="18"/>
                <w:szCs w:val="18"/>
              </w:rPr>
            </w:pPr>
          </w:p>
        </w:tc>
      </w:tr>
      <w:tr w14:paraId="01ECBEF7">
        <w:tblPrEx>
          <w:tblCellMar>
            <w:top w:w="15" w:type="dxa"/>
            <w:left w:w="15" w:type="dxa"/>
            <w:bottom w:w="15" w:type="dxa"/>
            <w:right w:w="15" w:type="dxa"/>
          </w:tblCellMar>
        </w:tblPrEx>
        <w:trPr>
          <w:trHeight w:val="450" w:hRule="atLeast"/>
        </w:trPr>
        <w:tc>
          <w:tcPr>
            <w:tcW w:w="106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2143D">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本页小计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8A33">
            <w:pPr>
              <w:jc w:val="right"/>
              <w:rPr>
                <w:rFonts w:hint="eastAsia" w:ascii="宋体" w:hAnsi="宋体" w:cs="宋体"/>
                <w:color w:val="auto"/>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BD10">
            <w:pPr>
              <w:jc w:val="right"/>
              <w:rPr>
                <w:rFonts w:hint="eastAsia" w:ascii="宋体" w:hAnsi="宋体" w:cs="宋体"/>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CF21">
            <w:pPr>
              <w:jc w:val="right"/>
              <w:rPr>
                <w:rFonts w:hint="eastAsia" w:ascii="宋体" w:hAnsi="宋体" w:cs="宋体"/>
                <w:color w:val="auto"/>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A987D">
            <w:pPr>
              <w:jc w:val="right"/>
              <w:rPr>
                <w:rFonts w:hint="eastAsia" w:ascii="宋体" w:hAnsi="宋体" w:cs="宋体"/>
                <w:color w:val="auto"/>
                <w:sz w:val="18"/>
                <w:szCs w:val="18"/>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B243">
            <w:pPr>
              <w:jc w:val="center"/>
              <w:rPr>
                <w:rFonts w:hint="eastAsia" w:ascii="宋体" w:hAnsi="宋体" w:cs="宋体"/>
                <w:color w:val="auto"/>
                <w:sz w:val="18"/>
                <w:szCs w:val="18"/>
              </w:rPr>
            </w:pPr>
          </w:p>
        </w:tc>
      </w:tr>
    </w:tbl>
    <w:p w14:paraId="2B91EBAB">
      <w:pPr>
        <w:rPr>
          <w:rFonts w:hint="eastAsia"/>
          <w:color w:val="auto"/>
        </w:rPr>
        <w:sectPr>
          <w:pgSz w:w="16838" w:h="11906" w:orient="landscape"/>
          <w:pgMar w:top="1134" w:right="1134" w:bottom="1134" w:left="1134" w:header="851" w:footer="992" w:gutter="0"/>
          <w:cols w:space="720" w:num="1"/>
          <w:docGrid w:linePitch="312" w:charSpace="0"/>
        </w:sectPr>
      </w:pPr>
    </w:p>
    <w:p w14:paraId="4507F32C">
      <w:pPr>
        <w:spacing w:line="600" w:lineRule="exact"/>
        <w:jc w:val="center"/>
        <w:rPr>
          <w:rFonts w:hint="eastAsia"/>
          <w:b/>
          <w:color w:val="auto"/>
          <w:sz w:val="36"/>
          <w:szCs w:val="36"/>
        </w:rPr>
      </w:pPr>
      <w:r>
        <w:rPr>
          <w:rFonts w:hint="eastAsia"/>
          <w:b/>
          <w:color w:val="auto"/>
          <w:sz w:val="36"/>
          <w:szCs w:val="36"/>
        </w:rPr>
        <w:t>施工技术措施项目清单与计价表</w:t>
      </w:r>
    </w:p>
    <w:p w14:paraId="63634128">
      <w:pPr>
        <w:spacing w:line="600" w:lineRule="exact"/>
        <w:rPr>
          <w:rFonts w:hint="eastAsia" w:ascii="黑体" w:hAnsi="宋体"/>
          <w:color w:val="auto"/>
          <w:sz w:val="24"/>
        </w:rPr>
      </w:pPr>
      <w:r>
        <w:rPr>
          <w:rFonts w:hint="eastAsia"/>
          <w:color w:val="auto"/>
          <w:sz w:val="22"/>
          <w:szCs w:val="22"/>
        </w:rPr>
        <w:t>工程名称：                                                                                                          第    页 共    页</w:t>
      </w:r>
    </w:p>
    <w:tbl>
      <w:tblPr>
        <w:tblStyle w:val="37"/>
        <w:tblW w:w="0" w:type="auto"/>
        <w:tblInd w:w="-587" w:type="dxa"/>
        <w:tblLayout w:type="fixed"/>
        <w:tblCellMar>
          <w:top w:w="15" w:type="dxa"/>
          <w:left w:w="15" w:type="dxa"/>
          <w:bottom w:w="15" w:type="dxa"/>
          <w:right w:w="15" w:type="dxa"/>
        </w:tblCellMar>
      </w:tblPr>
      <w:tblGrid>
        <w:gridCol w:w="758"/>
        <w:gridCol w:w="1500"/>
        <w:gridCol w:w="2423"/>
        <w:gridCol w:w="3105"/>
        <w:gridCol w:w="675"/>
        <w:gridCol w:w="1065"/>
        <w:gridCol w:w="1080"/>
        <w:gridCol w:w="1035"/>
        <w:gridCol w:w="1005"/>
        <w:gridCol w:w="1095"/>
        <w:gridCol w:w="1170"/>
        <w:gridCol w:w="1089"/>
      </w:tblGrid>
      <w:tr w14:paraId="5E38AD11">
        <w:tblPrEx>
          <w:tblCellMar>
            <w:top w:w="15" w:type="dxa"/>
            <w:left w:w="15" w:type="dxa"/>
            <w:bottom w:w="15" w:type="dxa"/>
            <w:right w:w="15" w:type="dxa"/>
          </w:tblCellMar>
        </w:tblPrEx>
        <w:trPr>
          <w:trHeight w:val="450" w:hRule="atLeast"/>
        </w:trPr>
        <w:tc>
          <w:tcPr>
            <w:tcW w:w="758" w:type="dxa"/>
            <w:vMerge w:val="restart"/>
            <w:tcBorders>
              <w:top w:val="single" w:color="000000" w:sz="4" w:space="0"/>
              <w:left w:val="single" w:color="000000" w:sz="4" w:space="0"/>
            </w:tcBorders>
            <w:shd w:val="clear" w:color="auto" w:fill="FFFFFF"/>
            <w:vAlign w:val="center"/>
          </w:tcPr>
          <w:p w14:paraId="5A980BA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序号</w:t>
            </w:r>
          </w:p>
        </w:tc>
        <w:tc>
          <w:tcPr>
            <w:tcW w:w="1500" w:type="dxa"/>
            <w:vMerge w:val="restart"/>
            <w:tcBorders>
              <w:top w:val="single" w:color="000000" w:sz="4" w:space="0"/>
              <w:left w:val="single" w:color="000000" w:sz="4" w:space="0"/>
            </w:tcBorders>
            <w:shd w:val="clear" w:color="auto" w:fill="FFFFFF"/>
            <w:vAlign w:val="center"/>
          </w:tcPr>
          <w:p w14:paraId="0B3F8DF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项目编码</w:t>
            </w:r>
          </w:p>
        </w:tc>
        <w:tc>
          <w:tcPr>
            <w:tcW w:w="2423" w:type="dxa"/>
            <w:vMerge w:val="restart"/>
            <w:tcBorders>
              <w:top w:val="single" w:color="000000" w:sz="4" w:space="0"/>
              <w:left w:val="single" w:color="000000" w:sz="4" w:space="0"/>
            </w:tcBorders>
            <w:shd w:val="clear" w:color="auto" w:fill="FFFFFF"/>
            <w:vAlign w:val="center"/>
          </w:tcPr>
          <w:p w14:paraId="57DCA33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项目名称</w:t>
            </w:r>
          </w:p>
        </w:tc>
        <w:tc>
          <w:tcPr>
            <w:tcW w:w="3105" w:type="dxa"/>
            <w:vMerge w:val="restart"/>
            <w:tcBorders>
              <w:top w:val="single" w:color="000000" w:sz="4" w:space="0"/>
              <w:left w:val="single" w:color="000000" w:sz="4" w:space="0"/>
            </w:tcBorders>
            <w:shd w:val="clear" w:color="auto" w:fill="FFFFFF"/>
            <w:vAlign w:val="center"/>
          </w:tcPr>
          <w:p w14:paraId="185BF7EB">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项目特征</w:t>
            </w:r>
          </w:p>
        </w:tc>
        <w:tc>
          <w:tcPr>
            <w:tcW w:w="675" w:type="dxa"/>
            <w:vMerge w:val="restart"/>
            <w:tcBorders>
              <w:top w:val="single" w:color="000000" w:sz="4" w:space="0"/>
              <w:left w:val="single" w:color="000000" w:sz="4" w:space="0"/>
            </w:tcBorders>
            <w:shd w:val="clear" w:color="auto" w:fill="FFFFFF"/>
            <w:vAlign w:val="center"/>
          </w:tcPr>
          <w:p w14:paraId="380E5D66">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计量</w:t>
            </w:r>
          </w:p>
          <w:p w14:paraId="15EBB29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单位</w:t>
            </w:r>
          </w:p>
        </w:tc>
        <w:tc>
          <w:tcPr>
            <w:tcW w:w="1065" w:type="dxa"/>
            <w:vMerge w:val="restart"/>
            <w:tcBorders>
              <w:top w:val="single" w:color="000000" w:sz="4" w:space="0"/>
              <w:left w:val="single" w:color="000000" w:sz="4" w:space="0"/>
            </w:tcBorders>
            <w:shd w:val="clear" w:color="auto" w:fill="FFFFFF"/>
            <w:vAlign w:val="center"/>
          </w:tcPr>
          <w:p w14:paraId="3E85757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工程量</w:t>
            </w:r>
          </w:p>
        </w:tc>
        <w:tc>
          <w:tcPr>
            <w:tcW w:w="5385" w:type="dxa"/>
            <w:gridSpan w:val="5"/>
            <w:tcBorders>
              <w:top w:val="single" w:color="000000" w:sz="4" w:space="0"/>
              <w:left w:val="single" w:color="000000" w:sz="4" w:space="0"/>
            </w:tcBorders>
            <w:shd w:val="clear" w:color="auto" w:fill="FFFFFF"/>
            <w:vAlign w:val="center"/>
          </w:tcPr>
          <w:p w14:paraId="7EB7996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 额  (元)</w:t>
            </w:r>
          </w:p>
        </w:tc>
        <w:tc>
          <w:tcPr>
            <w:tcW w:w="1089" w:type="dxa"/>
            <w:vMerge w:val="restart"/>
            <w:tcBorders>
              <w:top w:val="single" w:color="000000" w:sz="4" w:space="0"/>
              <w:left w:val="single" w:color="000000" w:sz="4" w:space="0"/>
              <w:right w:val="single" w:color="000000" w:sz="4" w:space="0"/>
            </w:tcBorders>
            <w:shd w:val="clear" w:color="auto" w:fill="FFFFFF"/>
            <w:vAlign w:val="center"/>
          </w:tcPr>
          <w:p w14:paraId="3553B527">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备注</w:t>
            </w:r>
          </w:p>
        </w:tc>
      </w:tr>
      <w:tr w14:paraId="1A5555F6">
        <w:tblPrEx>
          <w:tblCellMar>
            <w:top w:w="15" w:type="dxa"/>
            <w:left w:w="15" w:type="dxa"/>
            <w:bottom w:w="15" w:type="dxa"/>
            <w:right w:w="15" w:type="dxa"/>
          </w:tblCellMar>
        </w:tblPrEx>
        <w:trPr>
          <w:trHeight w:val="360" w:hRule="atLeast"/>
        </w:trPr>
        <w:tc>
          <w:tcPr>
            <w:tcW w:w="758" w:type="dxa"/>
            <w:vMerge w:val="continue"/>
            <w:tcBorders>
              <w:top w:val="single" w:color="000000" w:sz="4" w:space="0"/>
              <w:left w:val="single" w:color="000000" w:sz="4" w:space="0"/>
            </w:tcBorders>
            <w:shd w:val="clear" w:color="auto" w:fill="FFFFFF"/>
            <w:vAlign w:val="center"/>
          </w:tcPr>
          <w:p w14:paraId="5CEA238A">
            <w:pPr>
              <w:jc w:val="center"/>
              <w:rPr>
                <w:rFonts w:hint="eastAsia" w:ascii="宋体" w:hAnsi="宋体" w:cs="宋体"/>
                <w:color w:val="auto"/>
                <w:sz w:val="18"/>
                <w:szCs w:val="18"/>
              </w:rPr>
            </w:pPr>
          </w:p>
        </w:tc>
        <w:tc>
          <w:tcPr>
            <w:tcW w:w="1500" w:type="dxa"/>
            <w:vMerge w:val="continue"/>
            <w:tcBorders>
              <w:top w:val="single" w:color="000000" w:sz="4" w:space="0"/>
              <w:left w:val="single" w:color="000000" w:sz="4" w:space="0"/>
            </w:tcBorders>
            <w:shd w:val="clear" w:color="auto" w:fill="FFFFFF"/>
            <w:vAlign w:val="center"/>
          </w:tcPr>
          <w:p w14:paraId="1704B484">
            <w:pPr>
              <w:jc w:val="center"/>
              <w:rPr>
                <w:rFonts w:hint="eastAsia" w:ascii="宋体" w:hAnsi="宋体" w:cs="宋体"/>
                <w:color w:val="auto"/>
                <w:sz w:val="18"/>
                <w:szCs w:val="18"/>
              </w:rPr>
            </w:pPr>
          </w:p>
        </w:tc>
        <w:tc>
          <w:tcPr>
            <w:tcW w:w="2423" w:type="dxa"/>
            <w:vMerge w:val="continue"/>
            <w:tcBorders>
              <w:top w:val="single" w:color="000000" w:sz="4" w:space="0"/>
              <w:left w:val="single" w:color="000000" w:sz="4" w:space="0"/>
            </w:tcBorders>
            <w:shd w:val="clear" w:color="auto" w:fill="FFFFFF"/>
            <w:vAlign w:val="center"/>
          </w:tcPr>
          <w:p w14:paraId="66B5FB3C">
            <w:pPr>
              <w:jc w:val="center"/>
              <w:rPr>
                <w:rFonts w:hint="eastAsia" w:ascii="宋体" w:hAnsi="宋体" w:cs="宋体"/>
                <w:color w:val="auto"/>
                <w:sz w:val="18"/>
                <w:szCs w:val="18"/>
              </w:rPr>
            </w:pPr>
          </w:p>
        </w:tc>
        <w:tc>
          <w:tcPr>
            <w:tcW w:w="3105" w:type="dxa"/>
            <w:vMerge w:val="continue"/>
            <w:tcBorders>
              <w:top w:val="single" w:color="000000" w:sz="4" w:space="0"/>
              <w:left w:val="single" w:color="000000" w:sz="4" w:space="0"/>
            </w:tcBorders>
            <w:shd w:val="clear" w:color="auto" w:fill="FFFFFF"/>
            <w:vAlign w:val="center"/>
          </w:tcPr>
          <w:p w14:paraId="622AAC93">
            <w:pPr>
              <w:jc w:val="center"/>
              <w:rPr>
                <w:rFonts w:hint="eastAsia" w:ascii="宋体" w:hAnsi="宋体" w:cs="宋体"/>
                <w:color w:val="auto"/>
                <w:sz w:val="18"/>
                <w:szCs w:val="18"/>
              </w:rPr>
            </w:pPr>
          </w:p>
        </w:tc>
        <w:tc>
          <w:tcPr>
            <w:tcW w:w="675" w:type="dxa"/>
            <w:vMerge w:val="continue"/>
            <w:tcBorders>
              <w:top w:val="single" w:color="000000" w:sz="4" w:space="0"/>
              <w:left w:val="single" w:color="000000" w:sz="4" w:space="0"/>
            </w:tcBorders>
            <w:shd w:val="clear" w:color="auto" w:fill="FFFFFF"/>
            <w:vAlign w:val="center"/>
          </w:tcPr>
          <w:p w14:paraId="32D41A7D">
            <w:pPr>
              <w:jc w:val="center"/>
              <w:rPr>
                <w:rFonts w:hint="eastAsia" w:ascii="宋体" w:hAnsi="宋体" w:cs="宋体"/>
                <w:color w:val="auto"/>
                <w:sz w:val="18"/>
                <w:szCs w:val="18"/>
              </w:rPr>
            </w:pPr>
          </w:p>
        </w:tc>
        <w:tc>
          <w:tcPr>
            <w:tcW w:w="1065" w:type="dxa"/>
            <w:vMerge w:val="continue"/>
            <w:tcBorders>
              <w:top w:val="single" w:color="000000" w:sz="4" w:space="0"/>
              <w:left w:val="single" w:color="000000" w:sz="4" w:space="0"/>
            </w:tcBorders>
            <w:shd w:val="clear" w:color="auto" w:fill="FFFFFF"/>
            <w:vAlign w:val="center"/>
          </w:tcPr>
          <w:p w14:paraId="3F88623F">
            <w:pPr>
              <w:jc w:val="center"/>
              <w:rPr>
                <w:rFonts w:hint="eastAsia" w:ascii="宋体" w:hAnsi="宋体" w:cs="宋体"/>
                <w:color w:val="auto"/>
                <w:sz w:val="18"/>
                <w:szCs w:val="18"/>
              </w:rPr>
            </w:pPr>
          </w:p>
        </w:tc>
        <w:tc>
          <w:tcPr>
            <w:tcW w:w="1080" w:type="dxa"/>
            <w:vMerge w:val="restart"/>
            <w:tcBorders>
              <w:top w:val="single" w:color="000000" w:sz="4" w:space="0"/>
              <w:left w:val="single" w:color="000000" w:sz="4" w:space="0"/>
            </w:tcBorders>
            <w:shd w:val="clear" w:color="auto" w:fill="FFFFFF"/>
            <w:vAlign w:val="center"/>
          </w:tcPr>
          <w:p w14:paraId="753D1D8C">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综合单价</w:t>
            </w:r>
          </w:p>
        </w:tc>
        <w:tc>
          <w:tcPr>
            <w:tcW w:w="1035" w:type="dxa"/>
            <w:vMerge w:val="restart"/>
            <w:tcBorders>
              <w:top w:val="single" w:color="000000" w:sz="4" w:space="0"/>
              <w:left w:val="single" w:color="000000" w:sz="4" w:space="0"/>
            </w:tcBorders>
            <w:shd w:val="clear" w:color="auto" w:fill="FFFFFF"/>
            <w:vAlign w:val="center"/>
          </w:tcPr>
          <w:p w14:paraId="768EE3E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合价</w:t>
            </w:r>
          </w:p>
        </w:tc>
        <w:tc>
          <w:tcPr>
            <w:tcW w:w="3270" w:type="dxa"/>
            <w:gridSpan w:val="3"/>
            <w:tcBorders>
              <w:top w:val="single" w:color="000000" w:sz="4" w:space="0"/>
              <w:left w:val="single" w:color="000000" w:sz="4" w:space="0"/>
              <w:right w:val="single" w:color="000000" w:sz="4" w:space="0"/>
            </w:tcBorders>
            <w:shd w:val="clear" w:color="auto" w:fill="FFFFFF"/>
            <w:vAlign w:val="center"/>
          </w:tcPr>
          <w:p w14:paraId="53679C8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2920ACD4">
            <w:pPr>
              <w:jc w:val="center"/>
              <w:rPr>
                <w:rFonts w:hint="eastAsia" w:ascii="宋体" w:hAnsi="宋体" w:cs="宋体"/>
                <w:color w:val="auto"/>
                <w:sz w:val="18"/>
                <w:szCs w:val="18"/>
              </w:rPr>
            </w:pPr>
          </w:p>
        </w:tc>
      </w:tr>
      <w:tr w14:paraId="637700B4">
        <w:tblPrEx>
          <w:tblCellMar>
            <w:top w:w="15" w:type="dxa"/>
            <w:left w:w="15" w:type="dxa"/>
            <w:bottom w:w="15" w:type="dxa"/>
            <w:right w:w="15" w:type="dxa"/>
          </w:tblCellMar>
        </w:tblPrEx>
        <w:trPr>
          <w:trHeight w:val="450" w:hRule="atLeast"/>
        </w:trPr>
        <w:tc>
          <w:tcPr>
            <w:tcW w:w="758" w:type="dxa"/>
            <w:vMerge w:val="continue"/>
            <w:tcBorders>
              <w:top w:val="single" w:color="000000" w:sz="4" w:space="0"/>
              <w:left w:val="single" w:color="000000" w:sz="4" w:space="0"/>
            </w:tcBorders>
            <w:shd w:val="clear" w:color="auto" w:fill="FFFFFF"/>
            <w:vAlign w:val="center"/>
          </w:tcPr>
          <w:p w14:paraId="2B529E39">
            <w:pPr>
              <w:jc w:val="center"/>
              <w:rPr>
                <w:rFonts w:hint="eastAsia" w:ascii="宋体" w:hAnsi="宋体" w:cs="宋体"/>
                <w:color w:val="auto"/>
                <w:sz w:val="18"/>
                <w:szCs w:val="18"/>
              </w:rPr>
            </w:pPr>
          </w:p>
        </w:tc>
        <w:tc>
          <w:tcPr>
            <w:tcW w:w="1500" w:type="dxa"/>
            <w:vMerge w:val="continue"/>
            <w:tcBorders>
              <w:top w:val="single" w:color="000000" w:sz="4" w:space="0"/>
              <w:left w:val="single" w:color="000000" w:sz="4" w:space="0"/>
            </w:tcBorders>
            <w:shd w:val="clear" w:color="auto" w:fill="FFFFFF"/>
            <w:vAlign w:val="center"/>
          </w:tcPr>
          <w:p w14:paraId="3B050F5F">
            <w:pPr>
              <w:jc w:val="center"/>
              <w:rPr>
                <w:rFonts w:hint="eastAsia" w:ascii="宋体" w:hAnsi="宋体" w:cs="宋体"/>
                <w:color w:val="auto"/>
                <w:sz w:val="18"/>
                <w:szCs w:val="18"/>
              </w:rPr>
            </w:pPr>
          </w:p>
        </w:tc>
        <w:tc>
          <w:tcPr>
            <w:tcW w:w="2423" w:type="dxa"/>
            <w:vMerge w:val="continue"/>
            <w:tcBorders>
              <w:top w:val="single" w:color="000000" w:sz="4" w:space="0"/>
              <w:left w:val="single" w:color="000000" w:sz="4" w:space="0"/>
            </w:tcBorders>
            <w:shd w:val="clear" w:color="auto" w:fill="FFFFFF"/>
            <w:vAlign w:val="center"/>
          </w:tcPr>
          <w:p w14:paraId="54C3670B">
            <w:pPr>
              <w:jc w:val="center"/>
              <w:rPr>
                <w:rFonts w:hint="eastAsia" w:ascii="宋体" w:hAnsi="宋体" w:cs="宋体"/>
                <w:color w:val="auto"/>
                <w:sz w:val="18"/>
                <w:szCs w:val="18"/>
              </w:rPr>
            </w:pPr>
          </w:p>
        </w:tc>
        <w:tc>
          <w:tcPr>
            <w:tcW w:w="3105" w:type="dxa"/>
            <w:vMerge w:val="continue"/>
            <w:tcBorders>
              <w:top w:val="single" w:color="000000" w:sz="4" w:space="0"/>
              <w:left w:val="single" w:color="000000" w:sz="4" w:space="0"/>
            </w:tcBorders>
            <w:shd w:val="clear" w:color="auto" w:fill="FFFFFF"/>
            <w:vAlign w:val="center"/>
          </w:tcPr>
          <w:p w14:paraId="5827B5F9">
            <w:pPr>
              <w:jc w:val="center"/>
              <w:rPr>
                <w:rFonts w:hint="eastAsia" w:ascii="宋体" w:hAnsi="宋体" w:cs="宋体"/>
                <w:color w:val="auto"/>
                <w:sz w:val="18"/>
                <w:szCs w:val="18"/>
              </w:rPr>
            </w:pPr>
          </w:p>
        </w:tc>
        <w:tc>
          <w:tcPr>
            <w:tcW w:w="675" w:type="dxa"/>
            <w:vMerge w:val="continue"/>
            <w:tcBorders>
              <w:top w:val="single" w:color="000000" w:sz="4" w:space="0"/>
              <w:left w:val="single" w:color="000000" w:sz="4" w:space="0"/>
            </w:tcBorders>
            <w:shd w:val="clear" w:color="auto" w:fill="FFFFFF"/>
            <w:vAlign w:val="center"/>
          </w:tcPr>
          <w:p w14:paraId="6080C977">
            <w:pPr>
              <w:jc w:val="center"/>
              <w:rPr>
                <w:rFonts w:hint="eastAsia" w:ascii="宋体" w:hAnsi="宋体" w:cs="宋体"/>
                <w:color w:val="auto"/>
                <w:sz w:val="18"/>
                <w:szCs w:val="18"/>
              </w:rPr>
            </w:pPr>
          </w:p>
        </w:tc>
        <w:tc>
          <w:tcPr>
            <w:tcW w:w="1065" w:type="dxa"/>
            <w:vMerge w:val="continue"/>
            <w:tcBorders>
              <w:top w:val="single" w:color="000000" w:sz="4" w:space="0"/>
              <w:left w:val="single" w:color="000000" w:sz="4" w:space="0"/>
            </w:tcBorders>
            <w:shd w:val="clear" w:color="auto" w:fill="FFFFFF"/>
            <w:vAlign w:val="center"/>
          </w:tcPr>
          <w:p w14:paraId="6AF771E5">
            <w:pPr>
              <w:jc w:val="center"/>
              <w:rPr>
                <w:rFonts w:hint="eastAsia" w:ascii="宋体" w:hAnsi="宋体" w:cs="宋体"/>
                <w:color w:val="auto"/>
                <w:sz w:val="18"/>
                <w:szCs w:val="18"/>
              </w:rPr>
            </w:pPr>
          </w:p>
        </w:tc>
        <w:tc>
          <w:tcPr>
            <w:tcW w:w="1080" w:type="dxa"/>
            <w:vMerge w:val="continue"/>
            <w:tcBorders>
              <w:top w:val="single" w:color="000000" w:sz="4" w:space="0"/>
              <w:left w:val="single" w:color="000000" w:sz="4" w:space="0"/>
            </w:tcBorders>
            <w:shd w:val="clear" w:color="auto" w:fill="FFFFFF"/>
            <w:vAlign w:val="center"/>
          </w:tcPr>
          <w:p w14:paraId="22CB4C78">
            <w:pPr>
              <w:jc w:val="center"/>
              <w:rPr>
                <w:rFonts w:hint="eastAsia" w:ascii="宋体" w:hAnsi="宋体" w:cs="宋体"/>
                <w:color w:val="auto"/>
                <w:sz w:val="18"/>
                <w:szCs w:val="18"/>
              </w:rPr>
            </w:pPr>
          </w:p>
        </w:tc>
        <w:tc>
          <w:tcPr>
            <w:tcW w:w="1035" w:type="dxa"/>
            <w:vMerge w:val="continue"/>
            <w:tcBorders>
              <w:top w:val="single" w:color="000000" w:sz="4" w:space="0"/>
              <w:left w:val="single" w:color="000000" w:sz="4" w:space="0"/>
            </w:tcBorders>
            <w:shd w:val="clear" w:color="auto" w:fill="FFFFFF"/>
            <w:vAlign w:val="center"/>
          </w:tcPr>
          <w:p w14:paraId="42538C03">
            <w:pPr>
              <w:jc w:val="center"/>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080E856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人工费</w:t>
            </w:r>
          </w:p>
        </w:tc>
        <w:tc>
          <w:tcPr>
            <w:tcW w:w="1095" w:type="dxa"/>
            <w:tcBorders>
              <w:top w:val="single" w:color="000000" w:sz="4" w:space="0"/>
              <w:left w:val="single" w:color="000000" w:sz="4" w:space="0"/>
            </w:tcBorders>
            <w:shd w:val="clear" w:color="auto" w:fill="FFFFFF"/>
            <w:vAlign w:val="center"/>
          </w:tcPr>
          <w:p w14:paraId="37841E1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机械费</w:t>
            </w:r>
          </w:p>
        </w:tc>
        <w:tc>
          <w:tcPr>
            <w:tcW w:w="1170" w:type="dxa"/>
            <w:tcBorders>
              <w:top w:val="single" w:color="000000" w:sz="4" w:space="0"/>
              <w:left w:val="single" w:color="000000" w:sz="4" w:space="0"/>
              <w:right w:val="single" w:color="000000" w:sz="4" w:space="0"/>
            </w:tcBorders>
            <w:shd w:val="clear" w:color="auto" w:fill="FFFFFF"/>
            <w:vAlign w:val="center"/>
          </w:tcPr>
          <w:p w14:paraId="2F11205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暂估价</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4D27E914">
            <w:pPr>
              <w:jc w:val="center"/>
              <w:rPr>
                <w:rFonts w:hint="eastAsia" w:ascii="宋体" w:hAnsi="宋体" w:cs="宋体"/>
                <w:color w:val="auto"/>
                <w:sz w:val="18"/>
                <w:szCs w:val="18"/>
              </w:rPr>
            </w:pPr>
          </w:p>
        </w:tc>
      </w:tr>
      <w:tr w14:paraId="3398EC2C">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4E53961E">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3AEB78F5">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63519E57">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5CA9CC3C">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5B1E0E45">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77DE0D90">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19C03A17">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12BCF377">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1C0188C5">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304E0F0F">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26E1449F">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04B98816">
            <w:pPr>
              <w:jc w:val="left"/>
              <w:rPr>
                <w:rFonts w:hint="eastAsia" w:ascii="宋体" w:hAnsi="宋体" w:cs="宋体"/>
                <w:color w:val="auto"/>
                <w:sz w:val="18"/>
                <w:szCs w:val="18"/>
              </w:rPr>
            </w:pPr>
          </w:p>
        </w:tc>
      </w:tr>
      <w:tr w14:paraId="7920C8BC">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5C4F885">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0524EEB6">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3103C3B7">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33E7AE85">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3ADEF863">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68DCAB5A">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51C07E75">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4230C922">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5992A417">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50569D6C">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7C4B96D8">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448ADA56">
            <w:pPr>
              <w:jc w:val="left"/>
              <w:rPr>
                <w:rFonts w:hint="eastAsia" w:ascii="宋体" w:hAnsi="宋体" w:cs="宋体"/>
                <w:color w:val="auto"/>
                <w:sz w:val="18"/>
                <w:szCs w:val="18"/>
              </w:rPr>
            </w:pPr>
          </w:p>
        </w:tc>
      </w:tr>
      <w:tr w14:paraId="39F3B705">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0D295099">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0F0FBCAB">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21CF60B2">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661F72EA">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20338138">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1D768990">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476D5AB3">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0C7E1921">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38DAF01B">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7EC44D29">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2B2EFAEC">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2D379355">
            <w:pPr>
              <w:jc w:val="left"/>
              <w:rPr>
                <w:rFonts w:hint="eastAsia" w:ascii="宋体" w:hAnsi="宋体" w:cs="宋体"/>
                <w:color w:val="auto"/>
                <w:sz w:val="18"/>
                <w:szCs w:val="18"/>
              </w:rPr>
            </w:pPr>
          </w:p>
        </w:tc>
      </w:tr>
      <w:tr w14:paraId="6A7447E6">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002EF187">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5DF846AA">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5DC7871E">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067AB0D4">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04B7619A">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4E218B67">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48FEE69C">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31B95B0B">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36A17ED9">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41B2E798">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5E643E04">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7B712FCF">
            <w:pPr>
              <w:jc w:val="left"/>
              <w:rPr>
                <w:rFonts w:hint="eastAsia" w:ascii="宋体" w:hAnsi="宋体" w:cs="宋体"/>
                <w:color w:val="auto"/>
                <w:sz w:val="18"/>
                <w:szCs w:val="18"/>
              </w:rPr>
            </w:pPr>
          </w:p>
        </w:tc>
      </w:tr>
      <w:tr w14:paraId="760EAC8F">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8F48338">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40D3685D">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5040BAA9">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1E280CCE">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2AEA484D">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06247DD9">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01EF55A3">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7BDB8E05">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438C2747">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73232A2A">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78A56D4E">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11543AA6">
            <w:pPr>
              <w:jc w:val="left"/>
              <w:rPr>
                <w:rFonts w:hint="eastAsia" w:ascii="宋体" w:hAnsi="宋体" w:cs="宋体"/>
                <w:color w:val="auto"/>
                <w:sz w:val="18"/>
                <w:szCs w:val="18"/>
              </w:rPr>
            </w:pPr>
          </w:p>
        </w:tc>
      </w:tr>
      <w:tr w14:paraId="36E6BAA3">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01A9D37D">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34D22B6B">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6FE1DDEA">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0251545C">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08AA9F84">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0D00EA4E">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759584C8">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2B96D495">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1582C039">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063613FD">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3C37EAAF">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5DEC6A79">
            <w:pPr>
              <w:jc w:val="left"/>
              <w:rPr>
                <w:rFonts w:hint="eastAsia" w:ascii="宋体" w:hAnsi="宋体" w:cs="宋体"/>
                <w:color w:val="auto"/>
                <w:sz w:val="18"/>
                <w:szCs w:val="18"/>
              </w:rPr>
            </w:pPr>
          </w:p>
        </w:tc>
      </w:tr>
      <w:tr w14:paraId="40A62C9F">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6E32BED7">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702988CB">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49E9FDE8">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6A61E8AB">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36A8F336">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5F90D4A0">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77010D73">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5F6DD32C">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63BE6CF4">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4824899F">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7D641A18">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494AB64A">
            <w:pPr>
              <w:jc w:val="left"/>
              <w:rPr>
                <w:rFonts w:hint="eastAsia" w:ascii="宋体" w:hAnsi="宋体" w:cs="宋体"/>
                <w:color w:val="auto"/>
                <w:sz w:val="18"/>
                <w:szCs w:val="18"/>
              </w:rPr>
            </w:pPr>
          </w:p>
        </w:tc>
      </w:tr>
      <w:tr w14:paraId="24471E76">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38BB6CE">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4B7E35BC">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4A44AAD4">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0CDF8F12">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33BDB7EE">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1CF09D89">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35CB432B">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3EDE3B3A">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16D24AE3">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3A7E9929">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1B88C2EF">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7DA08A64">
            <w:pPr>
              <w:jc w:val="left"/>
              <w:rPr>
                <w:rFonts w:hint="eastAsia" w:ascii="宋体" w:hAnsi="宋体" w:cs="宋体"/>
                <w:color w:val="auto"/>
                <w:sz w:val="18"/>
                <w:szCs w:val="18"/>
              </w:rPr>
            </w:pPr>
          </w:p>
        </w:tc>
      </w:tr>
      <w:tr w14:paraId="2A86236A">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D4BCC08">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41F58F9A">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64E3E419">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25497C23">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5CB72708">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0A39E3CA">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299C04DF">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3D5B68F8">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1DC619BD">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74461657">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5B259B7C">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344009FB">
            <w:pPr>
              <w:jc w:val="left"/>
              <w:rPr>
                <w:rFonts w:hint="eastAsia" w:ascii="宋体" w:hAnsi="宋体" w:cs="宋体"/>
                <w:color w:val="auto"/>
                <w:sz w:val="18"/>
                <w:szCs w:val="18"/>
              </w:rPr>
            </w:pPr>
          </w:p>
        </w:tc>
      </w:tr>
      <w:tr w14:paraId="14182999">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6338FD90">
            <w:pPr>
              <w:jc w:val="center"/>
              <w:rPr>
                <w:rFonts w:hint="eastAsia" w:ascii="宋体" w:hAnsi="宋体" w:cs="宋体"/>
                <w:color w:val="auto"/>
                <w:sz w:val="18"/>
                <w:szCs w:val="18"/>
              </w:rPr>
            </w:pPr>
          </w:p>
        </w:tc>
        <w:tc>
          <w:tcPr>
            <w:tcW w:w="1500" w:type="dxa"/>
            <w:tcBorders>
              <w:top w:val="single" w:color="000000" w:sz="4" w:space="0"/>
              <w:left w:val="single" w:color="000000" w:sz="4" w:space="0"/>
            </w:tcBorders>
            <w:shd w:val="clear" w:color="auto" w:fill="FFFFFF"/>
            <w:vAlign w:val="center"/>
          </w:tcPr>
          <w:p w14:paraId="2192A8FE">
            <w:pPr>
              <w:jc w:val="left"/>
              <w:rPr>
                <w:rFonts w:hint="eastAsia" w:ascii="宋体" w:hAnsi="宋体" w:cs="宋体"/>
                <w:color w:val="auto"/>
                <w:sz w:val="18"/>
                <w:szCs w:val="18"/>
              </w:rPr>
            </w:pPr>
          </w:p>
        </w:tc>
        <w:tc>
          <w:tcPr>
            <w:tcW w:w="2423" w:type="dxa"/>
            <w:tcBorders>
              <w:top w:val="single" w:color="000000" w:sz="4" w:space="0"/>
              <w:left w:val="single" w:color="000000" w:sz="4" w:space="0"/>
            </w:tcBorders>
            <w:shd w:val="clear" w:color="auto" w:fill="FFFFFF"/>
            <w:vAlign w:val="center"/>
          </w:tcPr>
          <w:p w14:paraId="77F3AF24">
            <w:pPr>
              <w:jc w:val="left"/>
              <w:rPr>
                <w:rFonts w:hint="eastAsia" w:ascii="宋体" w:hAnsi="宋体" w:cs="宋体"/>
                <w:color w:val="auto"/>
                <w:sz w:val="18"/>
                <w:szCs w:val="18"/>
              </w:rPr>
            </w:pPr>
          </w:p>
        </w:tc>
        <w:tc>
          <w:tcPr>
            <w:tcW w:w="3105" w:type="dxa"/>
            <w:tcBorders>
              <w:top w:val="single" w:color="000000" w:sz="4" w:space="0"/>
              <w:left w:val="single" w:color="000000" w:sz="4" w:space="0"/>
            </w:tcBorders>
            <w:shd w:val="clear" w:color="auto" w:fill="FFFFFF"/>
            <w:vAlign w:val="center"/>
          </w:tcPr>
          <w:p w14:paraId="7964D159">
            <w:pPr>
              <w:jc w:val="left"/>
              <w:rPr>
                <w:rFonts w:hint="eastAsia" w:ascii="宋体" w:hAnsi="宋体" w:cs="宋体"/>
                <w:color w:val="auto"/>
                <w:sz w:val="18"/>
                <w:szCs w:val="18"/>
              </w:rPr>
            </w:pPr>
          </w:p>
        </w:tc>
        <w:tc>
          <w:tcPr>
            <w:tcW w:w="675" w:type="dxa"/>
            <w:tcBorders>
              <w:top w:val="single" w:color="000000" w:sz="4" w:space="0"/>
              <w:left w:val="single" w:color="000000" w:sz="4" w:space="0"/>
            </w:tcBorders>
            <w:shd w:val="clear" w:color="auto" w:fill="FFFFFF"/>
            <w:vAlign w:val="center"/>
          </w:tcPr>
          <w:p w14:paraId="45F11550">
            <w:pPr>
              <w:jc w:val="center"/>
              <w:rPr>
                <w:rFonts w:hint="eastAsia" w:ascii="宋体" w:hAnsi="宋体" w:cs="宋体"/>
                <w:color w:val="auto"/>
                <w:sz w:val="18"/>
                <w:szCs w:val="18"/>
              </w:rPr>
            </w:pPr>
          </w:p>
        </w:tc>
        <w:tc>
          <w:tcPr>
            <w:tcW w:w="1065" w:type="dxa"/>
            <w:tcBorders>
              <w:top w:val="single" w:color="000000" w:sz="4" w:space="0"/>
              <w:left w:val="single" w:color="000000" w:sz="4" w:space="0"/>
            </w:tcBorders>
            <w:shd w:val="clear" w:color="auto" w:fill="FFFFFF"/>
            <w:vAlign w:val="center"/>
          </w:tcPr>
          <w:p w14:paraId="2F04EEB8">
            <w:pPr>
              <w:jc w:val="right"/>
              <w:rPr>
                <w:rFonts w:hint="eastAsia" w:ascii="宋体" w:hAnsi="宋体" w:cs="宋体"/>
                <w:color w:val="auto"/>
                <w:sz w:val="18"/>
                <w:szCs w:val="18"/>
              </w:rPr>
            </w:pPr>
          </w:p>
        </w:tc>
        <w:tc>
          <w:tcPr>
            <w:tcW w:w="1080" w:type="dxa"/>
            <w:tcBorders>
              <w:top w:val="single" w:color="000000" w:sz="4" w:space="0"/>
              <w:left w:val="single" w:color="000000" w:sz="4" w:space="0"/>
            </w:tcBorders>
            <w:shd w:val="clear" w:color="auto" w:fill="FFFFFF"/>
            <w:vAlign w:val="center"/>
          </w:tcPr>
          <w:p w14:paraId="2F1C39F0">
            <w:pPr>
              <w:jc w:val="right"/>
              <w:rPr>
                <w:rFonts w:hint="eastAsia" w:ascii="宋体" w:hAnsi="宋体" w:cs="宋体"/>
                <w:color w:val="auto"/>
                <w:sz w:val="18"/>
                <w:szCs w:val="18"/>
              </w:rPr>
            </w:pPr>
          </w:p>
        </w:tc>
        <w:tc>
          <w:tcPr>
            <w:tcW w:w="1035" w:type="dxa"/>
            <w:tcBorders>
              <w:top w:val="single" w:color="000000" w:sz="4" w:space="0"/>
              <w:left w:val="single" w:color="000000" w:sz="4" w:space="0"/>
            </w:tcBorders>
            <w:shd w:val="clear" w:color="auto" w:fill="FFFFFF"/>
            <w:vAlign w:val="center"/>
          </w:tcPr>
          <w:p w14:paraId="771E42D6">
            <w:pPr>
              <w:jc w:val="right"/>
              <w:rPr>
                <w:rFonts w:hint="eastAsia" w:ascii="宋体" w:hAnsi="宋体" w:cs="宋体"/>
                <w:color w:val="auto"/>
                <w:sz w:val="18"/>
                <w:szCs w:val="18"/>
              </w:rPr>
            </w:pPr>
          </w:p>
        </w:tc>
        <w:tc>
          <w:tcPr>
            <w:tcW w:w="1005" w:type="dxa"/>
            <w:tcBorders>
              <w:top w:val="single" w:color="000000" w:sz="4" w:space="0"/>
              <w:left w:val="single" w:color="000000" w:sz="4" w:space="0"/>
            </w:tcBorders>
            <w:shd w:val="clear" w:color="auto" w:fill="FFFFFF"/>
            <w:vAlign w:val="center"/>
          </w:tcPr>
          <w:p w14:paraId="28D10C1E">
            <w:pPr>
              <w:jc w:val="right"/>
              <w:rPr>
                <w:rFonts w:hint="eastAsia" w:ascii="宋体" w:hAnsi="宋体" w:cs="宋体"/>
                <w:color w:val="auto"/>
                <w:sz w:val="18"/>
                <w:szCs w:val="18"/>
              </w:rPr>
            </w:pPr>
          </w:p>
        </w:tc>
        <w:tc>
          <w:tcPr>
            <w:tcW w:w="1095" w:type="dxa"/>
            <w:tcBorders>
              <w:top w:val="single" w:color="000000" w:sz="4" w:space="0"/>
              <w:left w:val="single" w:color="000000" w:sz="4" w:space="0"/>
            </w:tcBorders>
            <w:shd w:val="clear" w:color="auto" w:fill="FFFFFF"/>
            <w:vAlign w:val="center"/>
          </w:tcPr>
          <w:p w14:paraId="5AA35641">
            <w:pPr>
              <w:jc w:val="right"/>
              <w:rPr>
                <w:rFonts w:hint="eastAsia" w:ascii="宋体" w:hAnsi="宋体" w:cs="宋体"/>
                <w:color w:val="auto"/>
                <w:sz w:val="18"/>
                <w:szCs w:val="18"/>
              </w:rPr>
            </w:pPr>
          </w:p>
        </w:tc>
        <w:tc>
          <w:tcPr>
            <w:tcW w:w="1170" w:type="dxa"/>
            <w:tcBorders>
              <w:top w:val="single" w:color="000000" w:sz="4" w:space="0"/>
              <w:left w:val="single" w:color="000000" w:sz="4" w:space="0"/>
            </w:tcBorders>
            <w:shd w:val="clear" w:color="auto" w:fill="FFFFFF"/>
            <w:vAlign w:val="center"/>
          </w:tcPr>
          <w:p w14:paraId="792899B8">
            <w:pPr>
              <w:jc w:val="right"/>
              <w:rPr>
                <w:rFonts w:hint="eastAsia" w:ascii="宋体" w:hAnsi="宋体" w:cs="宋体"/>
                <w:color w:val="auto"/>
                <w:sz w:val="18"/>
                <w:szCs w:val="18"/>
              </w:rPr>
            </w:pPr>
          </w:p>
        </w:tc>
        <w:tc>
          <w:tcPr>
            <w:tcW w:w="1089" w:type="dxa"/>
            <w:tcBorders>
              <w:top w:val="single" w:color="000000" w:sz="4" w:space="0"/>
              <w:left w:val="single" w:color="000000" w:sz="4" w:space="0"/>
              <w:right w:val="single" w:color="000000" w:sz="4" w:space="0"/>
            </w:tcBorders>
            <w:shd w:val="clear" w:color="auto" w:fill="FFFFFF"/>
            <w:vAlign w:val="center"/>
          </w:tcPr>
          <w:p w14:paraId="294C8CCC">
            <w:pPr>
              <w:jc w:val="left"/>
              <w:rPr>
                <w:rFonts w:hint="eastAsia" w:ascii="宋体" w:hAnsi="宋体" w:cs="宋体"/>
                <w:color w:val="auto"/>
                <w:sz w:val="18"/>
                <w:szCs w:val="18"/>
              </w:rPr>
            </w:pPr>
          </w:p>
        </w:tc>
      </w:tr>
      <w:tr w14:paraId="2C40A617">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bottom w:val="single" w:color="000000" w:sz="4" w:space="0"/>
            </w:tcBorders>
            <w:shd w:val="clear" w:color="auto" w:fill="FFFFFF"/>
            <w:vAlign w:val="center"/>
          </w:tcPr>
          <w:p w14:paraId="557CA8F9">
            <w:pPr>
              <w:jc w:val="center"/>
              <w:rPr>
                <w:rFonts w:hint="eastAsia" w:ascii="宋体" w:hAnsi="宋体" w:cs="宋体"/>
                <w:color w:val="auto"/>
                <w:sz w:val="18"/>
                <w:szCs w:val="18"/>
              </w:rPr>
            </w:pPr>
          </w:p>
        </w:tc>
        <w:tc>
          <w:tcPr>
            <w:tcW w:w="1500" w:type="dxa"/>
            <w:tcBorders>
              <w:top w:val="single" w:color="000000" w:sz="4" w:space="0"/>
              <w:left w:val="single" w:color="000000" w:sz="4" w:space="0"/>
              <w:bottom w:val="single" w:color="000000" w:sz="4" w:space="0"/>
            </w:tcBorders>
            <w:shd w:val="clear" w:color="auto" w:fill="FFFFFF"/>
            <w:vAlign w:val="center"/>
          </w:tcPr>
          <w:p w14:paraId="24913E4C">
            <w:pPr>
              <w:jc w:val="left"/>
              <w:rPr>
                <w:rFonts w:hint="eastAsia" w:ascii="宋体" w:hAnsi="宋体" w:cs="宋体"/>
                <w:color w:val="auto"/>
                <w:sz w:val="18"/>
                <w:szCs w:val="18"/>
              </w:rPr>
            </w:pPr>
          </w:p>
        </w:tc>
        <w:tc>
          <w:tcPr>
            <w:tcW w:w="2423" w:type="dxa"/>
            <w:tcBorders>
              <w:top w:val="single" w:color="000000" w:sz="4" w:space="0"/>
              <w:left w:val="single" w:color="000000" w:sz="4" w:space="0"/>
              <w:bottom w:val="single" w:color="000000" w:sz="4" w:space="0"/>
            </w:tcBorders>
            <w:shd w:val="clear" w:color="auto" w:fill="FFFFFF"/>
            <w:vAlign w:val="center"/>
          </w:tcPr>
          <w:p w14:paraId="1F9BBCB1">
            <w:pPr>
              <w:jc w:val="left"/>
              <w:rPr>
                <w:rFonts w:hint="eastAsia" w:ascii="宋体" w:hAnsi="宋体" w:cs="宋体"/>
                <w:color w:val="auto"/>
                <w:sz w:val="18"/>
                <w:szCs w:val="18"/>
              </w:rPr>
            </w:pPr>
          </w:p>
        </w:tc>
        <w:tc>
          <w:tcPr>
            <w:tcW w:w="3105" w:type="dxa"/>
            <w:tcBorders>
              <w:top w:val="single" w:color="000000" w:sz="4" w:space="0"/>
              <w:left w:val="single" w:color="000000" w:sz="4" w:space="0"/>
              <w:bottom w:val="single" w:color="000000" w:sz="4" w:space="0"/>
            </w:tcBorders>
            <w:shd w:val="clear" w:color="auto" w:fill="FFFFFF"/>
            <w:vAlign w:val="center"/>
          </w:tcPr>
          <w:p w14:paraId="14558C0C">
            <w:pPr>
              <w:jc w:val="left"/>
              <w:rPr>
                <w:rFonts w:hint="eastAsia" w:ascii="宋体" w:hAnsi="宋体" w:cs="宋体"/>
                <w:color w:val="auto"/>
                <w:sz w:val="18"/>
                <w:szCs w:val="18"/>
              </w:rPr>
            </w:pPr>
          </w:p>
        </w:tc>
        <w:tc>
          <w:tcPr>
            <w:tcW w:w="675" w:type="dxa"/>
            <w:tcBorders>
              <w:top w:val="single" w:color="000000" w:sz="4" w:space="0"/>
              <w:left w:val="single" w:color="000000" w:sz="4" w:space="0"/>
              <w:bottom w:val="single" w:color="000000" w:sz="4" w:space="0"/>
            </w:tcBorders>
            <w:shd w:val="clear" w:color="auto" w:fill="FFFFFF"/>
            <w:vAlign w:val="center"/>
          </w:tcPr>
          <w:p w14:paraId="229F3478">
            <w:pPr>
              <w:jc w:val="center"/>
              <w:rPr>
                <w:rFonts w:hint="eastAsia" w:ascii="宋体" w:hAnsi="宋体" w:cs="宋体"/>
                <w:color w:val="auto"/>
                <w:sz w:val="18"/>
                <w:szCs w:val="18"/>
              </w:rPr>
            </w:pPr>
          </w:p>
        </w:tc>
        <w:tc>
          <w:tcPr>
            <w:tcW w:w="1065" w:type="dxa"/>
            <w:tcBorders>
              <w:top w:val="single" w:color="000000" w:sz="4" w:space="0"/>
              <w:left w:val="single" w:color="000000" w:sz="4" w:space="0"/>
              <w:bottom w:val="single" w:color="000000" w:sz="4" w:space="0"/>
            </w:tcBorders>
            <w:shd w:val="clear" w:color="auto" w:fill="FFFFFF"/>
            <w:vAlign w:val="center"/>
          </w:tcPr>
          <w:p w14:paraId="2003200F">
            <w:pPr>
              <w:jc w:val="right"/>
              <w:rPr>
                <w:rFonts w:hint="eastAsia" w:ascii="宋体" w:hAnsi="宋体" w:cs="宋体"/>
                <w:color w:val="auto"/>
                <w:sz w:val="18"/>
                <w:szCs w:val="18"/>
              </w:rPr>
            </w:pPr>
          </w:p>
        </w:tc>
        <w:tc>
          <w:tcPr>
            <w:tcW w:w="1080" w:type="dxa"/>
            <w:tcBorders>
              <w:top w:val="single" w:color="000000" w:sz="4" w:space="0"/>
              <w:left w:val="single" w:color="000000" w:sz="4" w:space="0"/>
              <w:bottom w:val="single" w:color="000000" w:sz="4" w:space="0"/>
            </w:tcBorders>
            <w:shd w:val="clear" w:color="auto" w:fill="FFFFFF"/>
            <w:vAlign w:val="center"/>
          </w:tcPr>
          <w:p w14:paraId="2F8141D6">
            <w:pPr>
              <w:jc w:val="right"/>
              <w:rPr>
                <w:rFonts w:hint="eastAsia" w:ascii="宋体" w:hAnsi="宋体" w:cs="宋体"/>
                <w:color w:val="auto"/>
                <w:sz w:val="18"/>
                <w:szCs w:val="18"/>
              </w:rPr>
            </w:pPr>
          </w:p>
        </w:tc>
        <w:tc>
          <w:tcPr>
            <w:tcW w:w="1035" w:type="dxa"/>
            <w:tcBorders>
              <w:top w:val="single" w:color="000000" w:sz="4" w:space="0"/>
              <w:left w:val="single" w:color="000000" w:sz="4" w:space="0"/>
              <w:bottom w:val="single" w:color="000000" w:sz="4" w:space="0"/>
            </w:tcBorders>
            <w:shd w:val="clear" w:color="auto" w:fill="FFFFFF"/>
            <w:vAlign w:val="center"/>
          </w:tcPr>
          <w:p w14:paraId="6EBDCE24">
            <w:pPr>
              <w:jc w:val="right"/>
              <w:rPr>
                <w:rFonts w:hint="eastAsia" w:ascii="宋体" w:hAnsi="宋体" w:cs="宋体"/>
                <w:color w:val="auto"/>
                <w:sz w:val="18"/>
                <w:szCs w:val="18"/>
              </w:rPr>
            </w:pPr>
          </w:p>
        </w:tc>
        <w:tc>
          <w:tcPr>
            <w:tcW w:w="1005" w:type="dxa"/>
            <w:tcBorders>
              <w:top w:val="single" w:color="000000" w:sz="4" w:space="0"/>
              <w:left w:val="single" w:color="000000" w:sz="4" w:space="0"/>
              <w:bottom w:val="single" w:color="000000" w:sz="4" w:space="0"/>
            </w:tcBorders>
            <w:shd w:val="clear" w:color="auto" w:fill="FFFFFF"/>
            <w:vAlign w:val="center"/>
          </w:tcPr>
          <w:p w14:paraId="07257B03">
            <w:pPr>
              <w:jc w:val="right"/>
              <w:rPr>
                <w:rFonts w:hint="eastAsia" w:ascii="宋体" w:hAnsi="宋体" w:cs="宋体"/>
                <w:color w:val="auto"/>
                <w:sz w:val="18"/>
                <w:szCs w:val="18"/>
              </w:rPr>
            </w:pPr>
          </w:p>
        </w:tc>
        <w:tc>
          <w:tcPr>
            <w:tcW w:w="1095" w:type="dxa"/>
            <w:tcBorders>
              <w:top w:val="single" w:color="000000" w:sz="4" w:space="0"/>
              <w:left w:val="single" w:color="000000" w:sz="4" w:space="0"/>
              <w:bottom w:val="single" w:color="000000" w:sz="4" w:space="0"/>
            </w:tcBorders>
            <w:shd w:val="clear" w:color="auto" w:fill="FFFFFF"/>
            <w:vAlign w:val="center"/>
          </w:tcPr>
          <w:p w14:paraId="23D7E173">
            <w:pPr>
              <w:jc w:val="right"/>
              <w:rPr>
                <w:rFonts w:hint="eastAsia" w:ascii="宋体" w:hAnsi="宋体" w:cs="宋体"/>
                <w:color w:val="auto"/>
                <w:sz w:val="18"/>
                <w:szCs w:val="18"/>
              </w:rPr>
            </w:pPr>
          </w:p>
        </w:tc>
        <w:tc>
          <w:tcPr>
            <w:tcW w:w="1170" w:type="dxa"/>
            <w:tcBorders>
              <w:top w:val="single" w:color="000000" w:sz="4" w:space="0"/>
              <w:left w:val="single" w:color="000000" w:sz="4" w:space="0"/>
              <w:bottom w:val="single" w:color="000000" w:sz="4" w:space="0"/>
            </w:tcBorders>
            <w:shd w:val="clear" w:color="auto" w:fill="FFFFFF"/>
            <w:vAlign w:val="center"/>
          </w:tcPr>
          <w:p w14:paraId="5AF044D1">
            <w:pPr>
              <w:jc w:val="right"/>
              <w:rPr>
                <w:rFonts w:hint="eastAsia" w:ascii="宋体" w:hAnsi="宋体" w:cs="宋体"/>
                <w:color w:val="auto"/>
                <w:sz w:val="18"/>
                <w:szCs w:val="18"/>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FCC4">
            <w:pPr>
              <w:jc w:val="left"/>
              <w:rPr>
                <w:rFonts w:hint="eastAsia" w:ascii="宋体" w:hAnsi="宋体" w:cs="宋体"/>
                <w:color w:val="auto"/>
                <w:sz w:val="18"/>
                <w:szCs w:val="18"/>
              </w:rPr>
            </w:pPr>
          </w:p>
        </w:tc>
      </w:tr>
      <w:tr w14:paraId="5B690094">
        <w:tblPrEx>
          <w:tblCellMar>
            <w:top w:w="15" w:type="dxa"/>
            <w:left w:w="15" w:type="dxa"/>
            <w:bottom w:w="15" w:type="dxa"/>
            <w:right w:w="15" w:type="dxa"/>
          </w:tblCellMar>
        </w:tblPrEx>
        <w:trPr>
          <w:trHeight w:val="450" w:hRule="atLeast"/>
        </w:trPr>
        <w:tc>
          <w:tcPr>
            <w:tcW w:w="106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54C0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本页小计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8962">
            <w:pPr>
              <w:jc w:val="right"/>
              <w:rPr>
                <w:rFonts w:hint="eastAsia" w:ascii="宋体" w:hAnsi="宋体" w:cs="宋体"/>
                <w:color w:val="auto"/>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F941">
            <w:pPr>
              <w:jc w:val="right"/>
              <w:rPr>
                <w:rFonts w:hint="eastAsia" w:ascii="宋体" w:hAnsi="宋体" w:cs="宋体"/>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7ACC">
            <w:pPr>
              <w:jc w:val="right"/>
              <w:rPr>
                <w:rFonts w:hint="eastAsia" w:ascii="宋体" w:hAnsi="宋体" w:cs="宋体"/>
                <w:color w:val="auto"/>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1298">
            <w:pPr>
              <w:jc w:val="right"/>
              <w:rPr>
                <w:rFonts w:hint="eastAsia" w:ascii="宋体" w:hAnsi="宋体" w:cs="宋体"/>
                <w:color w:val="auto"/>
                <w:sz w:val="18"/>
                <w:szCs w:val="18"/>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C54EE">
            <w:pPr>
              <w:jc w:val="center"/>
              <w:rPr>
                <w:rFonts w:hint="eastAsia" w:ascii="宋体" w:hAnsi="宋体" w:cs="宋体"/>
                <w:color w:val="auto"/>
                <w:sz w:val="18"/>
                <w:szCs w:val="18"/>
              </w:rPr>
            </w:pPr>
          </w:p>
        </w:tc>
      </w:tr>
    </w:tbl>
    <w:p w14:paraId="7C3D174B">
      <w:pPr>
        <w:rPr>
          <w:rFonts w:hint="eastAsia"/>
          <w:color w:val="auto"/>
        </w:rPr>
        <w:sectPr>
          <w:pgSz w:w="16838" w:h="11906" w:orient="landscape"/>
          <w:pgMar w:top="1134" w:right="1134" w:bottom="1134" w:left="1134" w:header="851" w:footer="992" w:gutter="0"/>
          <w:cols w:space="720" w:num="1"/>
          <w:docGrid w:linePitch="312" w:charSpace="0"/>
        </w:sectPr>
      </w:pPr>
    </w:p>
    <w:bookmarkEnd w:id="73"/>
    <w:bookmarkEnd w:id="74"/>
    <w:bookmarkEnd w:id="75"/>
    <w:bookmarkEnd w:id="76"/>
    <w:p w14:paraId="6CF5396E">
      <w:pPr>
        <w:pStyle w:val="3"/>
        <w:spacing w:line="440" w:lineRule="exact"/>
        <w:rPr>
          <w:rFonts w:hint="eastAsia" w:ascii="黑体" w:hAnsi="宋体"/>
          <w:color w:val="auto"/>
          <w:sz w:val="24"/>
          <w:szCs w:val="24"/>
        </w:rPr>
      </w:pPr>
      <w:bookmarkStart w:id="79" w:name="_Toc13435"/>
      <w:bookmarkStart w:id="80" w:name="_Toc101604735"/>
      <w:bookmarkStart w:id="81" w:name="_Toc26527431"/>
      <w:bookmarkStart w:id="82" w:name="_Toc1250"/>
      <w:bookmarkStart w:id="83" w:name="_Toc3840282"/>
      <w:bookmarkStart w:id="84" w:name="_Toc1087"/>
      <w:r>
        <w:rPr>
          <w:rFonts w:hint="eastAsia" w:ascii="黑体" w:hAnsi="宋体"/>
          <w:color w:val="auto"/>
          <w:sz w:val="24"/>
          <w:szCs w:val="24"/>
        </w:rPr>
        <w:t>附件8 施工组织（总价）措施项目清单与计价表</w:t>
      </w:r>
      <w:bookmarkEnd w:id="79"/>
      <w:bookmarkEnd w:id="80"/>
      <w:bookmarkEnd w:id="81"/>
      <w:bookmarkEnd w:id="82"/>
    </w:p>
    <w:p w14:paraId="258ADBCF">
      <w:pPr>
        <w:spacing w:line="600" w:lineRule="exact"/>
        <w:jc w:val="center"/>
        <w:rPr>
          <w:rFonts w:hint="eastAsia"/>
          <w:b/>
          <w:color w:val="auto"/>
          <w:sz w:val="36"/>
          <w:szCs w:val="36"/>
        </w:rPr>
      </w:pPr>
      <w:r>
        <w:rPr>
          <w:rFonts w:hint="eastAsia"/>
          <w:b/>
          <w:color w:val="auto"/>
          <w:sz w:val="36"/>
          <w:szCs w:val="36"/>
        </w:rPr>
        <w:t>施工组织（总价）措施项目清单与计价表</w:t>
      </w:r>
    </w:p>
    <w:p w14:paraId="1EF3700D">
      <w:pPr>
        <w:spacing w:line="600" w:lineRule="exact"/>
        <w:rPr>
          <w:rFonts w:hint="eastAsia"/>
          <w:b/>
          <w:color w:val="auto"/>
          <w:sz w:val="36"/>
          <w:szCs w:val="36"/>
        </w:rPr>
      </w:pPr>
      <w:r>
        <w:rPr>
          <w:rFonts w:hint="eastAsia"/>
          <w:color w:val="auto"/>
          <w:sz w:val="22"/>
          <w:szCs w:val="22"/>
        </w:rPr>
        <w:t>工程名称：                                                          第    页 共    页</w:t>
      </w:r>
    </w:p>
    <w:tbl>
      <w:tblPr>
        <w:tblStyle w:val="37"/>
        <w:tblW w:w="0" w:type="auto"/>
        <w:tblInd w:w="0" w:type="dxa"/>
        <w:tblLayout w:type="fixed"/>
        <w:tblCellMar>
          <w:top w:w="15" w:type="dxa"/>
          <w:left w:w="15" w:type="dxa"/>
          <w:bottom w:w="15" w:type="dxa"/>
          <w:right w:w="15" w:type="dxa"/>
        </w:tblCellMar>
      </w:tblPr>
      <w:tblGrid>
        <w:gridCol w:w="734"/>
        <w:gridCol w:w="1576"/>
        <w:gridCol w:w="2340"/>
        <w:gridCol w:w="2010"/>
        <w:gridCol w:w="825"/>
        <w:gridCol w:w="1463"/>
        <w:gridCol w:w="955"/>
      </w:tblGrid>
      <w:tr w14:paraId="15D337B0">
        <w:tblPrEx>
          <w:tblCellMar>
            <w:top w:w="15" w:type="dxa"/>
            <w:left w:w="15" w:type="dxa"/>
            <w:bottom w:w="15" w:type="dxa"/>
            <w:right w:w="15" w:type="dxa"/>
          </w:tblCellMar>
        </w:tblPrEx>
        <w:trPr>
          <w:trHeight w:val="855" w:hRule="atLeast"/>
        </w:trPr>
        <w:tc>
          <w:tcPr>
            <w:tcW w:w="734" w:type="dxa"/>
            <w:tcBorders>
              <w:top w:val="single" w:color="000000" w:sz="4" w:space="0"/>
              <w:left w:val="single" w:color="000000" w:sz="4" w:space="0"/>
            </w:tcBorders>
            <w:shd w:val="clear" w:color="auto" w:fill="FFFFFF"/>
            <w:noWrap w:val="0"/>
            <w:vAlign w:val="center"/>
          </w:tcPr>
          <w:p w14:paraId="1469A4B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序号</w:t>
            </w:r>
          </w:p>
        </w:tc>
        <w:tc>
          <w:tcPr>
            <w:tcW w:w="1576" w:type="dxa"/>
            <w:tcBorders>
              <w:top w:val="single" w:color="000000" w:sz="4" w:space="0"/>
              <w:left w:val="single" w:color="000000" w:sz="4" w:space="0"/>
            </w:tcBorders>
            <w:shd w:val="clear" w:color="auto" w:fill="FFFFFF"/>
            <w:noWrap w:val="0"/>
            <w:vAlign w:val="center"/>
          </w:tcPr>
          <w:p w14:paraId="14EF1AC2">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项目编号</w:t>
            </w:r>
          </w:p>
        </w:tc>
        <w:tc>
          <w:tcPr>
            <w:tcW w:w="2340" w:type="dxa"/>
            <w:tcBorders>
              <w:top w:val="single" w:color="000000" w:sz="4" w:space="0"/>
              <w:left w:val="single" w:color="000000" w:sz="4" w:space="0"/>
            </w:tcBorders>
            <w:shd w:val="clear" w:color="auto" w:fill="FFFFFF"/>
            <w:noWrap w:val="0"/>
            <w:vAlign w:val="center"/>
          </w:tcPr>
          <w:p w14:paraId="275BBA9F">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项目名称</w:t>
            </w:r>
          </w:p>
        </w:tc>
        <w:tc>
          <w:tcPr>
            <w:tcW w:w="2010" w:type="dxa"/>
            <w:tcBorders>
              <w:top w:val="single" w:color="000000" w:sz="4" w:space="0"/>
              <w:left w:val="single" w:color="000000" w:sz="4" w:space="0"/>
            </w:tcBorders>
            <w:shd w:val="clear" w:color="auto" w:fill="FFFFFF"/>
            <w:noWrap w:val="0"/>
            <w:vAlign w:val="center"/>
          </w:tcPr>
          <w:p w14:paraId="19946E7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计算基础</w:t>
            </w:r>
          </w:p>
        </w:tc>
        <w:tc>
          <w:tcPr>
            <w:tcW w:w="825" w:type="dxa"/>
            <w:tcBorders>
              <w:top w:val="single" w:color="000000" w:sz="4" w:space="0"/>
              <w:left w:val="single" w:color="000000" w:sz="4" w:space="0"/>
            </w:tcBorders>
            <w:shd w:val="clear" w:color="auto" w:fill="FFFFFF"/>
            <w:noWrap w:val="0"/>
            <w:vAlign w:val="center"/>
          </w:tcPr>
          <w:p w14:paraId="465CF9B3">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费率</w:t>
            </w:r>
          </w:p>
          <w:p w14:paraId="19DAAFE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w:t>
            </w:r>
          </w:p>
        </w:tc>
        <w:tc>
          <w:tcPr>
            <w:tcW w:w="1463" w:type="dxa"/>
            <w:tcBorders>
              <w:top w:val="single" w:color="000000" w:sz="4" w:space="0"/>
              <w:left w:val="single" w:color="000000" w:sz="4" w:space="0"/>
            </w:tcBorders>
            <w:shd w:val="clear" w:color="auto" w:fill="FFFFFF"/>
            <w:noWrap w:val="0"/>
            <w:vAlign w:val="center"/>
          </w:tcPr>
          <w:p w14:paraId="1B3DA9C8">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金额</w:t>
            </w:r>
          </w:p>
          <w:p w14:paraId="7EFDA92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(元)</w:t>
            </w:r>
          </w:p>
        </w:tc>
        <w:tc>
          <w:tcPr>
            <w:tcW w:w="955" w:type="dxa"/>
            <w:tcBorders>
              <w:top w:val="single" w:color="000000" w:sz="4" w:space="0"/>
              <w:left w:val="single" w:color="000000" w:sz="4" w:space="0"/>
              <w:right w:val="single" w:color="000000" w:sz="4" w:space="0"/>
            </w:tcBorders>
            <w:shd w:val="clear" w:color="auto" w:fill="FFFFFF"/>
            <w:noWrap w:val="0"/>
            <w:vAlign w:val="center"/>
          </w:tcPr>
          <w:p w14:paraId="2AD3D2C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备注</w:t>
            </w:r>
          </w:p>
        </w:tc>
      </w:tr>
      <w:tr w14:paraId="3B76BCFD">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1688627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1576" w:type="dxa"/>
            <w:tcBorders>
              <w:top w:val="single" w:color="000000" w:sz="4" w:space="0"/>
              <w:left w:val="single" w:color="000000" w:sz="4" w:space="0"/>
            </w:tcBorders>
            <w:shd w:val="clear" w:color="auto" w:fill="FFFFFF"/>
            <w:noWrap w:val="0"/>
            <w:vAlign w:val="center"/>
          </w:tcPr>
          <w:p w14:paraId="64764043">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011707001001</w:t>
            </w:r>
          </w:p>
        </w:tc>
        <w:tc>
          <w:tcPr>
            <w:tcW w:w="2340" w:type="dxa"/>
            <w:tcBorders>
              <w:top w:val="single" w:color="000000" w:sz="4" w:space="0"/>
              <w:left w:val="single" w:color="000000" w:sz="4" w:space="0"/>
            </w:tcBorders>
            <w:shd w:val="clear" w:color="auto" w:fill="FFFFFF"/>
            <w:noWrap w:val="0"/>
            <w:vAlign w:val="center"/>
          </w:tcPr>
          <w:p w14:paraId="6BD527AE">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安全文明施工费</w:t>
            </w:r>
          </w:p>
        </w:tc>
        <w:tc>
          <w:tcPr>
            <w:tcW w:w="2010" w:type="dxa"/>
            <w:tcBorders>
              <w:top w:val="single" w:color="000000" w:sz="4" w:space="0"/>
              <w:left w:val="single" w:color="000000" w:sz="4" w:space="0"/>
            </w:tcBorders>
            <w:shd w:val="clear" w:color="auto" w:fill="FFFFFF"/>
            <w:noWrap w:val="0"/>
            <w:vAlign w:val="center"/>
          </w:tcPr>
          <w:p w14:paraId="4AA1249B">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0DE44EA7">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4CDA58BB">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02FA9C9">
            <w:pPr>
              <w:jc w:val="center"/>
              <w:rPr>
                <w:rFonts w:hint="eastAsia" w:ascii="宋体" w:hAnsi="宋体" w:cs="宋体"/>
                <w:color w:val="auto"/>
                <w:sz w:val="18"/>
                <w:szCs w:val="18"/>
              </w:rPr>
            </w:pPr>
          </w:p>
        </w:tc>
      </w:tr>
      <w:tr w14:paraId="37813E04">
        <w:tblPrEx>
          <w:tblCellMar>
            <w:top w:w="15" w:type="dxa"/>
            <w:left w:w="15" w:type="dxa"/>
            <w:bottom w:w="15" w:type="dxa"/>
            <w:right w:w="15" w:type="dxa"/>
          </w:tblCellMar>
        </w:tblPrEx>
        <w:trPr>
          <w:trHeight w:val="450" w:hRule="atLeast"/>
        </w:trPr>
        <w:tc>
          <w:tcPr>
            <w:tcW w:w="734" w:type="dxa"/>
            <w:tcBorders>
              <w:top w:val="single" w:color="000000" w:sz="4" w:space="0"/>
              <w:left w:val="single" w:color="000000" w:sz="4" w:space="0"/>
            </w:tcBorders>
            <w:shd w:val="clear" w:color="auto" w:fill="FFFFFF"/>
            <w:noWrap w:val="0"/>
            <w:vAlign w:val="center"/>
          </w:tcPr>
          <w:p w14:paraId="365ABAA6">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w:t>
            </w:r>
          </w:p>
        </w:tc>
        <w:tc>
          <w:tcPr>
            <w:tcW w:w="1576" w:type="dxa"/>
            <w:tcBorders>
              <w:top w:val="single" w:color="000000" w:sz="4" w:space="0"/>
              <w:left w:val="single" w:color="000000" w:sz="4" w:space="0"/>
            </w:tcBorders>
            <w:shd w:val="clear" w:color="auto" w:fill="FFFFFF"/>
            <w:noWrap w:val="0"/>
            <w:vAlign w:val="center"/>
          </w:tcPr>
          <w:p w14:paraId="6C6EB183">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w:t>
            </w:r>
          </w:p>
        </w:tc>
        <w:tc>
          <w:tcPr>
            <w:tcW w:w="2340" w:type="dxa"/>
            <w:tcBorders>
              <w:top w:val="single" w:color="000000" w:sz="4" w:space="0"/>
              <w:left w:val="single" w:color="000000" w:sz="4" w:space="0"/>
            </w:tcBorders>
            <w:shd w:val="clear" w:color="auto" w:fill="FFFFFF"/>
            <w:noWrap w:val="0"/>
            <w:vAlign w:val="center"/>
          </w:tcPr>
          <w:p w14:paraId="50491D65">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安全文明施工基本费</w:t>
            </w:r>
          </w:p>
        </w:tc>
        <w:tc>
          <w:tcPr>
            <w:tcW w:w="2010" w:type="dxa"/>
            <w:tcBorders>
              <w:top w:val="single" w:color="000000" w:sz="4" w:space="0"/>
              <w:left w:val="single" w:color="000000" w:sz="4" w:space="0"/>
            </w:tcBorders>
            <w:shd w:val="clear" w:color="auto" w:fill="FFFFFF"/>
            <w:noWrap w:val="0"/>
            <w:vAlign w:val="center"/>
          </w:tcPr>
          <w:p w14:paraId="1047F2EF">
            <w:pPr>
              <w:widowControl/>
              <w:jc w:val="center"/>
              <w:textAlignment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bottom"/>
          </w:tcPr>
          <w:p w14:paraId="331DE838">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3AC75C68">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084BA9A3">
            <w:pPr>
              <w:jc w:val="center"/>
              <w:rPr>
                <w:rFonts w:hint="eastAsia" w:ascii="宋体" w:hAnsi="宋体" w:cs="宋体"/>
                <w:color w:val="auto"/>
                <w:sz w:val="18"/>
                <w:szCs w:val="18"/>
              </w:rPr>
            </w:pPr>
          </w:p>
        </w:tc>
      </w:tr>
      <w:tr w14:paraId="06C25F4A">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4546378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1576" w:type="dxa"/>
            <w:tcBorders>
              <w:top w:val="single" w:color="000000" w:sz="4" w:space="0"/>
              <w:left w:val="single" w:color="000000" w:sz="4" w:space="0"/>
            </w:tcBorders>
            <w:shd w:val="clear" w:color="auto" w:fill="FFFFFF"/>
            <w:noWrap w:val="0"/>
            <w:vAlign w:val="center"/>
          </w:tcPr>
          <w:p w14:paraId="71ACC956">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Z01110900801</w:t>
            </w:r>
          </w:p>
        </w:tc>
        <w:tc>
          <w:tcPr>
            <w:tcW w:w="2340" w:type="dxa"/>
            <w:tcBorders>
              <w:top w:val="single" w:color="000000" w:sz="4" w:space="0"/>
              <w:left w:val="single" w:color="000000" w:sz="4" w:space="0"/>
            </w:tcBorders>
            <w:shd w:val="clear" w:color="auto" w:fill="FFFFFF"/>
            <w:noWrap w:val="0"/>
            <w:vAlign w:val="center"/>
          </w:tcPr>
          <w:p w14:paraId="1DFCA1A4">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提前竣工增加费</w:t>
            </w:r>
          </w:p>
        </w:tc>
        <w:tc>
          <w:tcPr>
            <w:tcW w:w="2010" w:type="dxa"/>
            <w:tcBorders>
              <w:top w:val="single" w:color="000000" w:sz="4" w:space="0"/>
              <w:left w:val="single" w:color="000000" w:sz="4" w:space="0"/>
            </w:tcBorders>
            <w:shd w:val="clear" w:color="auto" w:fill="FFFFFF"/>
            <w:noWrap w:val="0"/>
            <w:vAlign w:val="center"/>
          </w:tcPr>
          <w:p w14:paraId="74EE59A5">
            <w:pPr>
              <w:widowControl/>
              <w:jc w:val="center"/>
              <w:textAlignment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0E4E018A">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1004A489">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052ED078">
            <w:pPr>
              <w:jc w:val="center"/>
              <w:rPr>
                <w:rFonts w:hint="eastAsia" w:ascii="宋体" w:hAnsi="宋体" w:cs="宋体"/>
                <w:color w:val="auto"/>
                <w:sz w:val="18"/>
                <w:szCs w:val="18"/>
              </w:rPr>
            </w:pPr>
          </w:p>
        </w:tc>
      </w:tr>
      <w:tr w14:paraId="3FB22A44">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7055C2E6">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w:t>
            </w:r>
          </w:p>
        </w:tc>
        <w:tc>
          <w:tcPr>
            <w:tcW w:w="1576" w:type="dxa"/>
            <w:tcBorders>
              <w:top w:val="single" w:color="000000" w:sz="4" w:space="0"/>
              <w:left w:val="single" w:color="000000" w:sz="4" w:space="0"/>
            </w:tcBorders>
            <w:shd w:val="clear" w:color="auto" w:fill="FFFFFF"/>
            <w:noWrap w:val="0"/>
            <w:vAlign w:val="center"/>
          </w:tcPr>
          <w:p w14:paraId="0B6189E3">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011707004001</w:t>
            </w:r>
          </w:p>
        </w:tc>
        <w:tc>
          <w:tcPr>
            <w:tcW w:w="2340" w:type="dxa"/>
            <w:tcBorders>
              <w:top w:val="single" w:color="000000" w:sz="4" w:space="0"/>
              <w:left w:val="single" w:color="000000" w:sz="4" w:space="0"/>
            </w:tcBorders>
            <w:shd w:val="clear" w:color="auto" w:fill="FFFFFF"/>
            <w:noWrap w:val="0"/>
            <w:vAlign w:val="center"/>
          </w:tcPr>
          <w:p w14:paraId="1DCAD3E4">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二次搬运费</w:t>
            </w:r>
          </w:p>
        </w:tc>
        <w:tc>
          <w:tcPr>
            <w:tcW w:w="2010" w:type="dxa"/>
            <w:tcBorders>
              <w:top w:val="single" w:color="000000" w:sz="4" w:space="0"/>
              <w:left w:val="single" w:color="000000" w:sz="4" w:space="0"/>
            </w:tcBorders>
            <w:shd w:val="clear" w:color="auto" w:fill="FFFFFF"/>
            <w:noWrap w:val="0"/>
            <w:vAlign w:val="center"/>
          </w:tcPr>
          <w:p w14:paraId="2AF59A95">
            <w:pPr>
              <w:widowControl/>
              <w:jc w:val="center"/>
              <w:textAlignment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5459E332">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27B22E24">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410DA35">
            <w:pPr>
              <w:jc w:val="center"/>
              <w:rPr>
                <w:rFonts w:hint="eastAsia" w:ascii="宋体" w:hAnsi="宋体" w:cs="宋体"/>
                <w:color w:val="auto"/>
                <w:sz w:val="18"/>
                <w:szCs w:val="18"/>
              </w:rPr>
            </w:pPr>
          </w:p>
        </w:tc>
      </w:tr>
      <w:tr w14:paraId="342DCF4E">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791E699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1576" w:type="dxa"/>
            <w:tcBorders>
              <w:top w:val="single" w:color="000000" w:sz="4" w:space="0"/>
              <w:left w:val="single" w:color="000000" w:sz="4" w:space="0"/>
            </w:tcBorders>
            <w:shd w:val="clear" w:color="auto" w:fill="FFFFFF"/>
            <w:noWrap w:val="0"/>
            <w:vAlign w:val="center"/>
          </w:tcPr>
          <w:p w14:paraId="160D4BCE">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011707005001</w:t>
            </w:r>
          </w:p>
        </w:tc>
        <w:tc>
          <w:tcPr>
            <w:tcW w:w="2340" w:type="dxa"/>
            <w:tcBorders>
              <w:top w:val="single" w:color="000000" w:sz="4" w:space="0"/>
              <w:left w:val="single" w:color="000000" w:sz="4" w:space="0"/>
            </w:tcBorders>
            <w:shd w:val="clear" w:color="auto" w:fill="FFFFFF"/>
            <w:noWrap w:val="0"/>
            <w:vAlign w:val="center"/>
          </w:tcPr>
          <w:p w14:paraId="14339CCE">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冬雨季施工增加费</w:t>
            </w:r>
          </w:p>
        </w:tc>
        <w:tc>
          <w:tcPr>
            <w:tcW w:w="2010" w:type="dxa"/>
            <w:tcBorders>
              <w:top w:val="single" w:color="000000" w:sz="4" w:space="0"/>
              <w:left w:val="single" w:color="000000" w:sz="4" w:space="0"/>
            </w:tcBorders>
            <w:shd w:val="clear" w:color="auto" w:fill="FFFFFF"/>
            <w:noWrap w:val="0"/>
            <w:vAlign w:val="center"/>
          </w:tcPr>
          <w:p w14:paraId="17F90BA2">
            <w:pPr>
              <w:widowControl/>
              <w:jc w:val="center"/>
              <w:textAlignment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3E979370">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01C60D34">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6B6CDC2">
            <w:pPr>
              <w:jc w:val="center"/>
              <w:rPr>
                <w:rFonts w:hint="eastAsia" w:ascii="宋体" w:hAnsi="宋体" w:cs="宋体"/>
                <w:color w:val="auto"/>
                <w:sz w:val="18"/>
                <w:szCs w:val="18"/>
              </w:rPr>
            </w:pPr>
          </w:p>
        </w:tc>
      </w:tr>
      <w:tr w14:paraId="57A593A2">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0414FCA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1576" w:type="dxa"/>
            <w:tcBorders>
              <w:top w:val="single" w:color="000000" w:sz="4" w:space="0"/>
              <w:left w:val="single" w:color="000000" w:sz="4" w:space="0"/>
            </w:tcBorders>
            <w:shd w:val="clear" w:color="auto" w:fill="FFFFFF"/>
            <w:noWrap w:val="0"/>
            <w:vAlign w:val="center"/>
          </w:tcPr>
          <w:p w14:paraId="7A25099E">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01B998</w:t>
            </w:r>
          </w:p>
        </w:tc>
        <w:tc>
          <w:tcPr>
            <w:tcW w:w="2340" w:type="dxa"/>
            <w:tcBorders>
              <w:top w:val="single" w:color="000000" w:sz="4" w:space="0"/>
              <w:left w:val="single" w:color="000000" w:sz="4" w:space="0"/>
            </w:tcBorders>
            <w:shd w:val="clear" w:color="auto" w:fill="FFFFFF"/>
            <w:noWrap w:val="0"/>
            <w:vAlign w:val="center"/>
          </w:tcPr>
          <w:p w14:paraId="3DD4E641">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行车、行人干扰增加费</w:t>
            </w:r>
          </w:p>
        </w:tc>
        <w:tc>
          <w:tcPr>
            <w:tcW w:w="2010" w:type="dxa"/>
            <w:tcBorders>
              <w:top w:val="single" w:color="000000" w:sz="4" w:space="0"/>
              <w:left w:val="single" w:color="000000" w:sz="4" w:space="0"/>
            </w:tcBorders>
            <w:shd w:val="clear" w:color="auto" w:fill="FFFFFF"/>
            <w:noWrap w:val="0"/>
            <w:vAlign w:val="center"/>
          </w:tcPr>
          <w:p w14:paraId="6796E6A7">
            <w:pPr>
              <w:widowControl/>
              <w:jc w:val="center"/>
              <w:textAlignment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0AAB905D">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5EACEFE9">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AB350B7">
            <w:pPr>
              <w:jc w:val="center"/>
              <w:rPr>
                <w:rFonts w:hint="eastAsia" w:ascii="宋体" w:hAnsi="宋体" w:cs="宋体"/>
                <w:color w:val="auto"/>
                <w:sz w:val="18"/>
                <w:szCs w:val="18"/>
              </w:rPr>
            </w:pPr>
          </w:p>
        </w:tc>
      </w:tr>
      <w:tr w14:paraId="67FE4BF6">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26FE2207">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w:t>
            </w:r>
          </w:p>
        </w:tc>
        <w:tc>
          <w:tcPr>
            <w:tcW w:w="1576" w:type="dxa"/>
            <w:tcBorders>
              <w:top w:val="single" w:color="000000" w:sz="4" w:space="0"/>
              <w:left w:val="single" w:color="000000" w:sz="4" w:space="0"/>
            </w:tcBorders>
            <w:shd w:val="clear" w:color="auto" w:fill="FFFFFF"/>
            <w:noWrap w:val="0"/>
            <w:vAlign w:val="center"/>
          </w:tcPr>
          <w:p w14:paraId="116A6D14">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01B999</w:t>
            </w:r>
          </w:p>
        </w:tc>
        <w:tc>
          <w:tcPr>
            <w:tcW w:w="2340" w:type="dxa"/>
            <w:tcBorders>
              <w:top w:val="single" w:color="000000" w:sz="4" w:space="0"/>
              <w:left w:val="single" w:color="000000" w:sz="4" w:space="0"/>
            </w:tcBorders>
            <w:shd w:val="clear" w:color="auto" w:fill="FFFFFF"/>
            <w:noWrap w:val="0"/>
            <w:vAlign w:val="center"/>
          </w:tcPr>
          <w:p w14:paraId="272D06A2">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其他施工组织措施费</w:t>
            </w:r>
          </w:p>
        </w:tc>
        <w:tc>
          <w:tcPr>
            <w:tcW w:w="2010" w:type="dxa"/>
            <w:tcBorders>
              <w:top w:val="single" w:color="000000" w:sz="4" w:space="0"/>
              <w:left w:val="single" w:color="000000" w:sz="4" w:space="0"/>
            </w:tcBorders>
            <w:shd w:val="clear" w:color="auto" w:fill="FFFFFF"/>
            <w:noWrap w:val="0"/>
            <w:vAlign w:val="center"/>
          </w:tcPr>
          <w:p w14:paraId="2066C7A6">
            <w:pPr>
              <w:widowControl/>
              <w:jc w:val="center"/>
              <w:textAlignment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0F1FC514">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2B826616">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683EDF6">
            <w:pPr>
              <w:jc w:val="center"/>
              <w:rPr>
                <w:rFonts w:hint="eastAsia" w:ascii="宋体" w:hAnsi="宋体" w:cs="宋体"/>
                <w:color w:val="auto"/>
                <w:sz w:val="18"/>
                <w:szCs w:val="18"/>
              </w:rPr>
            </w:pPr>
          </w:p>
        </w:tc>
      </w:tr>
      <w:tr w14:paraId="72A2F96E">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4D9631B1">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59D91BDA">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0CDBECEC">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081D1A4F">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064FA87B">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2E383D1E">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3A1C613">
            <w:pPr>
              <w:jc w:val="center"/>
              <w:rPr>
                <w:rFonts w:hint="eastAsia" w:ascii="宋体" w:hAnsi="宋体" w:cs="宋体"/>
                <w:color w:val="auto"/>
                <w:sz w:val="18"/>
                <w:szCs w:val="18"/>
              </w:rPr>
            </w:pPr>
          </w:p>
        </w:tc>
      </w:tr>
      <w:tr w14:paraId="61ACDA08">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3CD3BA89">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554BEB7C">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41101937">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227D37B0">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139EE2EE">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0BCD6392">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44EBC8D7">
            <w:pPr>
              <w:jc w:val="center"/>
              <w:rPr>
                <w:rFonts w:hint="eastAsia" w:ascii="宋体" w:hAnsi="宋体" w:cs="宋体"/>
                <w:color w:val="auto"/>
                <w:sz w:val="18"/>
                <w:szCs w:val="18"/>
              </w:rPr>
            </w:pPr>
          </w:p>
        </w:tc>
      </w:tr>
      <w:tr w14:paraId="20837855">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6CCBA2D7">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64BE7388">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606A8CD3">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2B795165">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47F42D19">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47DE87FB">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390AE27">
            <w:pPr>
              <w:jc w:val="center"/>
              <w:rPr>
                <w:rFonts w:hint="eastAsia" w:ascii="宋体" w:hAnsi="宋体" w:cs="宋体"/>
                <w:color w:val="auto"/>
                <w:sz w:val="18"/>
                <w:szCs w:val="18"/>
              </w:rPr>
            </w:pPr>
          </w:p>
        </w:tc>
      </w:tr>
      <w:tr w14:paraId="5C893703">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708C7D5A">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7BBC925A">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7BA27EB9">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0B0CD5B0">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1B53E189">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2974BDEA">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7AAAE0FD">
            <w:pPr>
              <w:jc w:val="center"/>
              <w:rPr>
                <w:rFonts w:hint="eastAsia" w:ascii="宋体" w:hAnsi="宋体" w:cs="宋体"/>
                <w:color w:val="auto"/>
                <w:sz w:val="18"/>
                <w:szCs w:val="18"/>
              </w:rPr>
            </w:pPr>
          </w:p>
        </w:tc>
      </w:tr>
      <w:tr w14:paraId="67162DCB">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4CC5D1AC">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65963DD9">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21121300">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6D6C0EB1">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7CE890F3">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77BF2D5A">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7486A522">
            <w:pPr>
              <w:jc w:val="center"/>
              <w:rPr>
                <w:rFonts w:hint="eastAsia" w:ascii="宋体" w:hAnsi="宋体" w:cs="宋体"/>
                <w:color w:val="auto"/>
                <w:sz w:val="18"/>
                <w:szCs w:val="18"/>
              </w:rPr>
            </w:pPr>
          </w:p>
        </w:tc>
      </w:tr>
      <w:tr w14:paraId="1F378511">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005BD645">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76F5CAED">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2357A56A">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35C92148">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41C2B1CF">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227A9D74">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60E68B49">
            <w:pPr>
              <w:jc w:val="center"/>
              <w:rPr>
                <w:rFonts w:hint="eastAsia" w:ascii="宋体" w:hAnsi="宋体" w:cs="宋体"/>
                <w:color w:val="auto"/>
                <w:sz w:val="18"/>
                <w:szCs w:val="18"/>
              </w:rPr>
            </w:pPr>
          </w:p>
        </w:tc>
      </w:tr>
      <w:tr w14:paraId="39C99A92">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258BEB2C">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79B4D8D1">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0018779D">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797161B3">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081B89F6">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0E60B6C3">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466C999E">
            <w:pPr>
              <w:jc w:val="center"/>
              <w:rPr>
                <w:rFonts w:hint="eastAsia" w:ascii="宋体" w:hAnsi="宋体" w:cs="宋体"/>
                <w:color w:val="auto"/>
                <w:sz w:val="18"/>
                <w:szCs w:val="18"/>
              </w:rPr>
            </w:pPr>
          </w:p>
        </w:tc>
      </w:tr>
      <w:tr w14:paraId="377AE98D">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037FA6E2">
            <w:pPr>
              <w:jc w:val="center"/>
              <w:rPr>
                <w:rFonts w:hint="eastAsia" w:ascii="宋体" w:hAnsi="宋体" w:cs="宋体"/>
                <w:color w:val="auto"/>
                <w:sz w:val="18"/>
                <w:szCs w:val="18"/>
              </w:rPr>
            </w:pPr>
          </w:p>
        </w:tc>
        <w:tc>
          <w:tcPr>
            <w:tcW w:w="1576" w:type="dxa"/>
            <w:tcBorders>
              <w:top w:val="single" w:color="000000" w:sz="4" w:space="0"/>
              <w:left w:val="single" w:color="000000" w:sz="4" w:space="0"/>
            </w:tcBorders>
            <w:shd w:val="clear" w:color="auto" w:fill="FFFFFF"/>
            <w:noWrap w:val="0"/>
            <w:vAlign w:val="center"/>
          </w:tcPr>
          <w:p w14:paraId="2A603FA1">
            <w:pPr>
              <w:jc w:val="left"/>
              <w:rPr>
                <w:rFonts w:hint="eastAsia" w:ascii="宋体" w:hAnsi="宋体" w:cs="宋体"/>
                <w:color w:val="auto"/>
                <w:sz w:val="18"/>
                <w:szCs w:val="18"/>
              </w:rPr>
            </w:pPr>
          </w:p>
        </w:tc>
        <w:tc>
          <w:tcPr>
            <w:tcW w:w="2340" w:type="dxa"/>
            <w:tcBorders>
              <w:top w:val="single" w:color="000000" w:sz="4" w:space="0"/>
              <w:left w:val="single" w:color="000000" w:sz="4" w:space="0"/>
            </w:tcBorders>
            <w:shd w:val="clear" w:color="auto" w:fill="FFFFFF"/>
            <w:noWrap w:val="0"/>
            <w:vAlign w:val="center"/>
          </w:tcPr>
          <w:p w14:paraId="60D1E145">
            <w:pPr>
              <w:jc w:val="left"/>
              <w:rPr>
                <w:rFonts w:hint="eastAsia" w:ascii="宋体" w:hAnsi="宋体" w:cs="宋体"/>
                <w:color w:val="auto"/>
                <w:sz w:val="18"/>
                <w:szCs w:val="18"/>
              </w:rPr>
            </w:pPr>
          </w:p>
        </w:tc>
        <w:tc>
          <w:tcPr>
            <w:tcW w:w="2010" w:type="dxa"/>
            <w:tcBorders>
              <w:top w:val="single" w:color="000000" w:sz="4" w:space="0"/>
              <w:left w:val="single" w:color="000000" w:sz="4" w:space="0"/>
            </w:tcBorders>
            <w:shd w:val="clear" w:color="auto" w:fill="FFFFFF"/>
            <w:noWrap w:val="0"/>
            <w:vAlign w:val="center"/>
          </w:tcPr>
          <w:p w14:paraId="74640782">
            <w:pPr>
              <w:jc w:val="center"/>
              <w:rPr>
                <w:rFonts w:hint="eastAsia" w:ascii="宋体" w:hAnsi="宋体" w:cs="宋体"/>
                <w:color w:val="auto"/>
                <w:sz w:val="18"/>
                <w:szCs w:val="18"/>
              </w:rPr>
            </w:pPr>
          </w:p>
        </w:tc>
        <w:tc>
          <w:tcPr>
            <w:tcW w:w="825" w:type="dxa"/>
            <w:tcBorders>
              <w:top w:val="single" w:color="000000" w:sz="4" w:space="0"/>
              <w:left w:val="single" w:color="000000" w:sz="4" w:space="0"/>
            </w:tcBorders>
            <w:shd w:val="clear" w:color="auto" w:fill="FFFFFF"/>
            <w:noWrap w:val="0"/>
            <w:vAlign w:val="center"/>
          </w:tcPr>
          <w:p w14:paraId="1B6ABA31">
            <w:pPr>
              <w:jc w:val="center"/>
              <w:rPr>
                <w:rFonts w:hint="eastAsia" w:ascii="宋体" w:hAnsi="宋体" w:cs="宋体"/>
                <w:color w:val="auto"/>
                <w:sz w:val="18"/>
                <w:szCs w:val="18"/>
              </w:rPr>
            </w:pPr>
          </w:p>
        </w:tc>
        <w:tc>
          <w:tcPr>
            <w:tcW w:w="1463" w:type="dxa"/>
            <w:tcBorders>
              <w:top w:val="single" w:color="000000" w:sz="4" w:space="0"/>
              <w:left w:val="single" w:color="000000" w:sz="4" w:space="0"/>
            </w:tcBorders>
            <w:shd w:val="clear" w:color="auto" w:fill="FFFFFF"/>
            <w:noWrap w:val="0"/>
            <w:vAlign w:val="center"/>
          </w:tcPr>
          <w:p w14:paraId="5E85DF9E">
            <w:pPr>
              <w:jc w:val="right"/>
              <w:rPr>
                <w:rFonts w:hint="eastAsia" w:ascii="宋体" w:hAnsi="宋体" w:cs="宋体"/>
                <w:color w:val="auto"/>
                <w:sz w:val="18"/>
                <w:szCs w:val="18"/>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F0DC765">
            <w:pPr>
              <w:jc w:val="center"/>
              <w:rPr>
                <w:rFonts w:hint="eastAsia" w:ascii="宋体" w:hAnsi="宋体" w:cs="宋体"/>
                <w:color w:val="auto"/>
                <w:sz w:val="18"/>
                <w:szCs w:val="18"/>
              </w:rPr>
            </w:pPr>
          </w:p>
        </w:tc>
      </w:tr>
      <w:tr w14:paraId="083AE0F0">
        <w:tblPrEx>
          <w:tblCellMar>
            <w:top w:w="15" w:type="dxa"/>
            <w:left w:w="15" w:type="dxa"/>
            <w:bottom w:w="15" w:type="dxa"/>
            <w:right w:w="15" w:type="dxa"/>
          </w:tblCellMar>
        </w:tblPrEx>
        <w:trPr>
          <w:trHeight w:val="630" w:hRule="atLeast"/>
        </w:trPr>
        <w:tc>
          <w:tcPr>
            <w:tcW w:w="7485" w:type="dxa"/>
            <w:gridSpan w:val="5"/>
            <w:tcBorders>
              <w:top w:val="single" w:color="000000" w:sz="4" w:space="0"/>
              <w:left w:val="single" w:color="000000" w:sz="4" w:space="0"/>
              <w:bottom w:val="single" w:color="000000" w:sz="4" w:space="0"/>
            </w:tcBorders>
            <w:shd w:val="clear" w:color="auto" w:fill="FFFFFF"/>
            <w:noWrap w:val="0"/>
            <w:vAlign w:val="center"/>
          </w:tcPr>
          <w:p w14:paraId="71A4CE2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合    计</w:t>
            </w:r>
          </w:p>
        </w:tc>
        <w:tc>
          <w:tcPr>
            <w:tcW w:w="1463" w:type="dxa"/>
            <w:tcBorders>
              <w:top w:val="single" w:color="000000" w:sz="4" w:space="0"/>
              <w:left w:val="single" w:color="000000" w:sz="4" w:space="0"/>
              <w:bottom w:val="single" w:color="000000" w:sz="4" w:space="0"/>
            </w:tcBorders>
            <w:shd w:val="clear" w:color="auto" w:fill="FFFFFF"/>
            <w:noWrap w:val="0"/>
            <w:vAlign w:val="center"/>
          </w:tcPr>
          <w:p w14:paraId="47BEDE93">
            <w:pPr>
              <w:jc w:val="right"/>
              <w:rPr>
                <w:rFonts w:hint="eastAsia" w:ascii="宋体" w:hAnsi="宋体" w:cs="宋体"/>
                <w:color w:val="auto"/>
                <w:sz w:val="18"/>
                <w:szCs w:val="18"/>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57BA6">
            <w:pPr>
              <w:jc w:val="center"/>
              <w:rPr>
                <w:rFonts w:hint="eastAsia" w:ascii="宋体" w:hAnsi="宋体" w:cs="宋体"/>
                <w:color w:val="auto"/>
                <w:sz w:val="18"/>
                <w:szCs w:val="18"/>
              </w:rPr>
            </w:pPr>
          </w:p>
        </w:tc>
      </w:tr>
    </w:tbl>
    <w:p w14:paraId="0F9B6251">
      <w:pPr>
        <w:pStyle w:val="3"/>
        <w:spacing w:line="440" w:lineRule="exact"/>
        <w:rPr>
          <w:rFonts w:hint="eastAsia" w:ascii="黑体" w:hAnsi="宋体"/>
          <w:color w:val="auto"/>
          <w:sz w:val="24"/>
          <w:szCs w:val="24"/>
        </w:rPr>
        <w:sectPr>
          <w:pgSz w:w="11906" w:h="16838"/>
          <w:pgMar w:top="1134" w:right="1134" w:bottom="1134" w:left="1134" w:header="851" w:footer="992" w:gutter="0"/>
          <w:cols w:space="720" w:num="1"/>
          <w:docGrid w:linePitch="312" w:charSpace="0"/>
        </w:sectPr>
      </w:pPr>
    </w:p>
    <w:p w14:paraId="39F7B9A6">
      <w:pPr>
        <w:pStyle w:val="3"/>
        <w:spacing w:line="440" w:lineRule="exact"/>
        <w:rPr>
          <w:rFonts w:hint="eastAsia" w:ascii="黑体" w:hAnsi="宋体"/>
          <w:color w:val="auto"/>
          <w:sz w:val="24"/>
          <w:szCs w:val="24"/>
        </w:rPr>
      </w:pPr>
      <w:bookmarkStart w:id="85" w:name="_Toc26527432"/>
      <w:bookmarkStart w:id="86" w:name="_Toc11525"/>
      <w:bookmarkStart w:id="87" w:name="_Toc101604736"/>
      <w:bookmarkStart w:id="88" w:name="_Toc13026"/>
      <w:r>
        <w:rPr>
          <w:rFonts w:hint="eastAsia" w:ascii="黑体" w:hAnsi="宋体"/>
          <w:color w:val="auto"/>
          <w:sz w:val="24"/>
          <w:szCs w:val="24"/>
        </w:rPr>
        <w:t>附件9 其他项目清单与计价汇总表</w:t>
      </w:r>
      <w:bookmarkEnd w:id="85"/>
      <w:bookmarkEnd w:id="86"/>
      <w:bookmarkEnd w:id="87"/>
      <w:bookmarkEnd w:id="88"/>
    </w:p>
    <w:p w14:paraId="5DC2CEA9">
      <w:pPr>
        <w:spacing w:line="600" w:lineRule="exact"/>
        <w:jc w:val="center"/>
        <w:rPr>
          <w:rFonts w:hint="eastAsia"/>
          <w:b/>
          <w:color w:val="auto"/>
          <w:sz w:val="36"/>
          <w:szCs w:val="36"/>
        </w:rPr>
      </w:pPr>
      <w:r>
        <w:rPr>
          <w:rFonts w:hint="eastAsia"/>
          <w:b/>
          <w:color w:val="auto"/>
          <w:sz w:val="36"/>
          <w:szCs w:val="36"/>
        </w:rPr>
        <w:t>其他项目清单与计价汇总表</w:t>
      </w:r>
    </w:p>
    <w:p w14:paraId="1569A226">
      <w:pPr>
        <w:spacing w:line="600" w:lineRule="exact"/>
        <w:rPr>
          <w:rFonts w:hint="eastAsia"/>
          <w:b/>
          <w:color w:val="auto"/>
          <w:sz w:val="36"/>
          <w:szCs w:val="36"/>
        </w:rPr>
      </w:pPr>
      <w:r>
        <w:rPr>
          <w:rFonts w:hint="eastAsia"/>
          <w:color w:val="auto"/>
          <w:sz w:val="22"/>
          <w:szCs w:val="22"/>
        </w:rPr>
        <w:t>工程名称：                                                          第    页 共    页</w:t>
      </w:r>
    </w:p>
    <w:tbl>
      <w:tblPr>
        <w:tblStyle w:val="37"/>
        <w:tblW w:w="0" w:type="auto"/>
        <w:tblInd w:w="0" w:type="dxa"/>
        <w:tblLayout w:type="fixed"/>
        <w:tblCellMar>
          <w:top w:w="15" w:type="dxa"/>
          <w:left w:w="15" w:type="dxa"/>
          <w:bottom w:w="15" w:type="dxa"/>
          <w:right w:w="15" w:type="dxa"/>
        </w:tblCellMar>
      </w:tblPr>
      <w:tblGrid>
        <w:gridCol w:w="660"/>
        <w:gridCol w:w="4050"/>
        <w:gridCol w:w="1950"/>
        <w:gridCol w:w="2925"/>
      </w:tblGrid>
      <w:tr w14:paraId="7573D829">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5D49A08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序号</w:t>
            </w:r>
          </w:p>
        </w:tc>
        <w:tc>
          <w:tcPr>
            <w:tcW w:w="4050" w:type="dxa"/>
            <w:tcBorders>
              <w:top w:val="single" w:color="000000" w:sz="4" w:space="0"/>
              <w:left w:val="single" w:color="000000" w:sz="4" w:space="0"/>
            </w:tcBorders>
            <w:shd w:val="clear" w:color="auto" w:fill="FFFFFF"/>
            <w:noWrap w:val="0"/>
            <w:vAlign w:val="center"/>
          </w:tcPr>
          <w:p w14:paraId="4C1FAAA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项 目 名 称</w:t>
            </w:r>
          </w:p>
        </w:tc>
        <w:tc>
          <w:tcPr>
            <w:tcW w:w="1950" w:type="dxa"/>
            <w:tcBorders>
              <w:top w:val="single" w:color="000000" w:sz="4" w:space="0"/>
              <w:left w:val="single" w:color="000000" w:sz="4" w:space="0"/>
            </w:tcBorders>
            <w:shd w:val="clear" w:color="auto" w:fill="FFFFFF"/>
            <w:noWrap w:val="0"/>
            <w:vAlign w:val="center"/>
          </w:tcPr>
          <w:p w14:paraId="23F6D6D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金额(元)</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7BD1ED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备注</w:t>
            </w:r>
          </w:p>
        </w:tc>
      </w:tr>
      <w:tr w14:paraId="7986B999">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0A293B37">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4050" w:type="dxa"/>
            <w:tcBorders>
              <w:top w:val="single" w:color="000000" w:sz="4" w:space="0"/>
              <w:left w:val="single" w:color="000000" w:sz="4" w:space="0"/>
            </w:tcBorders>
            <w:shd w:val="clear" w:color="auto" w:fill="FFFFFF"/>
            <w:noWrap w:val="0"/>
            <w:vAlign w:val="center"/>
          </w:tcPr>
          <w:p w14:paraId="5A67D41C">
            <w:pPr>
              <w:widowControl/>
              <w:jc w:val="left"/>
              <w:rPr>
                <w:rFonts w:cs="Arial"/>
                <w:color w:val="auto"/>
                <w:kern w:val="0"/>
                <w:sz w:val="18"/>
                <w:szCs w:val="18"/>
              </w:rPr>
            </w:pPr>
            <w:r>
              <w:rPr>
                <w:rFonts w:hint="eastAsia" w:cs="Arial"/>
                <w:color w:val="auto"/>
                <w:sz w:val="18"/>
                <w:szCs w:val="18"/>
              </w:rPr>
              <w:t>暂列金额</w:t>
            </w:r>
          </w:p>
        </w:tc>
        <w:tc>
          <w:tcPr>
            <w:tcW w:w="1950" w:type="dxa"/>
            <w:tcBorders>
              <w:top w:val="single" w:color="000000" w:sz="4" w:space="0"/>
              <w:left w:val="single" w:color="000000" w:sz="4" w:space="0"/>
            </w:tcBorders>
            <w:shd w:val="clear" w:color="auto" w:fill="FFFFFF"/>
            <w:noWrap w:val="0"/>
            <w:vAlign w:val="center"/>
          </w:tcPr>
          <w:p w14:paraId="749D0FF0">
            <w:pPr>
              <w:widowControl/>
              <w:jc w:val="right"/>
              <w:textAlignment w:val="center"/>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6F2B26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明细详见表10.2.2-22</w:t>
            </w:r>
          </w:p>
        </w:tc>
      </w:tr>
      <w:tr w14:paraId="6153262B">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32F3CBB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1.1</w:t>
            </w:r>
          </w:p>
        </w:tc>
        <w:tc>
          <w:tcPr>
            <w:tcW w:w="4050" w:type="dxa"/>
            <w:tcBorders>
              <w:top w:val="single" w:color="000000" w:sz="4" w:space="0"/>
              <w:left w:val="single" w:color="000000" w:sz="4" w:space="0"/>
            </w:tcBorders>
            <w:shd w:val="clear" w:color="auto" w:fill="FFFFFF"/>
            <w:noWrap w:val="0"/>
            <w:vAlign w:val="center"/>
          </w:tcPr>
          <w:p w14:paraId="7A3E8FFA">
            <w:pPr>
              <w:jc w:val="left"/>
              <w:rPr>
                <w:rFonts w:hint="eastAsia" w:cs="Arial"/>
                <w:color w:val="auto"/>
                <w:sz w:val="18"/>
                <w:szCs w:val="18"/>
              </w:rPr>
            </w:pPr>
            <w:r>
              <w:rPr>
                <w:rFonts w:hint="eastAsia" w:cs="Arial"/>
                <w:color w:val="auto"/>
                <w:sz w:val="18"/>
                <w:szCs w:val="18"/>
              </w:rPr>
              <w:t>标化工地增加费</w:t>
            </w:r>
          </w:p>
        </w:tc>
        <w:tc>
          <w:tcPr>
            <w:tcW w:w="1950" w:type="dxa"/>
            <w:tcBorders>
              <w:top w:val="single" w:color="000000" w:sz="4" w:space="0"/>
              <w:left w:val="single" w:color="000000" w:sz="4" w:space="0"/>
            </w:tcBorders>
            <w:shd w:val="clear" w:color="auto" w:fill="FFFFFF"/>
            <w:noWrap w:val="0"/>
            <w:vAlign w:val="center"/>
          </w:tcPr>
          <w:p w14:paraId="14E9C65F">
            <w:pPr>
              <w:widowControl/>
              <w:jc w:val="right"/>
              <w:textAlignment w:val="center"/>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E4AD3F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明细详见表10.2.2-22</w:t>
            </w:r>
          </w:p>
        </w:tc>
      </w:tr>
      <w:tr w14:paraId="0679F3D4">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5296ED3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1.2</w:t>
            </w:r>
          </w:p>
        </w:tc>
        <w:tc>
          <w:tcPr>
            <w:tcW w:w="4050" w:type="dxa"/>
            <w:tcBorders>
              <w:top w:val="single" w:color="000000" w:sz="4" w:space="0"/>
              <w:left w:val="single" w:color="000000" w:sz="4" w:space="0"/>
            </w:tcBorders>
            <w:shd w:val="clear" w:color="auto" w:fill="FFFFFF"/>
            <w:noWrap w:val="0"/>
            <w:vAlign w:val="center"/>
          </w:tcPr>
          <w:p w14:paraId="470294AA">
            <w:pPr>
              <w:jc w:val="left"/>
              <w:rPr>
                <w:rFonts w:hint="eastAsia" w:cs="Arial"/>
                <w:color w:val="auto"/>
                <w:sz w:val="18"/>
                <w:szCs w:val="18"/>
              </w:rPr>
            </w:pPr>
            <w:r>
              <w:rPr>
                <w:rFonts w:hint="eastAsia" w:cs="Arial"/>
                <w:color w:val="auto"/>
                <w:sz w:val="18"/>
                <w:szCs w:val="18"/>
              </w:rPr>
              <w:t>优质工程增加费</w:t>
            </w:r>
          </w:p>
        </w:tc>
        <w:tc>
          <w:tcPr>
            <w:tcW w:w="1950" w:type="dxa"/>
            <w:tcBorders>
              <w:top w:val="single" w:color="000000" w:sz="4" w:space="0"/>
              <w:left w:val="single" w:color="000000" w:sz="4" w:space="0"/>
            </w:tcBorders>
            <w:shd w:val="clear" w:color="auto" w:fill="FFFFFF"/>
            <w:noWrap w:val="0"/>
            <w:vAlign w:val="center"/>
          </w:tcPr>
          <w:p w14:paraId="46195133">
            <w:pPr>
              <w:widowControl/>
              <w:jc w:val="right"/>
              <w:textAlignment w:val="center"/>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7FD90F36">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明细详见表10.2.2-22</w:t>
            </w:r>
          </w:p>
        </w:tc>
      </w:tr>
      <w:tr w14:paraId="11E04A5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27F8624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1.3</w:t>
            </w:r>
          </w:p>
        </w:tc>
        <w:tc>
          <w:tcPr>
            <w:tcW w:w="4050" w:type="dxa"/>
            <w:tcBorders>
              <w:top w:val="single" w:color="000000" w:sz="4" w:space="0"/>
              <w:left w:val="single" w:color="000000" w:sz="4" w:space="0"/>
            </w:tcBorders>
            <w:shd w:val="clear" w:color="auto" w:fill="FFFFFF"/>
            <w:noWrap w:val="0"/>
            <w:vAlign w:val="center"/>
          </w:tcPr>
          <w:p w14:paraId="5A202E7D">
            <w:pPr>
              <w:jc w:val="left"/>
              <w:rPr>
                <w:rFonts w:hint="eastAsia" w:cs="Arial"/>
                <w:color w:val="auto"/>
                <w:sz w:val="18"/>
                <w:szCs w:val="18"/>
              </w:rPr>
            </w:pPr>
            <w:r>
              <w:rPr>
                <w:rFonts w:hint="eastAsia" w:cs="Arial"/>
                <w:color w:val="auto"/>
                <w:sz w:val="18"/>
                <w:szCs w:val="18"/>
              </w:rPr>
              <w:t>其他暂列金额</w:t>
            </w:r>
          </w:p>
        </w:tc>
        <w:tc>
          <w:tcPr>
            <w:tcW w:w="1950" w:type="dxa"/>
            <w:tcBorders>
              <w:top w:val="single" w:color="000000" w:sz="4" w:space="0"/>
              <w:left w:val="single" w:color="000000" w:sz="4" w:space="0"/>
            </w:tcBorders>
            <w:shd w:val="clear" w:color="auto" w:fill="FFFFFF"/>
            <w:noWrap w:val="0"/>
            <w:vAlign w:val="center"/>
          </w:tcPr>
          <w:p w14:paraId="4789BFCB">
            <w:pPr>
              <w:widowControl/>
              <w:jc w:val="right"/>
              <w:textAlignment w:val="center"/>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43E0905D">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明细详见表10.2.2-22</w:t>
            </w:r>
          </w:p>
        </w:tc>
      </w:tr>
      <w:tr w14:paraId="47592001">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1B56955">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w:t>
            </w:r>
          </w:p>
        </w:tc>
        <w:tc>
          <w:tcPr>
            <w:tcW w:w="4050" w:type="dxa"/>
            <w:tcBorders>
              <w:top w:val="single" w:color="000000" w:sz="4" w:space="0"/>
              <w:left w:val="single" w:color="000000" w:sz="4" w:space="0"/>
            </w:tcBorders>
            <w:shd w:val="clear" w:color="auto" w:fill="FFFFFF"/>
            <w:noWrap w:val="0"/>
            <w:vAlign w:val="center"/>
          </w:tcPr>
          <w:p w14:paraId="49A732BC">
            <w:pPr>
              <w:jc w:val="left"/>
              <w:rPr>
                <w:rFonts w:hint="eastAsia" w:cs="Arial"/>
                <w:color w:val="auto"/>
                <w:sz w:val="18"/>
                <w:szCs w:val="18"/>
              </w:rPr>
            </w:pPr>
            <w:r>
              <w:rPr>
                <w:rFonts w:hint="eastAsia" w:cs="Arial"/>
                <w:color w:val="auto"/>
                <w:sz w:val="18"/>
                <w:szCs w:val="18"/>
              </w:rPr>
              <w:t>暂估价</w:t>
            </w:r>
          </w:p>
        </w:tc>
        <w:tc>
          <w:tcPr>
            <w:tcW w:w="1950" w:type="dxa"/>
            <w:tcBorders>
              <w:top w:val="single" w:color="000000" w:sz="4" w:space="0"/>
              <w:left w:val="single" w:color="000000" w:sz="4" w:space="0"/>
            </w:tcBorders>
            <w:shd w:val="clear" w:color="auto" w:fill="FFFFFF"/>
            <w:noWrap w:val="0"/>
            <w:vAlign w:val="center"/>
          </w:tcPr>
          <w:p w14:paraId="61D636C0">
            <w:pPr>
              <w:widowControl/>
              <w:jc w:val="right"/>
              <w:textAlignment w:val="center"/>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A342E69">
            <w:pPr>
              <w:jc w:val="center"/>
              <w:rPr>
                <w:rFonts w:hint="eastAsia" w:ascii="宋体" w:hAnsi="宋体" w:cs="宋体"/>
                <w:color w:val="auto"/>
                <w:sz w:val="18"/>
                <w:szCs w:val="18"/>
              </w:rPr>
            </w:pPr>
          </w:p>
        </w:tc>
      </w:tr>
      <w:tr w14:paraId="5586DA51">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EE8D41A">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w:t>
            </w:r>
          </w:p>
        </w:tc>
        <w:tc>
          <w:tcPr>
            <w:tcW w:w="4050" w:type="dxa"/>
            <w:tcBorders>
              <w:top w:val="single" w:color="000000" w:sz="4" w:space="0"/>
              <w:left w:val="single" w:color="000000" w:sz="4" w:space="0"/>
            </w:tcBorders>
            <w:shd w:val="clear" w:color="auto" w:fill="FFFFFF"/>
            <w:noWrap w:val="0"/>
            <w:vAlign w:val="center"/>
          </w:tcPr>
          <w:p w14:paraId="3CCF9F31">
            <w:pPr>
              <w:jc w:val="left"/>
              <w:rPr>
                <w:rFonts w:hint="eastAsia" w:cs="Arial"/>
                <w:color w:val="auto"/>
                <w:sz w:val="18"/>
                <w:szCs w:val="18"/>
              </w:rPr>
            </w:pPr>
            <w:r>
              <w:rPr>
                <w:rFonts w:hint="eastAsia" w:cs="Arial"/>
                <w:color w:val="auto"/>
                <w:sz w:val="18"/>
                <w:szCs w:val="18"/>
              </w:rPr>
              <w:t>材料（设备）暂估价</w:t>
            </w:r>
          </w:p>
        </w:tc>
        <w:tc>
          <w:tcPr>
            <w:tcW w:w="1950" w:type="dxa"/>
            <w:tcBorders>
              <w:top w:val="single" w:color="000000" w:sz="4" w:space="0"/>
              <w:left w:val="single" w:color="000000" w:sz="4" w:space="0"/>
            </w:tcBorders>
            <w:shd w:val="clear" w:color="auto" w:fill="FFFFFF"/>
            <w:noWrap w:val="0"/>
            <w:vAlign w:val="center"/>
          </w:tcPr>
          <w:p w14:paraId="1DCF62F8">
            <w:pPr>
              <w:widowControl/>
              <w:jc w:val="right"/>
              <w:textAlignment w:val="center"/>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5A907B3F">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明细详见表10.2.2-23</w:t>
            </w:r>
          </w:p>
        </w:tc>
      </w:tr>
      <w:tr w14:paraId="36CDE4EC">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1D3DC468">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2.2</w:t>
            </w:r>
          </w:p>
        </w:tc>
        <w:tc>
          <w:tcPr>
            <w:tcW w:w="4050" w:type="dxa"/>
            <w:tcBorders>
              <w:top w:val="single" w:color="000000" w:sz="4" w:space="0"/>
              <w:left w:val="single" w:color="000000" w:sz="4" w:space="0"/>
            </w:tcBorders>
            <w:shd w:val="clear" w:color="auto" w:fill="FFFFFF"/>
            <w:noWrap w:val="0"/>
            <w:vAlign w:val="center"/>
          </w:tcPr>
          <w:p w14:paraId="4B2AE923">
            <w:pPr>
              <w:jc w:val="left"/>
              <w:rPr>
                <w:rFonts w:hint="eastAsia" w:cs="Arial"/>
                <w:color w:val="auto"/>
                <w:sz w:val="18"/>
                <w:szCs w:val="18"/>
              </w:rPr>
            </w:pPr>
            <w:r>
              <w:rPr>
                <w:rFonts w:hint="eastAsia" w:cs="Arial"/>
                <w:color w:val="auto"/>
                <w:sz w:val="18"/>
                <w:szCs w:val="18"/>
              </w:rPr>
              <w:t>专业工程暂估价</w:t>
            </w:r>
          </w:p>
        </w:tc>
        <w:tc>
          <w:tcPr>
            <w:tcW w:w="1950" w:type="dxa"/>
            <w:tcBorders>
              <w:top w:val="single" w:color="000000" w:sz="4" w:space="0"/>
              <w:left w:val="single" w:color="000000" w:sz="4" w:space="0"/>
            </w:tcBorders>
            <w:shd w:val="clear" w:color="auto" w:fill="FFFFFF"/>
            <w:noWrap w:val="0"/>
            <w:vAlign w:val="center"/>
          </w:tcPr>
          <w:p w14:paraId="7B2CD003">
            <w:pPr>
              <w:widowControl/>
              <w:jc w:val="right"/>
              <w:textAlignment w:val="center"/>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425E1A3">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明细详见表10.2.2-24</w:t>
            </w:r>
          </w:p>
        </w:tc>
      </w:tr>
      <w:tr w14:paraId="70260DF7">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0E3B53A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2.3</w:t>
            </w:r>
          </w:p>
        </w:tc>
        <w:tc>
          <w:tcPr>
            <w:tcW w:w="4050" w:type="dxa"/>
            <w:tcBorders>
              <w:top w:val="single" w:color="000000" w:sz="4" w:space="0"/>
              <w:left w:val="single" w:color="000000" w:sz="4" w:space="0"/>
            </w:tcBorders>
            <w:shd w:val="clear" w:color="auto" w:fill="FFFFFF"/>
            <w:noWrap w:val="0"/>
            <w:vAlign w:val="center"/>
          </w:tcPr>
          <w:p w14:paraId="2925F6C3">
            <w:pPr>
              <w:jc w:val="left"/>
              <w:rPr>
                <w:rFonts w:hint="eastAsia" w:cs="Arial"/>
                <w:color w:val="auto"/>
                <w:sz w:val="18"/>
                <w:szCs w:val="18"/>
              </w:rPr>
            </w:pPr>
            <w:r>
              <w:rPr>
                <w:rFonts w:hint="eastAsia" w:cs="Arial"/>
                <w:color w:val="auto"/>
                <w:sz w:val="18"/>
                <w:szCs w:val="18"/>
              </w:rPr>
              <w:t>专项技术措施暂估价</w:t>
            </w:r>
          </w:p>
        </w:tc>
        <w:tc>
          <w:tcPr>
            <w:tcW w:w="1950" w:type="dxa"/>
            <w:tcBorders>
              <w:top w:val="single" w:color="000000" w:sz="4" w:space="0"/>
              <w:left w:val="single" w:color="000000" w:sz="4" w:space="0"/>
            </w:tcBorders>
            <w:shd w:val="clear" w:color="auto" w:fill="FFFFFF"/>
            <w:noWrap w:val="0"/>
            <w:vAlign w:val="center"/>
          </w:tcPr>
          <w:p w14:paraId="2DFAAEAA">
            <w:pPr>
              <w:jc w:val="right"/>
              <w:rPr>
                <w:rFonts w:hint="eastAsia" w:cs="Arial"/>
                <w:color w:val="auto"/>
                <w:sz w:val="18"/>
                <w:szCs w:val="18"/>
              </w:rPr>
            </w:pPr>
            <w:r>
              <w:rPr>
                <w:rFonts w:hint="eastAsia" w:ascii="宋体" w:hAnsi="宋体" w:cs="宋体"/>
                <w:color w:val="auto"/>
                <w:kern w:val="0"/>
                <w:sz w:val="18"/>
                <w:szCs w:val="18"/>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EE0A4D8">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明细详见表10.2.2-25</w:t>
            </w:r>
          </w:p>
        </w:tc>
      </w:tr>
      <w:tr w14:paraId="7392C293">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3D6C59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3</w:t>
            </w:r>
          </w:p>
        </w:tc>
        <w:tc>
          <w:tcPr>
            <w:tcW w:w="4050" w:type="dxa"/>
            <w:tcBorders>
              <w:top w:val="single" w:color="000000" w:sz="4" w:space="0"/>
              <w:left w:val="single" w:color="000000" w:sz="4" w:space="0"/>
            </w:tcBorders>
            <w:shd w:val="clear" w:color="auto" w:fill="FFFFFF"/>
            <w:noWrap w:val="0"/>
            <w:vAlign w:val="center"/>
          </w:tcPr>
          <w:p w14:paraId="3A7C2C3F">
            <w:pPr>
              <w:jc w:val="left"/>
              <w:rPr>
                <w:rFonts w:hint="eastAsia" w:cs="Arial"/>
                <w:color w:val="auto"/>
                <w:sz w:val="18"/>
                <w:szCs w:val="18"/>
              </w:rPr>
            </w:pPr>
            <w:r>
              <w:rPr>
                <w:rFonts w:hint="eastAsia" w:cs="Arial"/>
                <w:color w:val="auto"/>
                <w:sz w:val="18"/>
                <w:szCs w:val="18"/>
              </w:rPr>
              <w:t>计日工</w:t>
            </w:r>
          </w:p>
        </w:tc>
        <w:tc>
          <w:tcPr>
            <w:tcW w:w="1950" w:type="dxa"/>
            <w:tcBorders>
              <w:top w:val="single" w:color="000000" w:sz="4" w:space="0"/>
              <w:left w:val="single" w:color="000000" w:sz="4" w:space="0"/>
            </w:tcBorders>
            <w:shd w:val="clear" w:color="auto" w:fill="FFFFFF"/>
            <w:noWrap w:val="0"/>
            <w:vAlign w:val="center"/>
          </w:tcPr>
          <w:p w14:paraId="5B7B070B">
            <w:pPr>
              <w:jc w:val="right"/>
              <w:rPr>
                <w:rFonts w:hint="eastAsia" w:cs="Arial"/>
                <w:color w:val="auto"/>
                <w:sz w:val="18"/>
                <w:szCs w:val="18"/>
              </w:rPr>
            </w:pPr>
            <w:r>
              <w:rPr>
                <w:rFonts w:hint="eastAsia" w:cs="Arial"/>
                <w:color w:val="auto"/>
                <w:sz w:val="18"/>
                <w:szCs w:val="18"/>
              </w:rPr>
              <w:t>　</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82D6DE6">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明细详见表10.2.2-26</w:t>
            </w:r>
          </w:p>
        </w:tc>
      </w:tr>
      <w:tr w14:paraId="4A926A2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5E2C4B48">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4050" w:type="dxa"/>
            <w:tcBorders>
              <w:top w:val="single" w:color="000000" w:sz="4" w:space="0"/>
              <w:left w:val="single" w:color="000000" w:sz="4" w:space="0"/>
            </w:tcBorders>
            <w:shd w:val="clear" w:color="auto" w:fill="FFFFFF"/>
            <w:noWrap w:val="0"/>
            <w:vAlign w:val="center"/>
          </w:tcPr>
          <w:p w14:paraId="0D19F76F">
            <w:pPr>
              <w:jc w:val="left"/>
              <w:rPr>
                <w:rFonts w:hint="eastAsia" w:cs="Arial"/>
                <w:color w:val="auto"/>
                <w:sz w:val="18"/>
                <w:szCs w:val="18"/>
              </w:rPr>
            </w:pPr>
            <w:r>
              <w:rPr>
                <w:rFonts w:hint="eastAsia" w:cs="Arial"/>
                <w:color w:val="auto"/>
                <w:sz w:val="18"/>
                <w:szCs w:val="18"/>
              </w:rPr>
              <w:t>总承包服务费</w:t>
            </w:r>
          </w:p>
        </w:tc>
        <w:tc>
          <w:tcPr>
            <w:tcW w:w="1950" w:type="dxa"/>
            <w:tcBorders>
              <w:top w:val="single" w:color="000000" w:sz="4" w:space="0"/>
              <w:left w:val="single" w:color="000000" w:sz="4" w:space="0"/>
            </w:tcBorders>
            <w:shd w:val="clear" w:color="auto" w:fill="FFFFFF"/>
            <w:noWrap w:val="0"/>
            <w:vAlign w:val="center"/>
          </w:tcPr>
          <w:p w14:paraId="08B4FDBD">
            <w:pPr>
              <w:jc w:val="right"/>
              <w:rPr>
                <w:rFonts w:hint="eastAsia" w:cs="Arial"/>
                <w:color w:val="auto"/>
                <w:sz w:val="18"/>
                <w:szCs w:val="18"/>
              </w:rPr>
            </w:pPr>
            <w:r>
              <w:rPr>
                <w:rFonts w:hint="eastAsia" w:cs="Arial"/>
                <w:color w:val="auto"/>
                <w:sz w:val="18"/>
                <w:szCs w:val="18"/>
              </w:rPr>
              <w:t>　</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A7FD69B">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明细详见表10.2.2-27</w:t>
            </w:r>
          </w:p>
        </w:tc>
      </w:tr>
      <w:tr w14:paraId="7A10EC5F">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44994E5">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5548E51D">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6D8E9321">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655E5521">
            <w:pPr>
              <w:jc w:val="center"/>
              <w:rPr>
                <w:rFonts w:hint="eastAsia" w:ascii="宋体" w:hAnsi="宋体" w:cs="宋体"/>
                <w:color w:val="auto"/>
                <w:sz w:val="18"/>
                <w:szCs w:val="18"/>
              </w:rPr>
            </w:pPr>
          </w:p>
        </w:tc>
      </w:tr>
      <w:tr w14:paraId="355A0871">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3515015">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2639DBB4">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6EB80493">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5627ADD">
            <w:pPr>
              <w:jc w:val="center"/>
              <w:rPr>
                <w:rFonts w:hint="eastAsia" w:ascii="宋体" w:hAnsi="宋体" w:cs="宋体"/>
                <w:color w:val="auto"/>
                <w:sz w:val="18"/>
                <w:szCs w:val="18"/>
              </w:rPr>
            </w:pPr>
          </w:p>
        </w:tc>
      </w:tr>
      <w:tr w14:paraId="497D27F0">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0DD3E247">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357722DA">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4C94AFB6">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1EA92A49">
            <w:pPr>
              <w:jc w:val="center"/>
              <w:rPr>
                <w:rFonts w:hint="eastAsia" w:ascii="宋体" w:hAnsi="宋体" w:cs="宋体"/>
                <w:color w:val="auto"/>
                <w:sz w:val="18"/>
                <w:szCs w:val="18"/>
              </w:rPr>
            </w:pPr>
          </w:p>
        </w:tc>
      </w:tr>
      <w:tr w14:paraId="62B4788F">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C952F0A">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72AD5A62">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1D904419">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104C586E">
            <w:pPr>
              <w:jc w:val="center"/>
              <w:rPr>
                <w:rFonts w:hint="eastAsia" w:ascii="宋体" w:hAnsi="宋体" w:cs="宋体"/>
                <w:color w:val="auto"/>
                <w:sz w:val="18"/>
                <w:szCs w:val="18"/>
              </w:rPr>
            </w:pPr>
          </w:p>
        </w:tc>
      </w:tr>
      <w:tr w14:paraId="10A9C45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6E4754E9">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790F68AE">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19CB6EF1">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49EECA3D">
            <w:pPr>
              <w:jc w:val="center"/>
              <w:rPr>
                <w:rFonts w:hint="eastAsia" w:ascii="宋体" w:hAnsi="宋体" w:cs="宋体"/>
                <w:color w:val="auto"/>
                <w:sz w:val="18"/>
                <w:szCs w:val="18"/>
              </w:rPr>
            </w:pPr>
          </w:p>
        </w:tc>
      </w:tr>
      <w:tr w14:paraId="53C58926">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0919238">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0DD9E854">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182B418B">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DD58FD3">
            <w:pPr>
              <w:jc w:val="center"/>
              <w:rPr>
                <w:rFonts w:hint="eastAsia" w:ascii="宋体" w:hAnsi="宋体" w:cs="宋体"/>
                <w:color w:val="auto"/>
                <w:sz w:val="18"/>
                <w:szCs w:val="18"/>
              </w:rPr>
            </w:pPr>
          </w:p>
        </w:tc>
      </w:tr>
      <w:tr w14:paraId="15809647">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DB18551">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3CC4903A">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3D7A8D54">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0E6B8E0">
            <w:pPr>
              <w:jc w:val="center"/>
              <w:rPr>
                <w:rFonts w:hint="eastAsia" w:ascii="宋体" w:hAnsi="宋体" w:cs="宋体"/>
                <w:color w:val="auto"/>
                <w:sz w:val="18"/>
                <w:szCs w:val="18"/>
              </w:rPr>
            </w:pPr>
          </w:p>
        </w:tc>
      </w:tr>
      <w:tr w14:paraId="47CF35CF">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BA53CA8">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7FF29CDC">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5DD7378E">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1359BB3D">
            <w:pPr>
              <w:jc w:val="center"/>
              <w:rPr>
                <w:rFonts w:hint="eastAsia" w:ascii="宋体" w:hAnsi="宋体" w:cs="宋体"/>
                <w:color w:val="auto"/>
                <w:sz w:val="18"/>
                <w:szCs w:val="18"/>
              </w:rPr>
            </w:pPr>
          </w:p>
        </w:tc>
      </w:tr>
      <w:tr w14:paraId="6C025200">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681E3FA">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4C2A5785">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7DAF3D4C">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EF34F61">
            <w:pPr>
              <w:jc w:val="center"/>
              <w:rPr>
                <w:rFonts w:hint="eastAsia" w:ascii="宋体" w:hAnsi="宋体" w:cs="宋体"/>
                <w:color w:val="auto"/>
                <w:sz w:val="18"/>
                <w:szCs w:val="18"/>
              </w:rPr>
            </w:pPr>
          </w:p>
        </w:tc>
      </w:tr>
      <w:tr w14:paraId="7C02B563">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A40A8B1">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2B9F0859">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49BD4C38">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EDC59F1">
            <w:pPr>
              <w:jc w:val="center"/>
              <w:rPr>
                <w:rFonts w:hint="eastAsia" w:ascii="宋体" w:hAnsi="宋体" w:cs="宋体"/>
                <w:color w:val="auto"/>
                <w:sz w:val="18"/>
                <w:szCs w:val="18"/>
              </w:rPr>
            </w:pPr>
          </w:p>
        </w:tc>
      </w:tr>
      <w:tr w14:paraId="779988EB">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2AEA160F">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76E7725B">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5A654E9C">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77705696">
            <w:pPr>
              <w:jc w:val="center"/>
              <w:rPr>
                <w:rFonts w:hint="eastAsia" w:ascii="宋体" w:hAnsi="宋体" w:cs="宋体"/>
                <w:color w:val="auto"/>
                <w:sz w:val="18"/>
                <w:szCs w:val="18"/>
              </w:rPr>
            </w:pPr>
          </w:p>
        </w:tc>
      </w:tr>
      <w:tr w14:paraId="3EBAF97D">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66809F8B">
            <w:pPr>
              <w:jc w:val="center"/>
              <w:rPr>
                <w:rFonts w:hint="eastAsia" w:ascii="宋体" w:hAnsi="宋体" w:cs="宋体"/>
                <w:color w:val="auto"/>
                <w:sz w:val="18"/>
                <w:szCs w:val="18"/>
              </w:rPr>
            </w:pPr>
          </w:p>
        </w:tc>
        <w:tc>
          <w:tcPr>
            <w:tcW w:w="4050" w:type="dxa"/>
            <w:tcBorders>
              <w:top w:val="single" w:color="000000" w:sz="4" w:space="0"/>
              <w:left w:val="single" w:color="000000" w:sz="4" w:space="0"/>
            </w:tcBorders>
            <w:shd w:val="clear" w:color="auto" w:fill="FFFFFF"/>
            <w:noWrap w:val="0"/>
            <w:vAlign w:val="center"/>
          </w:tcPr>
          <w:p w14:paraId="2C85DBC4">
            <w:pPr>
              <w:jc w:val="left"/>
              <w:rPr>
                <w:rFonts w:hint="eastAsia" w:ascii="宋体" w:hAnsi="宋体" w:cs="宋体"/>
                <w:color w:val="auto"/>
                <w:sz w:val="18"/>
                <w:szCs w:val="18"/>
              </w:rPr>
            </w:pPr>
          </w:p>
        </w:tc>
        <w:tc>
          <w:tcPr>
            <w:tcW w:w="1950" w:type="dxa"/>
            <w:tcBorders>
              <w:top w:val="single" w:color="000000" w:sz="4" w:space="0"/>
              <w:left w:val="single" w:color="000000" w:sz="4" w:space="0"/>
            </w:tcBorders>
            <w:shd w:val="clear" w:color="auto" w:fill="FFFFFF"/>
            <w:noWrap w:val="0"/>
            <w:vAlign w:val="center"/>
          </w:tcPr>
          <w:p w14:paraId="141C9022">
            <w:pPr>
              <w:jc w:val="right"/>
              <w:rPr>
                <w:rFonts w:hint="eastAsia" w:ascii="宋体" w:hAnsi="宋体" w:cs="宋体"/>
                <w:color w:val="auto"/>
                <w:sz w:val="18"/>
                <w:szCs w:val="18"/>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4931B171">
            <w:pPr>
              <w:jc w:val="center"/>
              <w:rPr>
                <w:rFonts w:hint="eastAsia" w:ascii="宋体" w:hAnsi="宋体" w:cs="宋体"/>
                <w:color w:val="auto"/>
                <w:sz w:val="18"/>
                <w:szCs w:val="18"/>
              </w:rPr>
            </w:pPr>
          </w:p>
        </w:tc>
      </w:tr>
      <w:tr w14:paraId="531E40AF">
        <w:tblPrEx>
          <w:tblCellMar>
            <w:top w:w="15" w:type="dxa"/>
            <w:left w:w="15" w:type="dxa"/>
            <w:bottom w:w="15" w:type="dxa"/>
            <w:right w:w="15" w:type="dxa"/>
          </w:tblCellMar>
        </w:tblPrEx>
        <w:trPr>
          <w:trHeight w:val="435" w:hRule="atLeast"/>
        </w:trPr>
        <w:tc>
          <w:tcPr>
            <w:tcW w:w="4710" w:type="dxa"/>
            <w:gridSpan w:val="2"/>
            <w:tcBorders>
              <w:top w:val="single" w:color="000000" w:sz="4" w:space="0"/>
              <w:left w:val="single" w:color="000000" w:sz="4" w:space="0"/>
              <w:bottom w:val="single" w:color="000000" w:sz="4" w:space="0"/>
            </w:tcBorders>
            <w:shd w:val="clear" w:color="auto" w:fill="FFFFFF"/>
            <w:noWrap w:val="0"/>
            <w:vAlign w:val="center"/>
          </w:tcPr>
          <w:p w14:paraId="648728B0">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合    计</w:t>
            </w:r>
          </w:p>
        </w:tc>
        <w:tc>
          <w:tcPr>
            <w:tcW w:w="1950" w:type="dxa"/>
            <w:tcBorders>
              <w:top w:val="single" w:color="000000" w:sz="4" w:space="0"/>
              <w:left w:val="single" w:color="000000" w:sz="4" w:space="0"/>
              <w:bottom w:val="single" w:color="000000" w:sz="4" w:space="0"/>
            </w:tcBorders>
            <w:shd w:val="clear" w:color="auto" w:fill="FFFFFF"/>
            <w:noWrap w:val="0"/>
            <w:vAlign w:val="center"/>
          </w:tcPr>
          <w:p w14:paraId="6306A479">
            <w:pPr>
              <w:jc w:val="right"/>
              <w:rPr>
                <w:rFonts w:hint="eastAsia" w:ascii="宋体" w:hAnsi="宋体" w:cs="宋体"/>
                <w:color w:val="auto"/>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87A3E">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0</w:t>
            </w:r>
          </w:p>
        </w:tc>
      </w:tr>
    </w:tbl>
    <w:p w14:paraId="2FC8698B">
      <w:pPr>
        <w:pStyle w:val="3"/>
        <w:spacing w:line="440" w:lineRule="exact"/>
        <w:rPr>
          <w:rFonts w:hint="eastAsia" w:ascii="黑体" w:hAnsi="宋体"/>
          <w:color w:val="auto"/>
          <w:sz w:val="24"/>
          <w:szCs w:val="24"/>
        </w:rPr>
      </w:pPr>
      <w:bookmarkStart w:id="89" w:name="_Toc17985"/>
      <w:r>
        <w:rPr>
          <w:rFonts w:hint="eastAsia" w:ascii="黑体" w:hAnsi="宋体"/>
          <w:color w:val="auto"/>
          <w:sz w:val="24"/>
          <w:szCs w:val="24"/>
        </w:rPr>
        <w:t>附件</w:t>
      </w:r>
      <w:r>
        <w:rPr>
          <w:rFonts w:hint="eastAsia" w:ascii="黑体" w:hAnsi="宋体"/>
          <w:color w:val="auto"/>
          <w:sz w:val="24"/>
          <w:szCs w:val="24"/>
          <w:lang w:val="en-US" w:eastAsia="zh-CN"/>
        </w:rPr>
        <w:t>10</w:t>
      </w:r>
      <w:r>
        <w:rPr>
          <w:rFonts w:hint="eastAsia" w:ascii="黑体" w:hAnsi="宋体"/>
          <w:color w:val="auto"/>
          <w:sz w:val="24"/>
          <w:szCs w:val="24"/>
        </w:rPr>
        <w:t xml:space="preserve"> </w:t>
      </w:r>
      <w:bookmarkEnd w:id="83"/>
      <w:r>
        <w:rPr>
          <w:rFonts w:hint="eastAsia" w:ascii="黑体" w:hAnsi="宋体"/>
          <w:color w:val="auto"/>
          <w:sz w:val="24"/>
          <w:szCs w:val="24"/>
        </w:rPr>
        <w:t>资格证明文件</w:t>
      </w:r>
      <w:bookmarkEnd w:id="84"/>
      <w:bookmarkEnd w:id="89"/>
    </w:p>
    <w:p w14:paraId="547E9B9D">
      <w:pPr>
        <w:spacing w:line="440" w:lineRule="exact"/>
        <w:jc w:val="center"/>
        <w:rPr>
          <w:rFonts w:hint="eastAsia" w:ascii="宋体" w:hAnsi="宋体" w:cs="宋体"/>
          <w:b/>
          <w:color w:val="auto"/>
          <w:sz w:val="28"/>
          <w:szCs w:val="28"/>
        </w:rPr>
      </w:pPr>
      <w:r>
        <w:rPr>
          <w:rFonts w:hint="eastAsia" w:ascii="宋体" w:hAnsi="宋体" w:cs="宋体"/>
          <w:b/>
          <w:color w:val="auto"/>
          <w:sz w:val="28"/>
          <w:szCs w:val="28"/>
        </w:rPr>
        <w:t>资格证明文件</w:t>
      </w:r>
    </w:p>
    <w:p w14:paraId="650EDDCC">
      <w:pPr>
        <w:spacing w:line="380" w:lineRule="exact"/>
        <w:jc w:val="center"/>
        <w:rPr>
          <w:rFonts w:hint="eastAsia" w:ascii="宋体" w:hAnsi="宋体" w:cs="宋体"/>
          <w:b/>
          <w:color w:val="auto"/>
          <w:sz w:val="24"/>
        </w:rPr>
      </w:pPr>
      <w:r>
        <w:rPr>
          <w:rFonts w:hint="eastAsia" w:ascii="宋体" w:hAnsi="宋体" w:cs="宋体"/>
          <w:b/>
          <w:color w:val="auto"/>
          <w:sz w:val="24"/>
        </w:rPr>
        <w:t>（1）法定代表人、单位负责人或自然人本人的身份证明（适用于法定代表人、单位负责人或者自然人本人代表磋商供应商参加磋商）</w:t>
      </w:r>
    </w:p>
    <w:p w14:paraId="4CDA1FF8">
      <w:pPr>
        <w:autoSpaceDE w:val="0"/>
        <w:autoSpaceDN w:val="0"/>
        <w:adjustRightInd w:val="0"/>
        <w:rPr>
          <w:rFonts w:hint="eastAsia" w:ascii="宋体" w:hAnsi="宋体" w:cs="宋体"/>
          <w:color w:val="auto"/>
          <w:kern w:val="0"/>
          <w:sz w:val="22"/>
          <w:szCs w:val="22"/>
        </w:rPr>
      </w:pPr>
    </w:p>
    <w:p w14:paraId="4BA92FA3">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磋商供应商名称：</w:t>
      </w:r>
      <w:r>
        <w:rPr>
          <w:rFonts w:hint="eastAsia" w:ascii="宋体" w:hAnsi="宋体" w:cs="宋体"/>
          <w:color w:val="auto"/>
          <w:kern w:val="0"/>
          <w:sz w:val="22"/>
          <w:szCs w:val="22"/>
          <w:u w:val="single"/>
        </w:rPr>
        <w:t xml:space="preserve">                            </w:t>
      </w:r>
    </w:p>
    <w:p w14:paraId="5ECDD410">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 xml:space="preserve">单位性质： </w:t>
      </w:r>
      <w:r>
        <w:rPr>
          <w:rFonts w:hint="eastAsia" w:ascii="宋体" w:hAnsi="宋体" w:cs="宋体"/>
          <w:color w:val="auto"/>
          <w:kern w:val="0"/>
          <w:sz w:val="22"/>
          <w:szCs w:val="22"/>
          <w:u w:val="single"/>
        </w:rPr>
        <w:t xml:space="preserve">                                 </w:t>
      </w:r>
    </w:p>
    <w:p w14:paraId="7CD0EB08">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地    址：</w:t>
      </w:r>
      <w:r>
        <w:rPr>
          <w:rFonts w:hint="eastAsia" w:ascii="宋体" w:hAnsi="宋体" w:cs="宋体"/>
          <w:color w:val="auto"/>
          <w:kern w:val="0"/>
          <w:sz w:val="22"/>
          <w:szCs w:val="22"/>
          <w:u w:val="single"/>
        </w:rPr>
        <w:t xml:space="preserve">                                  </w:t>
      </w:r>
    </w:p>
    <w:p w14:paraId="674F7138">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 xml:space="preserve">成立时间： </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w:t>
      </w:r>
      <w:r>
        <w:rPr>
          <w:rFonts w:hint="eastAsia" w:ascii="宋体" w:hAnsi="宋体" w:cs="宋体"/>
          <w:color w:val="auto"/>
          <w:kern w:val="0"/>
          <w:sz w:val="22"/>
          <w:szCs w:val="22"/>
        </w:rPr>
        <w:tab/>
      </w:r>
    </w:p>
    <w:p w14:paraId="1CC3BB5B">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经营期限：</w:t>
      </w:r>
      <w:r>
        <w:rPr>
          <w:rFonts w:hint="eastAsia" w:ascii="宋体" w:hAnsi="宋体" w:cs="宋体"/>
          <w:color w:val="auto"/>
          <w:kern w:val="0"/>
          <w:sz w:val="22"/>
          <w:szCs w:val="22"/>
          <w:u w:val="single"/>
        </w:rPr>
        <w:t xml:space="preserve">                                   </w:t>
      </w:r>
    </w:p>
    <w:p w14:paraId="3B0C8AA1">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姓    名：</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 性别：</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年龄：</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职务：</w:t>
      </w:r>
      <w:r>
        <w:rPr>
          <w:rFonts w:hint="eastAsia" w:ascii="宋体" w:hAnsi="宋体" w:cs="宋体"/>
          <w:color w:val="auto"/>
          <w:kern w:val="0"/>
          <w:sz w:val="22"/>
          <w:szCs w:val="22"/>
          <w:u w:val="single"/>
        </w:rPr>
        <w:t xml:space="preserve">         </w:t>
      </w:r>
    </w:p>
    <w:p w14:paraId="55A26451">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系：</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 （磋商供应商名称）的法定代表人</w:t>
      </w:r>
    </w:p>
    <w:p w14:paraId="0E5E23BA">
      <w:pPr>
        <w:autoSpaceDE w:val="0"/>
        <w:autoSpaceDN w:val="0"/>
        <w:adjustRightInd w:val="0"/>
        <w:spacing w:line="440" w:lineRule="exact"/>
        <w:rPr>
          <w:rFonts w:hint="eastAsia" w:ascii="宋体" w:hAnsi="宋体" w:cs="宋体"/>
          <w:color w:val="auto"/>
          <w:kern w:val="0"/>
          <w:sz w:val="22"/>
          <w:szCs w:val="22"/>
        </w:rPr>
      </w:pPr>
      <w:r>
        <w:rPr>
          <w:rFonts w:hint="eastAsia" w:ascii="宋体" w:hAnsi="宋体" w:cs="宋体"/>
          <w:color w:val="auto"/>
          <w:kern w:val="0"/>
          <w:sz w:val="22"/>
          <w:szCs w:val="22"/>
        </w:rPr>
        <w:t>特此证明</w:t>
      </w:r>
    </w:p>
    <w:p w14:paraId="5EA01FDB">
      <w:pPr>
        <w:autoSpaceDE w:val="0"/>
        <w:autoSpaceDN w:val="0"/>
        <w:adjustRightInd w:val="0"/>
        <w:spacing w:line="440" w:lineRule="exact"/>
        <w:rPr>
          <w:rFonts w:hint="eastAsia" w:ascii="宋体" w:hAnsi="宋体" w:cs="宋体"/>
          <w:color w:val="auto"/>
          <w:kern w:val="0"/>
          <w:sz w:val="22"/>
          <w:szCs w:val="22"/>
        </w:rPr>
      </w:pPr>
    </w:p>
    <w:p w14:paraId="332CE5CF">
      <w:pPr>
        <w:autoSpaceDE w:val="0"/>
        <w:autoSpaceDN w:val="0"/>
        <w:adjustRightInd w:val="0"/>
        <w:spacing w:line="440" w:lineRule="exact"/>
        <w:rPr>
          <w:rFonts w:hint="eastAsia" w:ascii="宋体" w:hAnsi="宋体" w:cs="宋体"/>
          <w:color w:val="auto"/>
          <w:kern w:val="0"/>
          <w:sz w:val="22"/>
          <w:szCs w:val="22"/>
        </w:rPr>
      </w:pPr>
    </w:p>
    <w:p w14:paraId="2C13FB6B">
      <w:pPr>
        <w:autoSpaceDE w:val="0"/>
        <w:autoSpaceDN w:val="0"/>
        <w:adjustRightInd w:val="0"/>
        <w:spacing w:line="440" w:lineRule="exact"/>
        <w:rPr>
          <w:rFonts w:hint="eastAsia" w:ascii="宋体" w:hAnsi="宋体" w:cs="宋体"/>
          <w:color w:val="auto"/>
          <w:kern w:val="0"/>
          <w:sz w:val="22"/>
          <w:szCs w:val="22"/>
        </w:rPr>
      </w:pPr>
    </w:p>
    <w:p w14:paraId="1679586E">
      <w:pPr>
        <w:autoSpaceDE w:val="0"/>
        <w:autoSpaceDN w:val="0"/>
        <w:adjustRightInd w:val="0"/>
        <w:spacing w:line="440" w:lineRule="exact"/>
        <w:jc w:val="right"/>
        <w:rPr>
          <w:rFonts w:hint="eastAsia" w:ascii="宋体" w:hAnsi="宋体" w:cs="宋体"/>
          <w:color w:val="auto"/>
          <w:kern w:val="0"/>
          <w:sz w:val="22"/>
          <w:szCs w:val="22"/>
        </w:rPr>
      </w:pPr>
      <w:r>
        <w:rPr>
          <w:rFonts w:hint="eastAsia" w:ascii="宋体" w:hAnsi="宋体" w:cs="宋体"/>
          <w:color w:val="auto"/>
          <w:kern w:val="0"/>
          <w:sz w:val="22"/>
          <w:szCs w:val="22"/>
        </w:rPr>
        <w:t>磋商供应商：</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（盖单位章）</w:t>
      </w:r>
    </w:p>
    <w:p w14:paraId="0027BA11">
      <w:pPr>
        <w:wordWrap w:val="0"/>
        <w:autoSpaceDE w:val="0"/>
        <w:autoSpaceDN w:val="0"/>
        <w:adjustRightInd w:val="0"/>
        <w:spacing w:line="440" w:lineRule="exact"/>
        <w:ind w:firstLine="1650" w:firstLineChars="750"/>
        <w:jc w:val="right"/>
        <w:rPr>
          <w:rFonts w:hint="eastAsia" w:ascii="宋体" w:hAnsi="宋体" w:cs="宋体"/>
          <w:color w:val="auto"/>
          <w:kern w:val="0"/>
          <w:sz w:val="22"/>
          <w:szCs w:val="22"/>
        </w:rPr>
      </w:pPr>
      <w:r>
        <w:rPr>
          <w:rFonts w:hint="eastAsia" w:ascii="宋体" w:hAnsi="宋体" w:cs="宋体"/>
          <w:color w:val="auto"/>
          <w:kern w:val="0"/>
          <w:sz w:val="22"/>
          <w:szCs w:val="22"/>
        </w:rPr>
        <w:t>日期：        年      月       日</w:t>
      </w:r>
    </w:p>
    <w:p w14:paraId="532C0958">
      <w:pPr>
        <w:autoSpaceDE w:val="0"/>
        <w:autoSpaceDN w:val="0"/>
        <w:adjustRightInd w:val="0"/>
        <w:jc w:val="left"/>
        <w:rPr>
          <w:rFonts w:hint="eastAsia" w:ascii="宋体" w:hAnsi="宋体" w:cs="宋体"/>
          <w:color w:val="auto"/>
          <w:kern w:val="0"/>
          <w:sz w:val="22"/>
          <w:szCs w:val="22"/>
        </w:rPr>
      </w:pPr>
    </w:p>
    <w:p w14:paraId="2D1BA023">
      <w:pPr>
        <w:spacing w:line="380" w:lineRule="exact"/>
        <w:jc w:val="center"/>
        <w:rPr>
          <w:rFonts w:hint="eastAsia" w:ascii="宋体" w:hAnsi="宋体" w:cs="宋体"/>
          <w:b/>
          <w:color w:val="auto"/>
          <w:sz w:val="24"/>
        </w:rPr>
      </w:pPr>
    </w:p>
    <w:p w14:paraId="7DA2896F">
      <w:pPr>
        <w:spacing w:line="380" w:lineRule="exact"/>
        <w:rPr>
          <w:rFonts w:hint="eastAsia" w:ascii="宋体" w:hAnsi="宋体" w:cs="宋体"/>
          <w:b/>
          <w:color w:val="auto"/>
          <w:sz w:val="24"/>
        </w:rPr>
      </w:pPr>
      <w:r>
        <w:rPr>
          <w:rFonts w:hint="eastAsia" w:ascii="宋体" w:hAnsi="宋体" w:cs="宋体"/>
          <w:b/>
          <w:color w:val="auto"/>
          <w:sz w:val="24"/>
        </w:rPr>
        <w:t>附：法定代表人身份证明</w:t>
      </w:r>
    </w:p>
    <w:p w14:paraId="4B3BAE36">
      <w:pPr>
        <w:spacing w:line="380" w:lineRule="exact"/>
        <w:rPr>
          <w:rFonts w:hint="eastAsia" w:ascii="宋体" w:hAnsi="宋体" w:cs="宋体"/>
          <w:b/>
          <w:color w:val="auto"/>
          <w:sz w:val="24"/>
        </w:rPr>
      </w:pPr>
    </w:p>
    <w:tbl>
      <w:tblPr>
        <w:tblStyle w:val="37"/>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1BA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tcPr>
          <w:p w14:paraId="7720D8DD">
            <w:pPr>
              <w:spacing w:line="440" w:lineRule="exact"/>
              <w:rPr>
                <w:rFonts w:hint="eastAsia" w:ascii="宋体" w:hAnsi="宋体" w:cs="宋体"/>
                <w:color w:val="auto"/>
                <w:sz w:val="22"/>
                <w:szCs w:val="22"/>
              </w:rPr>
            </w:pPr>
          </w:p>
          <w:p w14:paraId="40703C08">
            <w:pPr>
              <w:spacing w:line="440" w:lineRule="exact"/>
              <w:rPr>
                <w:rFonts w:hint="eastAsia" w:ascii="宋体" w:hAnsi="宋体" w:cs="宋体"/>
                <w:color w:val="auto"/>
                <w:sz w:val="22"/>
                <w:szCs w:val="22"/>
              </w:rPr>
            </w:pPr>
          </w:p>
          <w:p w14:paraId="102AC698">
            <w:pPr>
              <w:spacing w:line="440" w:lineRule="exact"/>
              <w:rPr>
                <w:rFonts w:hint="eastAsia" w:ascii="宋体" w:hAnsi="宋体" w:cs="宋体"/>
                <w:color w:val="auto"/>
                <w:sz w:val="22"/>
                <w:szCs w:val="22"/>
              </w:rPr>
            </w:pPr>
          </w:p>
          <w:p w14:paraId="74831300">
            <w:pPr>
              <w:spacing w:line="440" w:lineRule="exact"/>
              <w:ind w:firstLine="1100" w:firstLineChars="500"/>
              <w:jc w:val="center"/>
              <w:rPr>
                <w:rFonts w:hint="eastAsia" w:ascii="宋体" w:hAnsi="宋体" w:cs="宋体"/>
                <w:color w:val="auto"/>
                <w:sz w:val="22"/>
                <w:szCs w:val="22"/>
              </w:rPr>
            </w:pPr>
            <w:r>
              <w:rPr>
                <w:rFonts w:hint="eastAsia" w:ascii="宋体" w:hAnsi="宋体" w:cs="宋体"/>
                <w:color w:val="auto"/>
                <w:sz w:val="22"/>
                <w:szCs w:val="22"/>
              </w:rPr>
              <w:t>法人代表身份证复印件（粘贴处）</w:t>
            </w:r>
          </w:p>
        </w:tc>
      </w:tr>
    </w:tbl>
    <w:p w14:paraId="2DA0A5FE">
      <w:pPr>
        <w:spacing w:line="380" w:lineRule="exact"/>
        <w:jc w:val="center"/>
        <w:rPr>
          <w:rFonts w:hint="eastAsia"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14:paraId="362F9772">
      <w:pPr>
        <w:spacing w:line="460" w:lineRule="exact"/>
        <w:rPr>
          <w:rFonts w:hint="eastAsia" w:ascii="宋体" w:hAnsi="宋体" w:cs="宋体"/>
          <w:color w:val="auto"/>
          <w:sz w:val="22"/>
          <w:szCs w:val="22"/>
        </w:rPr>
      </w:pPr>
    </w:p>
    <w:p w14:paraId="150B1F70">
      <w:pPr>
        <w:spacing w:line="460" w:lineRule="exact"/>
        <w:rPr>
          <w:rFonts w:hint="eastAsia" w:ascii="宋体" w:hAnsi="宋体" w:cs="宋体"/>
          <w:b/>
          <w:color w:val="auto"/>
          <w:sz w:val="24"/>
        </w:rPr>
      </w:pPr>
      <w:r>
        <w:rPr>
          <w:rFonts w:hint="eastAsia" w:ascii="宋体" w:hAnsi="宋体" w:cs="宋体"/>
          <w:b/>
          <w:color w:val="auto"/>
          <w:sz w:val="24"/>
          <w:lang w:eastAsia="zh-CN"/>
        </w:rPr>
        <w:t>浙江安防职业技术学院</w:t>
      </w:r>
      <w:r>
        <w:rPr>
          <w:rFonts w:hint="eastAsia" w:ascii="宋体" w:hAnsi="宋体" w:cs="宋体"/>
          <w:b/>
          <w:color w:val="auto"/>
          <w:sz w:val="24"/>
        </w:rPr>
        <w:t>：</w:t>
      </w:r>
    </w:p>
    <w:p w14:paraId="32A7D50D">
      <w:pPr>
        <w:spacing w:line="440" w:lineRule="exact"/>
        <w:rPr>
          <w:rFonts w:hint="eastAsia" w:ascii="宋体" w:hAnsi="宋体" w:cs="宋体"/>
          <w:color w:val="auto"/>
          <w:sz w:val="22"/>
          <w:szCs w:val="22"/>
          <w:u w:val="single"/>
        </w:rPr>
      </w:pPr>
    </w:p>
    <w:p w14:paraId="0227679A">
      <w:pPr>
        <w:spacing w:line="440" w:lineRule="exact"/>
        <w:ind w:firstLine="550" w:firstLineChars="250"/>
        <w:rPr>
          <w:rFonts w:hint="eastAsia"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（磋商供应商全称）的法定代表人，现委托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（项目名称、编号）响应文件、签订合同和处理有关事宜，其法律后果由我方承担。</w:t>
      </w:r>
    </w:p>
    <w:p w14:paraId="5D9DA182">
      <w:pPr>
        <w:spacing w:line="440" w:lineRule="exact"/>
        <w:rPr>
          <w:rFonts w:hint="eastAsia"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p>
    <w:p w14:paraId="0E6293AF">
      <w:pPr>
        <w:spacing w:line="440" w:lineRule="exact"/>
        <w:rPr>
          <w:rFonts w:hint="eastAsia" w:ascii="宋体" w:hAnsi="宋体" w:cs="宋体"/>
          <w:color w:val="auto"/>
          <w:sz w:val="22"/>
          <w:szCs w:val="22"/>
        </w:rPr>
      </w:pPr>
      <w:r>
        <w:rPr>
          <w:rFonts w:hint="eastAsia" w:ascii="宋体" w:hAnsi="宋体" w:cs="宋体"/>
          <w:color w:val="auto"/>
          <w:sz w:val="22"/>
          <w:szCs w:val="22"/>
        </w:rPr>
        <w:t xml:space="preserve">    代理人无转委托权。</w:t>
      </w:r>
    </w:p>
    <w:p w14:paraId="60DC5085">
      <w:pPr>
        <w:spacing w:line="440" w:lineRule="exact"/>
        <w:ind w:firstLine="2955"/>
        <w:rPr>
          <w:rFonts w:hint="eastAsia" w:ascii="宋体" w:hAnsi="宋体" w:cs="宋体"/>
          <w:color w:val="auto"/>
          <w:sz w:val="22"/>
          <w:szCs w:val="22"/>
        </w:rPr>
      </w:pPr>
      <w:r>
        <w:rPr>
          <w:rFonts w:hint="eastAsia" w:ascii="宋体" w:hAnsi="宋体" w:cs="宋体"/>
          <w:color w:val="auto"/>
          <w:sz w:val="22"/>
          <w:szCs w:val="22"/>
        </w:rPr>
        <w:t xml:space="preserve">          </w:t>
      </w:r>
    </w:p>
    <w:p w14:paraId="76D99829">
      <w:pPr>
        <w:spacing w:line="440" w:lineRule="exact"/>
        <w:ind w:firstLine="4301" w:firstLineChars="1955"/>
        <w:rPr>
          <w:rFonts w:hint="eastAsia" w:ascii="宋体" w:hAnsi="宋体" w:cs="宋体"/>
          <w:color w:val="auto"/>
          <w:sz w:val="22"/>
          <w:szCs w:val="22"/>
        </w:rPr>
      </w:pPr>
      <w:r>
        <w:rPr>
          <w:rFonts w:hint="eastAsia" w:ascii="宋体" w:hAnsi="宋体" w:cs="宋体"/>
          <w:color w:val="auto"/>
          <w:sz w:val="22"/>
          <w:szCs w:val="22"/>
        </w:rPr>
        <w:t>法定代表人（签字/电子签字）：</w:t>
      </w:r>
    </w:p>
    <w:p w14:paraId="4E2003E0">
      <w:pPr>
        <w:spacing w:line="440" w:lineRule="exact"/>
        <w:ind w:firstLine="2955"/>
        <w:rPr>
          <w:rFonts w:hint="eastAsia"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磋商供应商全称（电子签名/公章）：</w:t>
      </w:r>
    </w:p>
    <w:p w14:paraId="0B35B712">
      <w:pPr>
        <w:spacing w:line="440" w:lineRule="exact"/>
        <w:ind w:firstLine="2955"/>
        <w:rPr>
          <w:rFonts w:hint="eastAsia"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 xml:space="preserve"> 日期：      年    月    日</w:t>
      </w:r>
    </w:p>
    <w:p w14:paraId="7F511BDB">
      <w:pPr>
        <w:spacing w:line="440" w:lineRule="exact"/>
        <w:rPr>
          <w:rFonts w:hint="eastAsia" w:ascii="宋体" w:hAnsi="宋体" w:cs="宋体"/>
          <w:color w:val="auto"/>
          <w:sz w:val="22"/>
          <w:szCs w:val="22"/>
        </w:rPr>
      </w:pPr>
    </w:p>
    <w:p w14:paraId="28B03AE1">
      <w:pPr>
        <w:spacing w:line="440" w:lineRule="exact"/>
        <w:rPr>
          <w:rFonts w:hint="eastAsia" w:ascii="宋体" w:hAnsi="宋体" w:cs="宋体"/>
          <w:color w:val="auto"/>
          <w:sz w:val="22"/>
          <w:szCs w:val="22"/>
        </w:rPr>
      </w:pPr>
    </w:p>
    <w:p w14:paraId="28D9F861">
      <w:pPr>
        <w:spacing w:line="440" w:lineRule="exact"/>
        <w:rPr>
          <w:rFonts w:hint="eastAsia" w:ascii="宋体" w:hAnsi="宋体" w:cs="宋体"/>
          <w:color w:val="auto"/>
          <w:sz w:val="22"/>
          <w:szCs w:val="22"/>
        </w:rPr>
      </w:pPr>
      <w:r>
        <w:rPr>
          <w:rFonts w:hint="eastAsia" w:ascii="宋体" w:hAnsi="宋体" w:cs="宋体"/>
          <w:color w:val="auto"/>
          <w:sz w:val="22"/>
          <w:szCs w:val="22"/>
        </w:rPr>
        <w:t>附：</w:t>
      </w:r>
    </w:p>
    <w:p w14:paraId="6F43B580">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授权代表姓名：</w:t>
      </w:r>
    </w:p>
    <w:p w14:paraId="1A7C570E">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14:paraId="1AA69CDB">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14:paraId="259AD5DE">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手机：</w:t>
      </w:r>
    </w:p>
    <w:p w14:paraId="4808C6B6">
      <w:pPr>
        <w:spacing w:line="440" w:lineRule="exact"/>
        <w:rPr>
          <w:rFonts w:hint="eastAsia" w:ascii="宋体" w:hAnsi="宋体" w:cs="宋体"/>
          <w:color w:val="auto"/>
          <w:sz w:val="22"/>
          <w:szCs w:val="22"/>
        </w:rPr>
      </w:pPr>
      <w:r>
        <w:rPr>
          <w:rFonts w:hint="eastAsia" w:ascii="宋体" w:hAnsi="宋体" w:cs="宋体"/>
          <w:b/>
          <w:color w:val="auto"/>
          <w:sz w:val="24"/>
        </w:rPr>
        <w:t>附：授权代表身份证明</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7855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14:paraId="7001C2E7">
            <w:pPr>
              <w:spacing w:line="440" w:lineRule="exact"/>
              <w:rPr>
                <w:rFonts w:hint="eastAsia" w:ascii="宋体" w:hAnsi="宋体" w:cs="宋体"/>
                <w:color w:val="auto"/>
                <w:sz w:val="22"/>
                <w:szCs w:val="22"/>
              </w:rPr>
            </w:pPr>
          </w:p>
          <w:p w14:paraId="235A0A8B">
            <w:pPr>
              <w:spacing w:line="440" w:lineRule="exact"/>
              <w:rPr>
                <w:rFonts w:hint="eastAsia" w:ascii="宋体" w:hAnsi="宋体" w:cs="宋体"/>
                <w:color w:val="auto"/>
                <w:sz w:val="22"/>
                <w:szCs w:val="22"/>
              </w:rPr>
            </w:pPr>
          </w:p>
          <w:p w14:paraId="222B0801">
            <w:pPr>
              <w:spacing w:line="440" w:lineRule="exact"/>
              <w:rPr>
                <w:rFonts w:hint="eastAsia" w:ascii="宋体" w:hAnsi="宋体" w:cs="宋体"/>
                <w:color w:val="auto"/>
                <w:sz w:val="22"/>
                <w:szCs w:val="22"/>
              </w:rPr>
            </w:pPr>
          </w:p>
          <w:p w14:paraId="76F0C4C8">
            <w:pPr>
              <w:spacing w:line="440" w:lineRule="exact"/>
              <w:ind w:firstLine="1100" w:firstLineChars="500"/>
              <w:jc w:val="center"/>
              <w:rPr>
                <w:rFonts w:hint="eastAsia" w:ascii="宋体" w:hAnsi="宋体" w:cs="宋体"/>
                <w:color w:val="auto"/>
                <w:sz w:val="22"/>
                <w:szCs w:val="22"/>
              </w:rPr>
            </w:pPr>
            <w:r>
              <w:rPr>
                <w:rFonts w:hint="eastAsia" w:ascii="宋体" w:hAnsi="宋体" w:cs="宋体"/>
                <w:color w:val="auto"/>
                <w:sz w:val="22"/>
                <w:szCs w:val="22"/>
              </w:rPr>
              <w:t>授权代表身份证复印件（扫描件）（粘贴处）</w:t>
            </w:r>
          </w:p>
        </w:tc>
      </w:tr>
    </w:tbl>
    <w:p w14:paraId="44F6CCBA">
      <w:pPr>
        <w:spacing w:line="440" w:lineRule="exact"/>
        <w:ind w:firstLine="220" w:firstLineChars="100"/>
        <w:rPr>
          <w:rFonts w:hint="eastAsia" w:ascii="宋体" w:hAnsi="宋体" w:cs="宋体"/>
          <w:color w:val="auto"/>
          <w:sz w:val="22"/>
          <w:szCs w:val="22"/>
        </w:rPr>
      </w:pPr>
    </w:p>
    <w:p w14:paraId="6D709B8E">
      <w:pPr>
        <w:spacing w:line="440" w:lineRule="exact"/>
        <w:rPr>
          <w:rFonts w:hint="eastAsia" w:ascii="宋体" w:hAnsi="宋体" w:cs="宋体"/>
          <w:b/>
          <w:bCs/>
          <w:color w:val="auto"/>
          <w:sz w:val="22"/>
          <w:szCs w:val="22"/>
        </w:rPr>
      </w:pPr>
    </w:p>
    <w:p w14:paraId="7178D75A">
      <w:pPr>
        <w:spacing w:line="440" w:lineRule="exact"/>
        <w:rPr>
          <w:rFonts w:ascii="宋体" w:hAnsi="宋体"/>
          <w:color w:val="auto"/>
        </w:rPr>
        <w:sectPr>
          <w:pgSz w:w="11906" w:h="16838"/>
          <w:pgMar w:top="1134" w:right="1134" w:bottom="1134" w:left="1134" w:header="851" w:footer="992" w:gutter="0"/>
          <w:cols w:space="720" w:num="1"/>
          <w:docGrid w:linePitch="312" w:charSpace="0"/>
        </w:sectPr>
      </w:pPr>
    </w:p>
    <w:p w14:paraId="4988B864">
      <w:pPr>
        <w:spacing w:line="380" w:lineRule="exact"/>
        <w:jc w:val="center"/>
        <w:rPr>
          <w:rFonts w:ascii="宋体" w:hAnsi="宋体" w:cs="宋体"/>
          <w:b/>
          <w:color w:val="auto"/>
          <w:sz w:val="24"/>
        </w:rPr>
      </w:pPr>
      <w:r>
        <w:rPr>
          <w:rFonts w:hint="eastAsia" w:ascii="宋体" w:hAnsi="宋体" w:cs="宋体"/>
          <w:b/>
          <w:color w:val="auto"/>
          <w:sz w:val="24"/>
        </w:rPr>
        <w:t>（3）</w:t>
      </w:r>
      <w:r>
        <w:rPr>
          <w:rFonts w:ascii="宋体" w:hAnsi="宋体" w:cs="宋体"/>
          <w:b/>
          <w:color w:val="auto"/>
          <w:sz w:val="24"/>
        </w:rPr>
        <w:t>符合参加政府采购活动应当具备的一般条件的承诺函</w:t>
      </w:r>
    </w:p>
    <w:p w14:paraId="0CA12EC8">
      <w:pPr>
        <w:spacing w:line="460" w:lineRule="exact"/>
        <w:ind w:right="-153" w:rightChars="-73"/>
        <w:rPr>
          <w:rFonts w:ascii="楷体_GB2312" w:hAnsi="宋体" w:eastAsia="楷体_GB2312"/>
          <w:bCs/>
          <w:color w:val="auto"/>
          <w:sz w:val="22"/>
          <w:szCs w:val="22"/>
        </w:rPr>
      </w:pPr>
    </w:p>
    <w:p w14:paraId="7086FFA5">
      <w:pPr>
        <w:snapToGrid w:val="0"/>
        <w:spacing w:line="360" w:lineRule="auto"/>
        <w:rPr>
          <w:rFonts w:ascii="宋体" w:hAnsi="宋体" w:cs="仿宋_GB2312"/>
          <w:b/>
          <w:bCs/>
          <w:color w:val="auto"/>
          <w:sz w:val="22"/>
          <w:szCs w:val="22"/>
        </w:rPr>
      </w:pPr>
      <w:r>
        <w:rPr>
          <w:rFonts w:hint="eastAsia" w:ascii="宋体" w:hAnsi="宋体" w:cs="Arial"/>
          <w:b/>
          <w:bCs/>
          <w:color w:val="auto"/>
          <w:sz w:val="22"/>
          <w:szCs w:val="22"/>
          <w:lang w:eastAsia="zh-CN"/>
        </w:rPr>
        <w:t>浙江安防职业技术学院</w:t>
      </w:r>
      <w:r>
        <w:rPr>
          <w:rFonts w:hint="eastAsia" w:ascii="宋体" w:hAnsi="宋体" w:cs="Arial"/>
          <w:b/>
          <w:bCs/>
          <w:color w:val="auto"/>
          <w:sz w:val="22"/>
          <w:szCs w:val="22"/>
        </w:rPr>
        <w:t>、</w:t>
      </w:r>
      <w:r>
        <w:rPr>
          <w:rFonts w:hint="eastAsia" w:ascii="宋体" w:hAnsi="宋体" w:cs="仿宋_GB2312"/>
          <w:b/>
          <w:bCs/>
          <w:color w:val="auto"/>
          <w:sz w:val="22"/>
          <w:szCs w:val="22"/>
        </w:rPr>
        <w:t>温州正风招标代理有限公司：</w:t>
      </w:r>
    </w:p>
    <w:p w14:paraId="1F6A72F3">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仿宋_GB2312"/>
          <w:color w:val="auto"/>
          <w:sz w:val="22"/>
          <w:szCs w:val="22"/>
          <w:u w:val="single"/>
        </w:rPr>
        <w:t xml:space="preserve"> </w:t>
      </w:r>
      <w:r>
        <w:rPr>
          <w:rFonts w:ascii="宋体" w:hAnsi="宋体" w:cs="仿宋_GB2312"/>
          <w:color w:val="auto"/>
          <w:sz w:val="22"/>
          <w:szCs w:val="22"/>
          <w:u w:val="single"/>
        </w:rPr>
        <w:t xml:space="preserve">     </w:t>
      </w:r>
      <w:r>
        <w:rPr>
          <w:rFonts w:hint="eastAsia" w:ascii="宋体" w:hAnsi="宋体" w:cs="仿宋_GB2312"/>
          <w:color w:val="auto"/>
          <w:sz w:val="22"/>
          <w:szCs w:val="22"/>
          <w:u w:val="single"/>
        </w:rPr>
        <w:t>（项目名称）【项目编号：】</w:t>
      </w:r>
      <w:r>
        <w:rPr>
          <w:rFonts w:hint="eastAsia" w:ascii="宋体" w:hAnsi="宋体" w:cs="仿宋_GB2312"/>
          <w:color w:val="auto"/>
          <w:sz w:val="22"/>
          <w:szCs w:val="22"/>
        </w:rPr>
        <w:t>政府采购活动，郑重承诺：</w:t>
      </w:r>
    </w:p>
    <w:p w14:paraId="7E17CC72">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14:paraId="31A72552">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14:paraId="700DFE07">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14:paraId="6B33D0B8">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14:paraId="24632682">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14:paraId="2551846A">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14:paraId="3F7338D9">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14:paraId="38DECA36">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14:paraId="2CC620B4">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14:paraId="6B5AFD62">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14:paraId="65E05BD0">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14:paraId="493F9EB8">
      <w:pPr>
        <w:snapToGrid w:val="0"/>
        <w:spacing w:line="360" w:lineRule="auto"/>
        <w:ind w:firstLine="440" w:firstLineChars="200"/>
        <w:rPr>
          <w:rFonts w:ascii="宋体" w:hAnsi="宋体" w:cs="仿宋_GB2312"/>
          <w:color w:val="auto"/>
          <w:sz w:val="22"/>
          <w:szCs w:val="22"/>
        </w:rPr>
      </w:pPr>
    </w:p>
    <w:p w14:paraId="47DF12C6">
      <w:pPr>
        <w:snapToGrid w:val="0"/>
        <w:spacing w:line="360" w:lineRule="auto"/>
        <w:ind w:firstLine="440" w:firstLineChars="200"/>
        <w:rPr>
          <w:rFonts w:ascii="宋体" w:hAnsi="宋体" w:cs="仿宋_GB2312"/>
          <w:color w:val="auto"/>
          <w:sz w:val="22"/>
          <w:szCs w:val="22"/>
        </w:rPr>
      </w:pPr>
    </w:p>
    <w:p w14:paraId="46BD3A9C">
      <w:pPr>
        <w:snapToGrid w:val="0"/>
        <w:spacing w:line="360" w:lineRule="auto"/>
        <w:ind w:firstLine="440" w:firstLineChars="200"/>
        <w:rPr>
          <w:rFonts w:ascii="宋体" w:hAnsi="宋体" w:cs="仿宋_GB2312"/>
          <w:color w:val="auto"/>
          <w:sz w:val="22"/>
          <w:szCs w:val="22"/>
        </w:rPr>
      </w:pPr>
    </w:p>
    <w:p w14:paraId="551745E2">
      <w:pPr>
        <w:spacing w:line="440" w:lineRule="exact"/>
        <w:ind w:firstLine="4620" w:firstLineChars="2100"/>
        <w:rPr>
          <w:rFonts w:ascii="宋体" w:hAnsi="宋体"/>
          <w:color w:val="auto"/>
          <w:sz w:val="22"/>
          <w:szCs w:val="22"/>
        </w:rPr>
      </w:pPr>
      <w:r>
        <w:rPr>
          <w:rFonts w:hint="eastAsia" w:ascii="宋体" w:hAnsi="宋体"/>
          <w:color w:val="auto"/>
          <w:sz w:val="22"/>
          <w:szCs w:val="22"/>
        </w:rPr>
        <w:t>供应商名称</w:t>
      </w:r>
      <w:r>
        <w:rPr>
          <w:rFonts w:hint="eastAsia" w:ascii="宋体" w:hAnsi="宋体" w:cs="宋体"/>
          <w:color w:val="auto"/>
          <w:sz w:val="22"/>
          <w:szCs w:val="22"/>
        </w:rPr>
        <w:t>（电子签名/公章）</w:t>
      </w:r>
      <w:r>
        <w:rPr>
          <w:rFonts w:ascii="宋体" w:hAnsi="宋体"/>
          <w:color w:val="auto"/>
          <w:sz w:val="22"/>
          <w:szCs w:val="22"/>
        </w:rPr>
        <w:t>：</w:t>
      </w:r>
    </w:p>
    <w:p w14:paraId="542FFB91">
      <w:pPr>
        <w:spacing w:line="440" w:lineRule="exact"/>
        <w:jc w:val="center"/>
        <w:rPr>
          <w:rFonts w:ascii="宋体" w:hAnsi="宋体"/>
          <w:color w:val="auto"/>
          <w:sz w:val="22"/>
          <w:szCs w:val="22"/>
        </w:rPr>
      </w:pPr>
      <w:r>
        <w:rPr>
          <w:rFonts w:ascii="宋体" w:hAnsi="宋体"/>
          <w:color w:val="auto"/>
          <w:sz w:val="22"/>
          <w:szCs w:val="22"/>
        </w:rPr>
        <w:t xml:space="preserve">                    </w:t>
      </w:r>
      <w:r>
        <w:rPr>
          <w:rFonts w:hint="eastAsia" w:ascii="宋体" w:hAnsi="宋体"/>
          <w:color w:val="auto"/>
          <w:sz w:val="22"/>
          <w:szCs w:val="22"/>
        </w:rPr>
        <w:t xml:space="preserve">    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月</w:t>
      </w:r>
      <w:r>
        <w:rPr>
          <w:rFonts w:ascii="宋体" w:hAnsi="宋体"/>
          <w:color w:val="auto"/>
          <w:sz w:val="22"/>
          <w:szCs w:val="22"/>
        </w:rPr>
        <w:t xml:space="preserve">     </w:t>
      </w:r>
      <w:r>
        <w:rPr>
          <w:rFonts w:hint="eastAsia" w:ascii="宋体" w:hAnsi="宋体"/>
          <w:color w:val="auto"/>
          <w:sz w:val="22"/>
          <w:szCs w:val="22"/>
        </w:rPr>
        <w:t>日</w:t>
      </w:r>
    </w:p>
    <w:p w14:paraId="0DE555BC">
      <w:pPr>
        <w:spacing w:line="360" w:lineRule="auto"/>
        <w:rPr>
          <w:rFonts w:ascii="宋体" w:hAnsi="宋体"/>
          <w:color w:val="auto"/>
          <w:sz w:val="22"/>
          <w:szCs w:val="22"/>
          <w:u w:val="single"/>
        </w:rPr>
      </w:pPr>
    </w:p>
    <w:p w14:paraId="1D7C7DD2">
      <w:pPr>
        <w:spacing w:line="360" w:lineRule="auto"/>
        <w:rPr>
          <w:rFonts w:ascii="宋体" w:hAnsi="宋体"/>
          <w:color w:val="auto"/>
          <w:sz w:val="22"/>
          <w:szCs w:val="22"/>
          <w:u w:val="single"/>
        </w:rPr>
      </w:pPr>
    </w:p>
    <w:p w14:paraId="1D2ABDDF">
      <w:pPr>
        <w:spacing w:line="360" w:lineRule="auto"/>
        <w:rPr>
          <w:rFonts w:hint="eastAsia" w:ascii="宋体" w:hAnsi="宋体"/>
          <w:color w:val="auto"/>
          <w:sz w:val="22"/>
          <w:szCs w:val="22"/>
          <w:u w:val="single"/>
        </w:rPr>
        <w:sectPr>
          <w:pgSz w:w="11906" w:h="16838"/>
          <w:pgMar w:top="1134" w:right="1134" w:bottom="1134" w:left="1134" w:header="851" w:footer="992" w:gutter="0"/>
          <w:cols w:space="720" w:num="1"/>
          <w:docGrid w:linePitch="312" w:charSpace="0"/>
        </w:sectPr>
      </w:pPr>
    </w:p>
    <w:p w14:paraId="12B20C27">
      <w:pPr>
        <w:numPr>
          <w:ilvl w:val="0"/>
          <w:numId w:val="7"/>
        </w:numPr>
        <w:snapToGrid w:val="0"/>
        <w:spacing w:line="360" w:lineRule="auto"/>
        <w:ind w:firstLine="576"/>
        <w:jc w:val="center"/>
        <w:rPr>
          <w:rFonts w:hint="eastAsia" w:ascii="宋体" w:hAnsi="宋体" w:cs="宋体"/>
          <w:b/>
          <w:color w:val="auto"/>
          <w:sz w:val="24"/>
        </w:rPr>
      </w:pPr>
      <w:r>
        <w:rPr>
          <w:rFonts w:hint="eastAsia" w:ascii="宋体" w:hAnsi="宋体" w:cs="宋体"/>
          <w:b/>
          <w:color w:val="auto"/>
          <w:sz w:val="24"/>
        </w:rPr>
        <w:t>分包意向协议（如有分包，请根据格式提供）</w:t>
      </w:r>
    </w:p>
    <w:p w14:paraId="118626E6">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u w:val="single"/>
        </w:rPr>
        <w:t>（投标人名称）</w:t>
      </w:r>
      <w:r>
        <w:rPr>
          <w:rFonts w:hint="eastAsia" w:ascii="宋体" w:hAnsi="宋体" w:cs="宋体"/>
          <w:color w:val="auto"/>
          <w:kern w:val="0"/>
          <w:sz w:val="22"/>
          <w:szCs w:val="22"/>
          <w:lang w:val="zh-CN"/>
        </w:rPr>
        <w:t>若成为</w:t>
      </w:r>
      <w:r>
        <w:rPr>
          <w:rFonts w:hint="eastAsia" w:ascii="宋体" w:hAnsi="宋体" w:cs="宋体"/>
          <w:color w:val="auto"/>
          <w:sz w:val="22"/>
          <w:szCs w:val="22"/>
          <w:u w:val="single"/>
        </w:rPr>
        <w:t>浙         项目【项目编号：         】</w:t>
      </w:r>
      <w:r>
        <w:rPr>
          <w:rFonts w:hint="eastAsia" w:ascii="宋体" w:hAnsi="宋体" w:cs="宋体"/>
          <w:color w:val="auto"/>
          <w:kern w:val="0"/>
          <w:sz w:val="22"/>
          <w:szCs w:val="22"/>
          <w:lang w:val="zh-CN"/>
        </w:rPr>
        <w:t>的中标供应商，将依法采取分包方式履行合同。</w:t>
      </w:r>
      <w:r>
        <w:rPr>
          <w:rFonts w:hint="eastAsia" w:ascii="宋体" w:hAnsi="宋体" w:cs="宋体"/>
          <w:color w:val="auto"/>
          <w:kern w:val="0"/>
          <w:sz w:val="22"/>
          <w:szCs w:val="22"/>
          <w:u w:val="single"/>
        </w:rPr>
        <w:t>（投标人名称）</w:t>
      </w:r>
      <w:r>
        <w:rPr>
          <w:rFonts w:hint="eastAsia" w:ascii="宋体" w:hAnsi="宋体" w:cs="宋体"/>
          <w:color w:val="auto"/>
          <w:kern w:val="0"/>
          <w:sz w:val="22"/>
          <w:szCs w:val="22"/>
        </w:rPr>
        <w:t>与</w:t>
      </w:r>
      <w:r>
        <w:rPr>
          <w:rFonts w:hint="eastAsia" w:ascii="宋体" w:hAnsi="宋体" w:cs="宋体"/>
          <w:color w:val="auto"/>
          <w:kern w:val="0"/>
          <w:sz w:val="22"/>
          <w:szCs w:val="22"/>
          <w:u w:val="single"/>
        </w:rPr>
        <w:t>（所有分包供应商名称）</w:t>
      </w:r>
      <w:r>
        <w:rPr>
          <w:rFonts w:hint="eastAsia" w:ascii="宋体" w:hAnsi="宋体" w:cs="宋体"/>
          <w:color w:val="auto"/>
          <w:kern w:val="0"/>
          <w:sz w:val="22"/>
          <w:szCs w:val="22"/>
        </w:rPr>
        <w:t>达成分包意向协议</w:t>
      </w:r>
      <w:r>
        <w:rPr>
          <w:rFonts w:hint="eastAsia" w:ascii="宋体" w:hAnsi="宋体" w:cs="宋体"/>
          <w:color w:val="auto"/>
          <w:kern w:val="0"/>
          <w:sz w:val="22"/>
          <w:szCs w:val="22"/>
          <w:lang w:val="zh-CN"/>
        </w:rPr>
        <w:t xml:space="preserve">。 </w:t>
      </w:r>
    </w:p>
    <w:p w14:paraId="50A03905">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一、分包标的及数量</w:t>
      </w:r>
    </w:p>
    <w:p w14:paraId="2B7B85E6">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u w:val="single"/>
        </w:rPr>
        <w:t>（投标人名称）</w:t>
      </w:r>
      <w:r>
        <w:rPr>
          <w:rFonts w:hint="eastAsia" w:ascii="宋体" w:hAnsi="宋体" w:cs="宋体"/>
          <w:color w:val="auto"/>
          <w:kern w:val="0"/>
          <w:sz w:val="22"/>
          <w:szCs w:val="22"/>
          <w:lang w:val="zh-CN"/>
        </w:rPr>
        <w:t>将</w:t>
      </w:r>
      <w:r>
        <w:rPr>
          <w:rFonts w:hint="eastAsia" w:ascii="宋体" w:hAnsi="宋体" w:cs="宋体"/>
          <w:color w:val="auto"/>
          <w:sz w:val="22"/>
          <w:szCs w:val="22"/>
          <w:u w:val="single"/>
        </w:rPr>
        <w:t xml:space="preserve">  </w:t>
      </w:r>
      <w:r>
        <w:rPr>
          <w:rFonts w:hint="eastAsia" w:ascii="宋体" w:hAnsi="宋体" w:cs="宋体"/>
          <w:color w:val="auto"/>
          <w:kern w:val="0"/>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kern w:val="0"/>
          <w:sz w:val="22"/>
          <w:szCs w:val="22"/>
          <w:u w:val="single"/>
        </w:rPr>
        <w:t>（分包供应商1名称）</w:t>
      </w:r>
      <w:r>
        <w:rPr>
          <w:rFonts w:hint="eastAsia" w:ascii="宋体" w:hAnsi="宋体" w:cs="宋体"/>
          <w:color w:val="auto"/>
          <w:kern w:val="0"/>
          <w:sz w:val="22"/>
          <w:szCs w:val="22"/>
          <w:lang w:val="zh-CN"/>
        </w:rPr>
        <w:t>，</w:t>
      </w:r>
      <w:r>
        <w:rPr>
          <w:rFonts w:hint="eastAsia" w:ascii="宋体" w:hAnsi="宋体" w:cs="宋体"/>
          <w:color w:val="auto"/>
          <w:kern w:val="0"/>
          <w:sz w:val="22"/>
          <w:szCs w:val="22"/>
          <w:u w:val="single"/>
        </w:rPr>
        <w:t>（分包供应商2名称），</w:t>
      </w:r>
      <w:r>
        <w:rPr>
          <w:rFonts w:hint="eastAsia" w:ascii="宋体" w:hAnsi="宋体" w:cs="宋体"/>
          <w:color w:val="auto"/>
          <w:kern w:val="0"/>
          <w:sz w:val="22"/>
          <w:szCs w:val="22"/>
          <w:lang w:val="zh-CN"/>
        </w:rPr>
        <w:t>具备承</w:t>
      </w:r>
      <w:r>
        <w:rPr>
          <w:rFonts w:hint="eastAsia" w:ascii="宋体" w:hAnsi="宋体" w:cs="宋体"/>
          <w:color w:val="auto"/>
          <w:kern w:val="0"/>
          <w:sz w:val="22"/>
          <w:szCs w:val="22"/>
        </w:rPr>
        <w:t>担</w:t>
      </w:r>
      <w:r>
        <w:rPr>
          <w:rFonts w:hint="eastAsia" w:ascii="宋体" w:hAnsi="宋体" w:cs="宋体"/>
          <w:color w:val="auto"/>
          <w:kern w:val="0"/>
          <w:sz w:val="22"/>
          <w:szCs w:val="22"/>
          <w:u w:val="single"/>
          <w:lang w:val="zh-CN"/>
        </w:rPr>
        <w:t>XX工作内容</w:t>
      </w:r>
      <w:r>
        <w:rPr>
          <w:rFonts w:hint="eastAsia" w:ascii="宋体" w:hAnsi="宋体" w:cs="宋体"/>
          <w:color w:val="auto"/>
          <w:kern w:val="0"/>
          <w:sz w:val="22"/>
          <w:szCs w:val="22"/>
          <w:lang w:val="zh-CN"/>
        </w:rPr>
        <w:t>相应资质条件且不得再次分包；</w:t>
      </w:r>
    </w:p>
    <w:p w14:paraId="0BD4AFC1">
      <w:pPr>
        <w:rPr>
          <w:rFonts w:hint="eastAsia" w:ascii="宋体" w:hAnsi="宋体" w:cs="宋体"/>
          <w:color w:val="auto"/>
          <w:sz w:val="22"/>
          <w:szCs w:val="22"/>
        </w:rPr>
      </w:pPr>
      <w:r>
        <w:rPr>
          <w:rFonts w:hint="eastAsia" w:ascii="宋体" w:hAnsi="宋体" w:cs="宋体"/>
          <w:color w:val="auto"/>
          <w:sz w:val="22"/>
          <w:szCs w:val="22"/>
        </w:rPr>
        <w:t>……</w:t>
      </w:r>
    </w:p>
    <w:p w14:paraId="3194CF0A">
      <w:pPr>
        <w:rPr>
          <w:rFonts w:hint="eastAsia" w:ascii="宋体" w:hAnsi="宋体" w:cs="宋体"/>
          <w:color w:val="auto"/>
          <w:sz w:val="22"/>
          <w:szCs w:val="22"/>
        </w:rPr>
      </w:pPr>
      <w:r>
        <w:rPr>
          <w:rFonts w:hint="eastAsia" w:ascii="宋体" w:hAnsi="宋体" w:cs="宋体"/>
          <w:color w:val="auto"/>
          <w:sz w:val="22"/>
          <w:szCs w:val="22"/>
          <w:lang w:val="zh-CN"/>
        </w:rPr>
        <w:t xml:space="preserve"> </w:t>
      </w:r>
    </w:p>
    <w:p w14:paraId="1B7EEC54">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二、分包供应商中小企业合同份额</w:t>
      </w:r>
    </w:p>
    <w:p w14:paraId="118CB784">
      <w:pPr>
        <w:snapToGrid w:val="0"/>
        <w:spacing w:line="360" w:lineRule="auto"/>
        <w:ind w:firstLine="576"/>
        <w:rPr>
          <w:rFonts w:hint="eastAsia" w:ascii="宋体" w:hAnsi="宋体" w:cs="宋体"/>
          <w:b/>
          <w:color w:val="auto"/>
          <w:kern w:val="0"/>
          <w:sz w:val="22"/>
          <w:szCs w:val="22"/>
          <w:lang w:val="zh-CN"/>
        </w:rPr>
      </w:pPr>
      <w:r>
        <w:rPr>
          <w:rFonts w:hint="eastAsia" w:ascii="宋体" w:hAnsi="宋体" w:cs="宋体"/>
          <w:color w:val="auto"/>
          <w:kern w:val="0"/>
          <w:sz w:val="22"/>
          <w:szCs w:val="22"/>
        </w:rPr>
        <w:t>1、</w:t>
      </w:r>
      <w:r>
        <w:rPr>
          <w:rFonts w:hint="eastAsia" w:ascii="宋体" w:hAnsi="宋体" w:cs="宋体"/>
          <w:color w:val="auto"/>
          <w:kern w:val="0"/>
          <w:sz w:val="22"/>
          <w:szCs w:val="22"/>
          <w:u w:val="single"/>
        </w:rPr>
        <w:t>（分包供应商X,……）提供的服务全部由小微企业承接，</w:t>
      </w:r>
      <w:r>
        <w:rPr>
          <w:rFonts w:hint="eastAsia" w:ascii="宋体" w:hAnsi="宋体" w:cs="宋体"/>
          <w:color w:val="auto"/>
          <w:kern w:val="0"/>
          <w:sz w:val="22"/>
          <w:szCs w:val="22"/>
        </w:rPr>
        <w:t>其合同份额占到合同总金额</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%以上</w:t>
      </w:r>
      <w:r>
        <w:rPr>
          <w:rFonts w:hint="eastAsia" w:ascii="宋体" w:hAnsi="宋体" w:cs="宋体"/>
          <w:color w:val="auto"/>
          <w:sz w:val="22"/>
          <w:szCs w:val="22"/>
        </w:rPr>
        <w:t>。</w:t>
      </w:r>
      <w:r>
        <w:rPr>
          <w:rFonts w:hint="eastAsia" w:ascii="宋体" w:hAnsi="宋体" w:cs="宋体"/>
          <w:b/>
          <w:color w:val="auto"/>
          <w:kern w:val="0"/>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kern w:val="0"/>
          <w:sz w:val="22"/>
          <w:szCs w:val="22"/>
          <w:lang w:val="zh-CN"/>
        </w:rPr>
        <w:t>）</w:t>
      </w:r>
    </w:p>
    <w:p w14:paraId="5837B07A">
      <w:pPr>
        <w:spacing w:line="360" w:lineRule="auto"/>
        <w:ind w:firstLine="440" w:firstLineChars="200"/>
        <w:rPr>
          <w:rFonts w:hint="eastAsia" w:ascii="宋体" w:hAnsi="宋体" w:cs="宋体"/>
          <w:b/>
          <w:bCs/>
          <w:color w:val="auto"/>
          <w:kern w:val="0"/>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kern w:val="0"/>
          <w:sz w:val="22"/>
          <w:szCs w:val="22"/>
          <w:lang w:val="zh-CN"/>
        </w:rPr>
        <w:t>。</w:t>
      </w:r>
      <w:r>
        <w:rPr>
          <w:rFonts w:hint="eastAsia" w:ascii="宋体" w:hAnsi="宋体" w:cs="宋体"/>
          <w:b/>
          <w:bCs/>
          <w:color w:val="auto"/>
          <w:kern w:val="0"/>
          <w:sz w:val="22"/>
          <w:szCs w:val="22"/>
          <w:lang w:val="zh-CN"/>
        </w:rPr>
        <w:t>（</w:t>
      </w:r>
      <w:r>
        <w:rPr>
          <w:rFonts w:hint="eastAsia" w:ascii="宋体" w:hAnsi="宋体" w:cs="宋体"/>
          <w:b/>
          <w:bCs/>
          <w:color w:val="auto"/>
          <w:sz w:val="22"/>
          <w:szCs w:val="22"/>
        </w:rPr>
        <w:t>要求合同分包形式参加的项目或采购包，供应商按招标文件第一部分招标公告申请人的资格要求中规定的</w:t>
      </w:r>
      <w:r>
        <w:rPr>
          <w:rFonts w:hint="eastAsia" w:ascii="宋体" w:hAnsi="宋体" w:cs="宋体"/>
          <w:b/>
          <w:color w:val="auto"/>
          <w:kern w:val="0"/>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kern w:val="0"/>
          <w:sz w:val="22"/>
          <w:szCs w:val="22"/>
          <w:lang w:val="zh-CN"/>
        </w:rPr>
        <w:t>）</w:t>
      </w:r>
    </w:p>
    <w:p w14:paraId="5CA2B0A5">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三、分包工作履行期限、地点、方式</w:t>
      </w:r>
    </w:p>
    <w:p w14:paraId="7455071A">
      <w:pPr>
        <w:snapToGrid w:val="0"/>
        <w:spacing w:line="360" w:lineRule="auto"/>
        <w:ind w:firstLine="576"/>
        <w:rPr>
          <w:rFonts w:hint="eastAsia" w:ascii="宋体" w:hAnsi="宋体" w:cs="宋体"/>
          <w:color w:val="auto"/>
          <w:sz w:val="22"/>
          <w:szCs w:val="22"/>
          <w:u w:val="single"/>
        </w:rPr>
      </w:pPr>
      <w:r>
        <w:rPr>
          <w:rFonts w:hint="eastAsia" w:ascii="宋体" w:hAnsi="宋体" w:cs="宋体"/>
          <w:color w:val="auto"/>
          <w:sz w:val="22"/>
          <w:szCs w:val="22"/>
          <w:u w:val="single"/>
        </w:rPr>
        <w:t xml:space="preserve">                                                                                  </w:t>
      </w:r>
    </w:p>
    <w:p w14:paraId="71F0A141">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四、质量</w:t>
      </w:r>
    </w:p>
    <w:p w14:paraId="226E060D">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74B34E0C">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五、价款或者报酬</w:t>
      </w:r>
    </w:p>
    <w:p w14:paraId="18271595">
      <w:pPr>
        <w:snapToGrid w:val="0"/>
        <w:spacing w:line="360" w:lineRule="auto"/>
        <w:ind w:left="573" w:leftChars="273"/>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2F78E758">
      <w:pPr>
        <w:snapToGrid w:val="0"/>
        <w:spacing w:line="360" w:lineRule="auto"/>
        <w:ind w:left="573" w:leftChars="273"/>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六、违约责任</w:t>
      </w:r>
    </w:p>
    <w:p w14:paraId="424EDC22">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029BCF27">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七、争议解决的办法</w:t>
      </w:r>
    </w:p>
    <w:p w14:paraId="110F2FE1">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1287D4C5">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八、其他</w:t>
      </w:r>
    </w:p>
    <w:p w14:paraId="1940FE06">
      <w:pPr>
        <w:snapToGrid w:val="0"/>
        <w:spacing w:line="360" w:lineRule="auto"/>
        <w:ind w:left="5338" w:leftChars="342" w:hanging="4620" w:hangingChars="2100"/>
        <w:rPr>
          <w:rFonts w:hint="eastAsia" w:ascii="宋体" w:hAnsi="宋体" w:cs="宋体"/>
          <w:color w:val="auto"/>
          <w:kern w:val="0"/>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kern w:val="0"/>
          <w:sz w:val="22"/>
          <w:szCs w:val="22"/>
          <w:lang w:val="zh-CN"/>
        </w:rPr>
        <w:t xml:space="preserve">。 </w:t>
      </w:r>
    </w:p>
    <w:p w14:paraId="0D4555CF">
      <w:pPr>
        <w:snapToGrid w:val="0"/>
        <w:spacing w:line="360" w:lineRule="auto"/>
        <w:ind w:left="5338" w:leftChars="342" w:hanging="4620" w:hangingChars="21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 xml:space="preserve">                                          投标人名称(电子签名)：</w:t>
      </w:r>
    </w:p>
    <w:p w14:paraId="65C21F9A">
      <w:pPr>
        <w:snapToGrid w:val="0"/>
        <w:spacing w:line="360" w:lineRule="auto"/>
        <w:jc w:val="righ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分包供应商名称(电子签名/公章)：</w:t>
      </w:r>
    </w:p>
    <w:p w14:paraId="5293436C">
      <w:pPr>
        <w:snapToGrid w:val="0"/>
        <w:spacing w:line="360" w:lineRule="auto"/>
        <w:ind w:firstLine="5280" w:firstLineChars="2400"/>
        <w:rPr>
          <w:rFonts w:hint="eastAsia" w:ascii="宋体" w:hAnsi="宋体" w:cs="宋体"/>
          <w:color w:val="auto"/>
          <w:sz w:val="22"/>
          <w:szCs w:val="22"/>
        </w:rPr>
      </w:pPr>
      <w:r>
        <w:rPr>
          <w:rFonts w:hint="eastAsia" w:ascii="宋体" w:hAnsi="宋体" w:cs="宋体"/>
          <w:color w:val="auto"/>
          <w:kern w:val="0"/>
          <w:sz w:val="22"/>
          <w:szCs w:val="22"/>
          <w:lang w:val="zh-CN"/>
        </w:rPr>
        <w:t>……</w:t>
      </w:r>
    </w:p>
    <w:p w14:paraId="628982A6">
      <w:pPr>
        <w:snapToGrid w:val="0"/>
        <w:spacing w:line="360" w:lineRule="auto"/>
        <w:ind w:left="5338" w:leftChars="342" w:hanging="4620" w:hangingChars="21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 xml:space="preserve">                                        日期：  年  月   日</w:t>
      </w:r>
    </w:p>
    <w:p w14:paraId="1E9B6672">
      <w:pPr>
        <w:widowControl/>
        <w:snapToGrid w:val="0"/>
        <w:spacing w:line="360" w:lineRule="auto"/>
        <w:ind w:firstLine="440" w:firstLineChars="200"/>
        <w:jc w:val="left"/>
        <w:rPr>
          <w:rFonts w:ascii="宋体" w:hAnsi="宋体" w:cs="仿宋_GB2312"/>
          <w:color w:val="auto"/>
          <w:sz w:val="22"/>
        </w:rPr>
      </w:pPr>
      <w:r>
        <w:rPr>
          <w:rFonts w:hint="eastAsia" w:ascii="宋体" w:hAnsi="宋体" w:cs="宋体"/>
          <w:color w:val="auto"/>
          <w:sz w:val="22"/>
          <w:szCs w:val="22"/>
        </w:rPr>
        <w:t>注：按本格式和要求提供。</w:t>
      </w:r>
    </w:p>
    <w:p w14:paraId="0935B4D0">
      <w:pPr>
        <w:pStyle w:val="30"/>
        <w:tabs>
          <w:tab w:val="right" w:leader="dot" w:pos="8931"/>
        </w:tabs>
        <w:rPr>
          <w:color w:val="auto"/>
        </w:rPr>
        <w:sectPr>
          <w:pgSz w:w="11906" w:h="16838"/>
          <w:pgMar w:top="1134" w:right="1134" w:bottom="1134" w:left="1134" w:header="851" w:footer="992" w:gutter="0"/>
          <w:cols w:space="720" w:num="1"/>
          <w:docGrid w:linePitch="312" w:charSpace="0"/>
        </w:sectPr>
      </w:pPr>
    </w:p>
    <w:p w14:paraId="7D5B52F6">
      <w:pPr>
        <w:pStyle w:val="3"/>
        <w:spacing w:line="440" w:lineRule="exact"/>
        <w:rPr>
          <w:rFonts w:hint="eastAsia" w:ascii="黑体" w:hAnsi="宋体"/>
          <w:color w:val="auto"/>
          <w:sz w:val="24"/>
          <w:szCs w:val="24"/>
        </w:rPr>
      </w:pPr>
      <w:bookmarkStart w:id="90" w:name="_Toc32462"/>
      <w:bookmarkStart w:id="91" w:name="_Toc3741100"/>
      <w:bookmarkStart w:id="92" w:name="_Toc26527442"/>
      <w:bookmarkStart w:id="93" w:name="_Toc8542"/>
      <w:bookmarkStart w:id="94" w:name="_Toc26123774"/>
      <w:bookmarkStart w:id="95" w:name="_Toc3741468"/>
      <w:bookmarkStart w:id="96" w:name="_Toc2229_WPSOffice_Level2"/>
      <w:r>
        <w:rPr>
          <w:rFonts w:hint="eastAsia" w:ascii="黑体" w:hAnsi="宋体"/>
          <w:color w:val="auto"/>
          <w:sz w:val="24"/>
          <w:szCs w:val="24"/>
        </w:rPr>
        <w:t>附件</w:t>
      </w:r>
      <w:r>
        <w:rPr>
          <w:rFonts w:hint="eastAsia" w:ascii="黑体" w:hAnsi="宋体"/>
          <w:color w:val="auto"/>
          <w:sz w:val="24"/>
          <w:szCs w:val="24"/>
          <w:lang w:val="en-US" w:eastAsia="zh-CN"/>
        </w:rPr>
        <w:t>11</w:t>
      </w:r>
      <w:r>
        <w:rPr>
          <w:rFonts w:hint="eastAsia" w:ascii="黑体" w:hAnsi="宋体"/>
          <w:color w:val="auto"/>
          <w:sz w:val="24"/>
          <w:szCs w:val="24"/>
        </w:rPr>
        <w:t xml:space="preserve"> 商务条款、技术规格偏离表</w:t>
      </w:r>
      <w:bookmarkEnd w:id="90"/>
      <w:bookmarkEnd w:id="91"/>
      <w:bookmarkEnd w:id="92"/>
      <w:bookmarkEnd w:id="93"/>
      <w:bookmarkEnd w:id="94"/>
      <w:bookmarkEnd w:id="95"/>
      <w:bookmarkEnd w:id="96"/>
    </w:p>
    <w:p w14:paraId="70881D16">
      <w:pPr>
        <w:spacing w:line="460" w:lineRule="exact"/>
        <w:jc w:val="center"/>
        <w:rPr>
          <w:rFonts w:hint="eastAsia" w:ascii="宋体" w:hAnsi="宋体" w:cs="宋体"/>
          <w:b/>
          <w:bCs/>
          <w:color w:val="auto"/>
          <w:sz w:val="28"/>
          <w:szCs w:val="28"/>
        </w:rPr>
      </w:pPr>
      <w:bookmarkStart w:id="97" w:name="_Toc6168_WPSOffice_Level2"/>
      <w:r>
        <w:rPr>
          <w:rFonts w:hint="eastAsia" w:ascii="宋体" w:hAnsi="宋体" w:cs="宋体"/>
          <w:b/>
          <w:bCs/>
          <w:color w:val="auto"/>
          <w:sz w:val="28"/>
          <w:szCs w:val="28"/>
        </w:rPr>
        <w:t>商务条款、技术规格偏离表</w:t>
      </w:r>
      <w:bookmarkEnd w:id="97"/>
    </w:p>
    <w:p w14:paraId="054D4E35">
      <w:pPr>
        <w:spacing w:line="560" w:lineRule="exact"/>
        <w:rPr>
          <w:rFonts w:hint="eastAsia" w:ascii="宋体" w:hAnsi="宋体" w:cs="宋体"/>
          <w:b/>
          <w:bCs/>
          <w:color w:val="auto"/>
          <w:sz w:val="22"/>
          <w:szCs w:val="22"/>
        </w:rPr>
      </w:pPr>
      <w:r>
        <w:rPr>
          <w:rFonts w:hint="eastAsia" w:ascii="宋体" w:hAnsi="宋体" w:cs="宋体"/>
          <w:b/>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948"/>
        <w:gridCol w:w="1975"/>
        <w:gridCol w:w="2210"/>
        <w:gridCol w:w="1918"/>
      </w:tblGrid>
      <w:tr w14:paraId="4826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49" w:type="dxa"/>
            <w:shd w:val="clear" w:color="auto" w:fill="D9D9D9"/>
            <w:vAlign w:val="center"/>
          </w:tcPr>
          <w:p w14:paraId="2B3C1DCB">
            <w:pPr>
              <w:jc w:val="center"/>
              <w:rPr>
                <w:rFonts w:hint="eastAsia" w:ascii="宋体" w:hAnsi="宋体" w:cs="宋体"/>
                <w:b/>
                <w:color w:val="auto"/>
                <w:sz w:val="22"/>
                <w:szCs w:val="22"/>
              </w:rPr>
            </w:pPr>
            <w:r>
              <w:rPr>
                <w:rFonts w:hint="eastAsia" w:ascii="宋体" w:hAnsi="宋体" w:cs="宋体"/>
                <w:b/>
                <w:color w:val="auto"/>
                <w:sz w:val="22"/>
                <w:szCs w:val="22"/>
              </w:rPr>
              <w:t>内   容</w:t>
            </w:r>
          </w:p>
        </w:tc>
        <w:tc>
          <w:tcPr>
            <w:tcW w:w="1948" w:type="dxa"/>
            <w:shd w:val="clear" w:color="auto" w:fill="D9D9D9"/>
            <w:vAlign w:val="center"/>
          </w:tcPr>
          <w:p w14:paraId="50C7030E">
            <w:pPr>
              <w:jc w:val="center"/>
              <w:rPr>
                <w:rFonts w:hint="eastAsia" w:ascii="宋体" w:hAnsi="宋体" w:cs="宋体"/>
                <w:b/>
                <w:color w:val="auto"/>
                <w:sz w:val="22"/>
                <w:szCs w:val="22"/>
              </w:rPr>
            </w:pPr>
            <w:r>
              <w:rPr>
                <w:rFonts w:hint="eastAsia" w:ascii="宋体" w:hAnsi="宋体" w:cs="宋体"/>
                <w:b/>
                <w:color w:val="auto"/>
                <w:sz w:val="22"/>
                <w:szCs w:val="22"/>
              </w:rPr>
              <w:t>招标文件</w:t>
            </w:r>
          </w:p>
          <w:p w14:paraId="202CD8D9">
            <w:pPr>
              <w:jc w:val="center"/>
              <w:rPr>
                <w:rFonts w:hint="eastAsia" w:ascii="宋体" w:hAnsi="宋体" w:cs="宋体"/>
                <w:b/>
                <w:color w:val="auto"/>
                <w:sz w:val="22"/>
                <w:szCs w:val="22"/>
              </w:rPr>
            </w:pPr>
            <w:r>
              <w:rPr>
                <w:rFonts w:hint="eastAsia" w:ascii="宋体" w:hAnsi="宋体" w:cs="宋体"/>
                <w:b/>
                <w:color w:val="auto"/>
                <w:sz w:val="22"/>
                <w:szCs w:val="22"/>
              </w:rPr>
              <w:t>条目</w:t>
            </w:r>
          </w:p>
        </w:tc>
        <w:tc>
          <w:tcPr>
            <w:tcW w:w="1975" w:type="dxa"/>
            <w:shd w:val="clear" w:color="auto" w:fill="D9D9D9"/>
            <w:vAlign w:val="center"/>
          </w:tcPr>
          <w:p w14:paraId="1B0838A7">
            <w:pPr>
              <w:jc w:val="center"/>
              <w:rPr>
                <w:rFonts w:hint="eastAsia" w:ascii="宋体" w:hAnsi="宋体" w:cs="宋体"/>
                <w:b/>
                <w:color w:val="auto"/>
                <w:sz w:val="22"/>
                <w:szCs w:val="22"/>
              </w:rPr>
            </w:pPr>
            <w:r>
              <w:rPr>
                <w:rFonts w:hint="eastAsia" w:ascii="宋体" w:hAnsi="宋体" w:cs="宋体"/>
                <w:b/>
                <w:color w:val="auto"/>
                <w:sz w:val="22"/>
                <w:szCs w:val="22"/>
              </w:rPr>
              <w:t>招标文件</w:t>
            </w:r>
          </w:p>
          <w:p w14:paraId="58F1906D">
            <w:pPr>
              <w:jc w:val="center"/>
              <w:rPr>
                <w:rFonts w:hint="eastAsia" w:ascii="宋体" w:hAnsi="宋体" w:cs="宋体"/>
                <w:b/>
                <w:color w:val="auto"/>
                <w:sz w:val="22"/>
                <w:szCs w:val="22"/>
              </w:rPr>
            </w:pPr>
            <w:r>
              <w:rPr>
                <w:rFonts w:hint="eastAsia" w:ascii="宋体" w:hAnsi="宋体" w:cs="宋体"/>
                <w:b/>
                <w:color w:val="auto"/>
                <w:sz w:val="22"/>
                <w:szCs w:val="22"/>
              </w:rPr>
              <w:t>规格要求</w:t>
            </w:r>
          </w:p>
        </w:tc>
        <w:tc>
          <w:tcPr>
            <w:tcW w:w="2210" w:type="dxa"/>
            <w:shd w:val="clear" w:color="auto" w:fill="D9D9D9"/>
            <w:vAlign w:val="center"/>
          </w:tcPr>
          <w:p w14:paraId="6D7E872B">
            <w:pPr>
              <w:jc w:val="center"/>
              <w:rPr>
                <w:rFonts w:hint="eastAsia" w:ascii="宋体" w:hAnsi="宋体" w:cs="宋体"/>
                <w:b/>
                <w:color w:val="auto"/>
                <w:sz w:val="22"/>
                <w:szCs w:val="22"/>
              </w:rPr>
            </w:pPr>
            <w:r>
              <w:rPr>
                <w:rFonts w:hint="eastAsia" w:ascii="宋体" w:hAnsi="宋体" w:cs="宋体"/>
                <w:b/>
                <w:color w:val="auto"/>
                <w:sz w:val="22"/>
                <w:szCs w:val="22"/>
              </w:rPr>
              <w:t>投标文件</w:t>
            </w:r>
          </w:p>
          <w:p w14:paraId="29C2200E">
            <w:pPr>
              <w:jc w:val="center"/>
              <w:rPr>
                <w:rFonts w:hint="eastAsia" w:ascii="宋体" w:hAnsi="宋体" w:cs="宋体"/>
                <w:b/>
                <w:color w:val="auto"/>
                <w:sz w:val="22"/>
                <w:szCs w:val="22"/>
              </w:rPr>
            </w:pPr>
            <w:r>
              <w:rPr>
                <w:rFonts w:hint="eastAsia" w:ascii="宋体" w:hAnsi="宋体" w:cs="宋体"/>
                <w:b/>
                <w:color w:val="auto"/>
                <w:sz w:val="22"/>
                <w:szCs w:val="22"/>
              </w:rPr>
              <w:t>对应规格</w:t>
            </w:r>
          </w:p>
        </w:tc>
        <w:tc>
          <w:tcPr>
            <w:tcW w:w="1918" w:type="dxa"/>
            <w:shd w:val="clear" w:color="auto" w:fill="D9D9D9"/>
            <w:vAlign w:val="center"/>
          </w:tcPr>
          <w:p w14:paraId="3C52B1DB">
            <w:pPr>
              <w:jc w:val="center"/>
              <w:rPr>
                <w:rFonts w:hint="eastAsia" w:ascii="宋体" w:hAnsi="宋体" w:cs="宋体"/>
                <w:b/>
                <w:color w:val="auto"/>
                <w:sz w:val="22"/>
                <w:szCs w:val="22"/>
              </w:rPr>
            </w:pPr>
            <w:r>
              <w:rPr>
                <w:rFonts w:hint="eastAsia" w:ascii="宋体" w:hAnsi="宋体" w:cs="宋体"/>
                <w:b/>
                <w:color w:val="auto"/>
                <w:sz w:val="22"/>
                <w:szCs w:val="22"/>
              </w:rPr>
              <w:t>说   明</w:t>
            </w:r>
          </w:p>
        </w:tc>
      </w:tr>
      <w:tr w14:paraId="1382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restart"/>
            <w:vAlign w:val="center"/>
          </w:tcPr>
          <w:p w14:paraId="5035D215">
            <w:pPr>
              <w:ind w:firstLine="241" w:firstLineChars="100"/>
              <w:rPr>
                <w:rFonts w:hint="eastAsia" w:ascii="宋体" w:hAnsi="宋体" w:cs="宋体"/>
                <w:b/>
                <w:color w:val="auto"/>
                <w:sz w:val="24"/>
              </w:rPr>
            </w:pPr>
            <w:r>
              <w:rPr>
                <w:rFonts w:hint="eastAsia" w:ascii="宋体" w:hAnsi="宋体" w:cs="宋体"/>
                <w:b/>
                <w:color w:val="auto"/>
                <w:sz w:val="24"/>
              </w:rPr>
              <w:t>商务条款</w:t>
            </w:r>
          </w:p>
        </w:tc>
        <w:tc>
          <w:tcPr>
            <w:tcW w:w="1948" w:type="dxa"/>
            <w:vAlign w:val="center"/>
          </w:tcPr>
          <w:p w14:paraId="5A37582D">
            <w:pPr>
              <w:jc w:val="center"/>
              <w:rPr>
                <w:rFonts w:hint="eastAsia" w:ascii="宋体" w:hAnsi="宋体" w:cs="宋体"/>
                <w:color w:val="auto"/>
                <w:sz w:val="22"/>
                <w:szCs w:val="22"/>
              </w:rPr>
            </w:pPr>
          </w:p>
        </w:tc>
        <w:tc>
          <w:tcPr>
            <w:tcW w:w="1975" w:type="dxa"/>
            <w:vAlign w:val="center"/>
          </w:tcPr>
          <w:p w14:paraId="22D8EDAD">
            <w:pPr>
              <w:jc w:val="center"/>
              <w:rPr>
                <w:rFonts w:hint="eastAsia" w:ascii="宋体" w:hAnsi="宋体" w:cs="宋体"/>
                <w:color w:val="auto"/>
                <w:sz w:val="22"/>
                <w:szCs w:val="22"/>
              </w:rPr>
            </w:pPr>
          </w:p>
        </w:tc>
        <w:tc>
          <w:tcPr>
            <w:tcW w:w="2210" w:type="dxa"/>
            <w:vAlign w:val="center"/>
          </w:tcPr>
          <w:p w14:paraId="607C3B6A">
            <w:pPr>
              <w:jc w:val="center"/>
              <w:rPr>
                <w:rFonts w:hint="eastAsia" w:ascii="宋体" w:hAnsi="宋体" w:cs="宋体"/>
                <w:color w:val="auto"/>
                <w:sz w:val="22"/>
                <w:szCs w:val="22"/>
              </w:rPr>
            </w:pPr>
          </w:p>
        </w:tc>
        <w:tc>
          <w:tcPr>
            <w:tcW w:w="1918" w:type="dxa"/>
            <w:vAlign w:val="center"/>
          </w:tcPr>
          <w:p w14:paraId="18052BF2">
            <w:pPr>
              <w:jc w:val="center"/>
              <w:rPr>
                <w:rFonts w:hint="eastAsia" w:ascii="宋体" w:hAnsi="宋体" w:cs="宋体"/>
                <w:color w:val="auto"/>
                <w:sz w:val="22"/>
                <w:szCs w:val="22"/>
              </w:rPr>
            </w:pPr>
          </w:p>
        </w:tc>
      </w:tr>
      <w:tr w14:paraId="0CBA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2415959E">
            <w:pPr>
              <w:jc w:val="center"/>
              <w:rPr>
                <w:rFonts w:hint="eastAsia" w:ascii="宋体" w:hAnsi="宋体" w:cs="宋体"/>
                <w:b/>
                <w:color w:val="auto"/>
                <w:sz w:val="24"/>
              </w:rPr>
            </w:pPr>
          </w:p>
        </w:tc>
        <w:tc>
          <w:tcPr>
            <w:tcW w:w="1948" w:type="dxa"/>
            <w:vAlign w:val="center"/>
          </w:tcPr>
          <w:p w14:paraId="258CE1F8">
            <w:pPr>
              <w:jc w:val="center"/>
              <w:rPr>
                <w:rFonts w:hint="eastAsia" w:ascii="宋体" w:hAnsi="宋体" w:cs="宋体"/>
                <w:color w:val="auto"/>
                <w:sz w:val="22"/>
                <w:szCs w:val="22"/>
              </w:rPr>
            </w:pPr>
          </w:p>
        </w:tc>
        <w:tc>
          <w:tcPr>
            <w:tcW w:w="1975" w:type="dxa"/>
            <w:vAlign w:val="center"/>
          </w:tcPr>
          <w:p w14:paraId="13DD5C1C">
            <w:pPr>
              <w:jc w:val="center"/>
              <w:rPr>
                <w:rFonts w:hint="eastAsia" w:ascii="宋体" w:hAnsi="宋体" w:cs="宋体"/>
                <w:color w:val="auto"/>
                <w:sz w:val="22"/>
                <w:szCs w:val="22"/>
              </w:rPr>
            </w:pPr>
          </w:p>
        </w:tc>
        <w:tc>
          <w:tcPr>
            <w:tcW w:w="2210" w:type="dxa"/>
            <w:vAlign w:val="center"/>
          </w:tcPr>
          <w:p w14:paraId="50E53D89">
            <w:pPr>
              <w:jc w:val="center"/>
              <w:rPr>
                <w:rFonts w:hint="eastAsia" w:ascii="宋体" w:hAnsi="宋体" w:cs="宋体"/>
                <w:color w:val="auto"/>
                <w:sz w:val="22"/>
                <w:szCs w:val="22"/>
              </w:rPr>
            </w:pPr>
          </w:p>
        </w:tc>
        <w:tc>
          <w:tcPr>
            <w:tcW w:w="1918" w:type="dxa"/>
            <w:vAlign w:val="center"/>
          </w:tcPr>
          <w:p w14:paraId="1102407B">
            <w:pPr>
              <w:jc w:val="center"/>
              <w:rPr>
                <w:rFonts w:hint="eastAsia" w:ascii="宋体" w:hAnsi="宋体" w:cs="宋体"/>
                <w:color w:val="auto"/>
                <w:sz w:val="22"/>
                <w:szCs w:val="22"/>
              </w:rPr>
            </w:pPr>
          </w:p>
        </w:tc>
      </w:tr>
      <w:tr w14:paraId="3FCB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38492D3F">
            <w:pPr>
              <w:jc w:val="center"/>
              <w:rPr>
                <w:rFonts w:hint="eastAsia" w:ascii="宋体" w:hAnsi="宋体" w:cs="宋体"/>
                <w:b/>
                <w:color w:val="auto"/>
                <w:sz w:val="24"/>
              </w:rPr>
            </w:pPr>
          </w:p>
        </w:tc>
        <w:tc>
          <w:tcPr>
            <w:tcW w:w="1948" w:type="dxa"/>
            <w:vAlign w:val="center"/>
          </w:tcPr>
          <w:p w14:paraId="6891C40C">
            <w:pPr>
              <w:jc w:val="center"/>
              <w:rPr>
                <w:rFonts w:hint="eastAsia" w:ascii="宋体" w:hAnsi="宋体" w:cs="宋体"/>
                <w:color w:val="auto"/>
                <w:sz w:val="22"/>
                <w:szCs w:val="22"/>
              </w:rPr>
            </w:pPr>
          </w:p>
        </w:tc>
        <w:tc>
          <w:tcPr>
            <w:tcW w:w="1975" w:type="dxa"/>
            <w:vAlign w:val="center"/>
          </w:tcPr>
          <w:p w14:paraId="557EC7BD">
            <w:pPr>
              <w:jc w:val="center"/>
              <w:rPr>
                <w:rFonts w:hint="eastAsia" w:ascii="宋体" w:hAnsi="宋体" w:cs="宋体"/>
                <w:color w:val="auto"/>
                <w:sz w:val="22"/>
                <w:szCs w:val="22"/>
              </w:rPr>
            </w:pPr>
          </w:p>
        </w:tc>
        <w:tc>
          <w:tcPr>
            <w:tcW w:w="2210" w:type="dxa"/>
            <w:vAlign w:val="center"/>
          </w:tcPr>
          <w:p w14:paraId="4E21DCE9">
            <w:pPr>
              <w:jc w:val="center"/>
              <w:rPr>
                <w:rFonts w:hint="eastAsia" w:ascii="宋体" w:hAnsi="宋体" w:cs="宋体"/>
                <w:color w:val="auto"/>
                <w:sz w:val="22"/>
                <w:szCs w:val="22"/>
              </w:rPr>
            </w:pPr>
          </w:p>
        </w:tc>
        <w:tc>
          <w:tcPr>
            <w:tcW w:w="1918" w:type="dxa"/>
            <w:vAlign w:val="center"/>
          </w:tcPr>
          <w:p w14:paraId="38FD9DB3">
            <w:pPr>
              <w:jc w:val="center"/>
              <w:rPr>
                <w:rFonts w:hint="eastAsia" w:ascii="宋体" w:hAnsi="宋体" w:cs="宋体"/>
                <w:color w:val="auto"/>
                <w:sz w:val="22"/>
                <w:szCs w:val="22"/>
              </w:rPr>
            </w:pPr>
          </w:p>
        </w:tc>
      </w:tr>
      <w:tr w14:paraId="7CDD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009BD7DD">
            <w:pPr>
              <w:jc w:val="center"/>
              <w:rPr>
                <w:rFonts w:hint="eastAsia" w:ascii="宋体" w:hAnsi="宋体" w:cs="宋体"/>
                <w:b/>
                <w:color w:val="auto"/>
                <w:sz w:val="24"/>
              </w:rPr>
            </w:pPr>
          </w:p>
        </w:tc>
        <w:tc>
          <w:tcPr>
            <w:tcW w:w="1948" w:type="dxa"/>
            <w:vAlign w:val="center"/>
          </w:tcPr>
          <w:p w14:paraId="578D6603">
            <w:pPr>
              <w:jc w:val="center"/>
              <w:rPr>
                <w:rFonts w:hint="eastAsia" w:ascii="宋体" w:hAnsi="宋体" w:cs="宋体"/>
                <w:color w:val="auto"/>
                <w:sz w:val="22"/>
                <w:szCs w:val="22"/>
              </w:rPr>
            </w:pPr>
          </w:p>
        </w:tc>
        <w:tc>
          <w:tcPr>
            <w:tcW w:w="1975" w:type="dxa"/>
            <w:vAlign w:val="center"/>
          </w:tcPr>
          <w:p w14:paraId="244A96CB">
            <w:pPr>
              <w:jc w:val="center"/>
              <w:rPr>
                <w:rFonts w:hint="eastAsia" w:ascii="宋体" w:hAnsi="宋体" w:cs="宋体"/>
                <w:color w:val="auto"/>
                <w:sz w:val="22"/>
                <w:szCs w:val="22"/>
              </w:rPr>
            </w:pPr>
          </w:p>
        </w:tc>
        <w:tc>
          <w:tcPr>
            <w:tcW w:w="2210" w:type="dxa"/>
            <w:vAlign w:val="center"/>
          </w:tcPr>
          <w:p w14:paraId="401E8517">
            <w:pPr>
              <w:jc w:val="center"/>
              <w:rPr>
                <w:rFonts w:hint="eastAsia" w:ascii="宋体" w:hAnsi="宋体" w:cs="宋体"/>
                <w:color w:val="auto"/>
                <w:sz w:val="22"/>
                <w:szCs w:val="22"/>
              </w:rPr>
            </w:pPr>
          </w:p>
        </w:tc>
        <w:tc>
          <w:tcPr>
            <w:tcW w:w="1918" w:type="dxa"/>
            <w:vAlign w:val="center"/>
          </w:tcPr>
          <w:p w14:paraId="347089D4">
            <w:pPr>
              <w:jc w:val="center"/>
              <w:rPr>
                <w:rFonts w:hint="eastAsia" w:ascii="宋体" w:hAnsi="宋体" w:cs="宋体"/>
                <w:color w:val="auto"/>
                <w:sz w:val="22"/>
                <w:szCs w:val="22"/>
              </w:rPr>
            </w:pPr>
          </w:p>
        </w:tc>
      </w:tr>
      <w:tr w14:paraId="28B8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2D41BF2E">
            <w:pPr>
              <w:jc w:val="center"/>
              <w:rPr>
                <w:rFonts w:hint="eastAsia" w:ascii="宋体" w:hAnsi="宋体" w:cs="宋体"/>
                <w:b/>
                <w:color w:val="auto"/>
                <w:sz w:val="24"/>
              </w:rPr>
            </w:pPr>
          </w:p>
        </w:tc>
        <w:tc>
          <w:tcPr>
            <w:tcW w:w="1948" w:type="dxa"/>
            <w:vAlign w:val="center"/>
          </w:tcPr>
          <w:p w14:paraId="3475E017">
            <w:pPr>
              <w:jc w:val="center"/>
              <w:rPr>
                <w:rFonts w:hint="eastAsia" w:ascii="宋体" w:hAnsi="宋体" w:cs="宋体"/>
                <w:color w:val="auto"/>
                <w:sz w:val="22"/>
                <w:szCs w:val="22"/>
              </w:rPr>
            </w:pPr>
          </w:p>
        </w:tc>
        <w:tc>
          <w:tcPr>
            <w:tcW w:w="1975" w:type="dxa"/>
            <w:vAlign w:val="center"/>
          </w:tcPr>
          <w:p w14:paraId="1C93558F">
            <w:pPr>
              <w:jc w:val="center"/>
              <w:rPr>
                <w:rFonts w:hint="eastAsia" w:ascii="宋体" w:hAnsi="宋体" w:cs="宋体"/>
                <w:color w:val="auto"/>
                <w:sz w:val="22"/>
                <w:szCs w:val="22"/>
              </w:rPr>
            </w:pPr>
          </w:p>
        </w:tc>
        <w:tc>
          <w:tcPr>
            <w:tcW w:w="2210" w:type="dxa"/>
            <w:vAlign w:val="center"/>
          </w:tcPr>
          <w:p w14:paraId="293530A3">
            <w:pPr>
              <w:jc w:val="center"/>
              <w:rPr>
                <w:rFonts w:hint="eastAsia" w:ascii="宋体" w:hAnsi="宋体" w:cs="宋体"/>
                <w:color w:val="auto"/>
                <w:sz w:val="22"/>
                <w:szCs w:val="22"/>
              </w:rPr>
            </w:pPr>
          </w:p>
        </w:tc>
        <w:tc>
          <w:tcPr>
            <w:tcW w:w="1918" w:type="dxa"/>
            <w:vAlign w:val="center"/>
          </w:tcPr>
          <w:p w14:paraId="6DFE72D7">
            <w:pPr>
              <w:jc w:val="center"/>
              <w:rPr>
                <w:rFonts w:hint="eastAsia" w:ascii="宋体" w:hAnsi="宋体" w:cs="宋体"/>
                <w:color w:val="auto"/>
                <w:sz w:val="22"/>
                <w:szCs w:val="22"/>
              </w:rPr>
            </w:pPr>
          </w:p>
        </w:tc>
      </w:tr>
      <w:tr w14:paraId="2B46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restart"/>
            <w:vAlign w:val="center"/>
          </w:tcPr>
          <w:p w14:paraId="067D2BEC">
            <w:pPr>
              <w:ind w:firstLine="241" w:firstLineChars="100"/>
              <w:rPr>
                <w:rFonts w:hint="eastAsia" w:ascii="宋体" w:hAnsi="宋体" w:cs="宋体"/>
                <w:b/>
                <w:color w:val="auto"/>
                <w:sz w:val="24"/>
              </w:rPr>
            </w:pPr>
            <w:r>
              <w:rPr>
                <w:rFonts w:hint="eastAsia" w:ascii="宋体" w:hAnsi="宋体" w:cs="宋体"/>
                <w:b/>
                <w:color w:val="auto"/>
                <w:sz w:val="24"/>
              </w:rPr>
              <w:t>技术规格</w:t>
            </w:r>
          </w:p>
        </w:tc>
        <w:tc>
          <w:tcPr>
            <w:tcW w:w="1948" w:type="dxa"/>
            <w:vAlign w:val="center"/>
          </w:tcPr>
          <w:p w14:paraId="50E908BA">
            <w:pPr>
              <w:jc w:val="center"/>
              <w:rPr>
                <w:rFonts w:hint="eastAsia" w:ascii="宋体" w:hAnsi="宋体" w:cs="宋体"/>
                <w:color w:val="auto"/>
                <w:sz w:val="22"/>
                <w:szCs w:val="22"/>
              </w:rPr>
            </w:pPr>
          </w:p>
        </w:tc>
        <w:tc>
          <w:tcPr>
            <w:tcW w:w="1975" w:type="dxa"/>
            <w:vAlign w:val="center"/>
          </w:tcPr>
          <w:p w14:paraId="64E18599">
            <w:pPr>
              <w:jc w:val="center"/>
              <w:rPr>
                <w:rFonts w:hint="eastAsia" w:ascii="宋体" w:hAnsi="宋体" w:cs="宋体"/>
                <w:color w:val="auto"/>
                <w:sz w:val="22"/>
                <w:szCs w:val="22"/>
              </w:rPr>
            </w:pPr>
          </w:p>
        </w:tc>
        <w:tc>
          <w:tcPr>
            <w:tcW w:w="2210" w:type="dxa"/>
            <w:vAlign w:val="center"/>
          </w:tcPr>
          <w:p w14:paraId="3B1CBEC4">
            <w:pPr>
              <w:jc w:val="center"/>
              <w:rPr>
                <w:rFonts w:hint="eastAsia" w:ascii="宋体" w:hAnsi="宋体" w:cs="宋体"/>
                <w:color w:val="auto"/>
                <w:sz w:val="22"/>
                <w:szCs w:val="22"/>
              </w:rPr>
            </w:pPr>
          </w:p>
        </w:tc>
        <w:tc>
          <w:tcPr>
            <w:tcW w:w="1918" w:type="dxa"/>
            <w:vAlign w:val="center"/>
          </w:tcPr>
          <w:p w14:paraId="1661092B">
            <w:pPr>
              <w:jc w:val="center"/>
              <w:rPr>
                <w:rFonts w:hint="eastAsia" w:ascii="宋体" w:hAnsi="宋体" w:cs="宋体"/>
                <w:color w:val="auto"/>
                <w:sz w:val="22"/>
                <w:szCs w:val="22"/>
              </w:rPr>
            </w:pPr>
          </w:p>
        </w:tc>
      </w:tr>
      <w:tr w14:paraId="200E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3DCB6015">
            <w:pPr>
              <w:jc w:val="center"/>
              <w:rPr>
                <w:rFonts w:hint="eastAsia" w:ascii="宋体" w:hAnsi="宋体" w:cs="宋体"/>
                <w:color w:val="auto"/>
                <w:sz w:val="22"/>
                <w:szCs w:val="22"/>
              </w:rPr>
            </w:pPr>
          </w:p>
        </w:tc>
        <w:tc>
          <w:tcPr>
            <w:tcW w:w="1948" w:type="dxa"/>
            <w:vAlign w:val="center"/>
          </w:tcPr>
          <w:p w14:paraId="1AFAD8F8">
            <w:pPr>
              <w:jc w:val="center"/>
              <w:rPr>
                <w:rFonts w:hint="eastAsia" w:ascii="宋体" w:hAnsi="宋体" w:cs="宋体"/>
                <w:color w:val="auto"/>
                <w:sz w:val="22"/>
                <w:szCs w:val="22"/>
              </w:rPr>
            </w:pPr>
          </w:p>
        </w:tc>
        <w:tc>
          <w:tcPr>
            <w:tcW w:w="1975" w:type="dxa"/>
            <w:vAlign w:val="center"/>
          </w:tcPr>
          <w:p w14:paraId="1D2CB0F6">
            <w:pPr>
              <w:jc w:val="center"/>
              <w:rPr>
                <w:rFonts w:hint="eastAsia" w:ascii="宋体" w:hAnsi="宋体" w:cs="宋体"/>
                <w:color w:val="auto"/>
                <w:sz w:val="22"/>
                <w:szCs w:val="22"/>
              </w:rPr>
            </w:pPr>
          </w:p>
        </w:tc>
        <w:tc>
          <w:tcPr>
            <w:tcW w:w="2210" w:type="dxa"/>
            <w:vAlign w:val="center"/>
          </w:tcPr>
          <w:p w14:paraId="79A2BF94">
            <w:pPr>
              <w:jc w:val="center"/>
              <w:rPr>
                <w:rFonts w:hint="eastAsia" w:ascii="宋体" w:hAnsi="宋体" w:cs="宋体"/>
                <w:color w:val="auto"/>
                <w:sz w:val="22"/>
                <w:szCs w:val="22"/>
              </w:rPr>
            </w:pPr>
          </w:p>
        </w:tc>
        <w:tc>
          <w:tcPr>
            <w:tcW w:w="1918" w:type="dxa"/>
            <w:vAlign w:val="center"/>
          </w:tcPr>
          <w:p w14:paraId="3ED88DC8">
            <w:pPr>
              <w:jc w:val="center"/>
              <w:rPr>
                <w:rFonts w:hint="eastAsia" w:ascii="宋体" w:hAnsi="宋体" w:cs="宋体"/>
                <w:color w:val="auto"/>
                <w:sz w:val="22"/>
                <w:szCs w:val="22"/>
              </w:rPr>
            </w:pPr>
          </w:p>
        </w:tc>
      </w:tr>
      <w:tr w14:paraId="62EF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0E384D90">
            <w:pPr>
              <w:jc w:val="center"/>
              <w:rPr>
                <w:rFonts w:hint="eastAsia" w:ascii="宋体" w:hAnsi="宋体" w:cs="宋体"/>
                <w:color w:val="auto"/>
                <w:sz w:val="22"/>
                <w:szCs w:val="22"/>
              </w:rPr>
            </w:pPr>
          </w:p>
        </w:tc>
        <w:tc>
          <w:tcPr>
            <w:tcW w:w="1948" w:type="dxa"/>
            <w:vAlign w:val="center"/>
          </w:tcPr>
          <w:p w14:paraId="275BCEA8">
            <w:pPr>
              <w:jc w:val="center"/>
              <w:rPr>
                <w:rFonts w:hint="eastAsia" w:ascii="宋体" w:hAnsi="宋体" w:cs="宋体"/>
                <w:color w:val="auto"/>
                <w:sz w:val="22"/>
                <w:szCs w:val="22"/>
              </w:rPr>
            </w:pPr>
          </w:p>
        </w:tc>
        <w:tc>
          <w:tcPr>
            <w:tcW w:w="1975" w:type="dxa"/>
            <w:vAlign w:val="center"/>
          </w:tcPr>
          <w:p w14:paraId="18216EE5">
            <w:pPr>
              <w:jc w:val="center"/>
              <w:rPr>
                <w:rFonts w:hint="eastAsia" w:ascii="宋体" w:hAnsi="宋体" w:cs="宋体"/>
                <w:color w:val="auto"/>
                <w:sz w:val="22"/>
                <w:szCs w:val="22"/>
              </w:rPr>
            </w:pPr>
          </w:p>
        </w:tc>
        <w:tc>
          <w:tcPr>
            <w:tcW w:w="2210" w:type="dxa"/>
            <w:vAlign w:val="center"/>
          </w:tcPr>
          <w:p w14:paraId="39FAF8B3">
            <w:pPr>
              <w:jc w:val="center"/>
              <w:rPr>
                <w:rFonts w:hint="eastAsia" w:ascii="宋体" w:hAnsi="宋体" w:cs="宋体"/>
                <w:color w:val="auto"/>
                <w:sz w:val="22"/>
                <w:szCs w:val="22"/>
              </w:rPr>
            </w:pPr>
          </w:p>
        </w:tc>
        <w:tc>
          <w:tcPr>
            <w:tcW w:w="1918" w:type="dxa"/>
            <w:vAlign w:val="center"/>
          </w:tcPr>
          <w:p w14:paraId="6D7D0370">
            <w:pPr>
              <w:jc w:val="center"/>
              <w:rPr>
                <w:rFonts w:hint="eastAsia" w:ascii="宋体" w:hAnsi="宋体" w:cs="宋体"/>
                <w:color w:val="auto"/>
                <w:sz w:val="22"/>
                <w:szCs w:val="22"/>
              </w:rPr>
            </w:pPr>
          </w:p>
        </w:tc>
      </w:tr>
      <w:tr w14:paraId="098B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0C4831AD">
            <w:pPr>
              <w:jc w:val="center"/>
              <w:rPr>
                <w:rFonts w:hint="eastAsia" w:ascii="宋体" w:hAnsi="宋体" w:cs="宋体"/>
                <w:color w:val="auto"/>
                <w:sz w:val="22"/>
                <w:szCs w:val="22"/>
              </w:rPr>
            </w:pPr>
          </w:p>
        </w:tc>
        <w:tc>
          <w:tcPr>
            <w:tcW w:w="1948" w:type="dxa"/>
            <w:vAlign w:val="center"/>
          </w:tcPr>
          <w:p w14:paraId="326498D3">
            <w:pPr>
              <w:jc w:val="center"/>
              <w:rPr>
                <w:rFonts w:hint="eastAsia" w:ascii="宋体" w:hAnsi="宋体" w:cs="宋体"/>
                <w:color w:val="auto"/>
                <w:sz w:val="22"/>
                <w:szCs w:val="22"/>
              </w:rPr>
            </w:pPr>
          </w:p>
        </w:tc>
        <w:tc>
          <w:tcPr>
            <w:tcW w:w="1975" w:type="dxa"/>
            <w:vAlign w:val="center"/>
          </w:tcPr>
          <w:p w14:paraId="6F608288">
            <w:pPr>
              <w:jc w:val="center"/>
              <w:rPr>
                <w:rFonts w:hint="eastAsia" w:ascii="宋体" w:hAnsi="宋体" w:cs="宋体"/>
                <w:color w:val="auto"/>
                <w:sz w:val="22"/>
                <w:szCs w:val="22"/>
              </w:rPr>
            </w:pPr>
          </w:p>
        </w:tc>
        <w:tc>
          <w:tcPr>
            <w:tcW w:w="2210" w:type="dxa"/>
            <w:vAlign w:val="center"/>
          </w:tcPr>
          <w:p w14:paraId="5FD359B1">
            <w:pPr>
              <w:jc w:val="center"/>
              <w:rPr>
                <w:rFonts w:hint="eastAsia" w:ascii="宋体" w:hAnsi="宋体" w:cs="宋体"/>
                <w:color w:val="auto"/>
                <w:sz w:val="22"/>
                <w:szCs w:val="22"/>
              </w:rPr>
            </w:pPr>
          </w:p>
        </w:tc>
        <w:tc>
          <w:tcPr>
            <w:tcW w:w="1918" w:type="dxa"/>
            <w:vAlign w:val="center"/>
          </w:tcPr>
          <w:p w14:paraId="4FE9E4EA">
            <w:pPr>
              <w:jc w:val="center"/>
              <w:rPr>
                <w:rFonts w:hint="eastAsia" w:ascii="宋体" w:hAnsi="宋体" w:cs="宋体"/>
                <w:color w:val="auto"/>
                <w:sz w:val="22"/>
                <w:szCs w:val="22"/>
              </w:rPr>
            </w:pPr>
          </w:p>
        </w:tc>
      </w:tr>
      <w:tr w14:paraId="4CC3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7E2D6799">
            <w:pPr>
              <w:jc w:val="center"/>
              <w:rPr>
                <w:rFonts w:hint="eastAsia" w:ascii="宋体" w:hAnsi="宋体" w:cs="宋体"/>
                <w:color w:val="auto"/>
                <w:sz w:val="22"/>
                <w:szCs w:val="22"/>
              </w:rPr>
            </w:pPr>
          </w:p>
        </w:tc>
        <w:tc>
          <w:tcPr>
            <w:tcW w:w="1948" w:type="dxa"/>
            <w:vAlign w:val="center"/>
          </w:tcPr>
          <w:p w14:paraId="1462D06C">
            <w:pPr>
              <w:jc w:val="center"/>
              <w:rPr>
                <w:rFonts w:hint="eastAsia" w:ascii="宋体" w:hAnsi="宋体" w:cs="宋体"/>
                <w:color w:val="auto"/>
                <w:sz w:val="22"/>
                <w:szCs w:val="22"/>
              </w:rPr>
            </w:pPr>
          </w:p>
        </w:tc>
        <w:tc>
          <w:tcPr>
            <w:tcW w:w="1975" w:type="dxa"/>
            <w:vAlign w:val="center"/>
          </w:tcPr>
          <w:p w14:paraId="2E5802EB">
            <w:pPr>
              <w:jc w:val="center"/>
              <w:rPr>
                <w:rFonts w:hint="eastAsia" w:ascii="宋体" w:hAnsi="宋体" w:cs="宋体"/>
                <w:color w:val="auto"/>
                <w:sz w:val="22"/>
                <w:szCs w:val="22"/>
              </w:rPr>
            </w:pPr>
          </w:p>
        </w:tc>
        <w:tc>
          <w:tcPr>
            <w:tcW w:w="2210" w:type="dxa"/>
            <w:vAlign w:val="center"/>
          </w:tcPr>
          <w:p w14:paraId="6697DDDA">
            <w:pPr>
              <w:jc w:val="center"/>
              <w:rPr>
                <w:rFonts w:hint="eastAsia" w:ascii="宋体" w:hAnsi="宋体" w:cs="宋体"/>
                <w:color w:val="auto"/>
                <w:sz w:val="22"/>
                <w:szCs w:val="22"/>
              </w:rPr>
            </w:pPr>
          </w:p>
        </w:tc>
        <w:tc>
          <w:tcPr>
            <w:tcW w:w="1918" w:type="dxa"/>
            <w:vAlign w:val="center"/>
          </w:tcPr>
          <w:p w14:paraId="063D0762">
            <w:pPr>
              <w:jc w:val="center"/>
              <w:rPr>
                <w:rFonts w:hint="eastAsia" w:ascii="宋体" w:hAnsi="宋体" w:cs="宋体"/>
                <w:color w:val="auto"/>
                <w:sz w:val="22"/>
                <w:szCs w:val="22"/>
              </w:rPr>
            </w:pPr>
          </w:p>
        </w:tc>
      </w:tr>
      <w:tr w14:paraId="529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1749" w:type="dxa"/>
            <w:vMerge w:val="continue"/>
            <w:vAlign w:val="center"/>
          </w:tcPr>
          <w:p w14:paraId="3EFCC07D">
            <w:pPr>
              <w:jc w:val="center"/>
              <w:rPr>
                <w:rFonts w:hint="eastAsia" w:ascii="宋体" w:hAnsi="宋体" w:cs="宋体"/>
                <w:color w:val="auto"/>
                <w:sz w:val="22"/>
                <w:szCs w:val="22"/>
              </w:rPr>
            </w:pPr>
          </w:p>
        </w:tc>
        <w:tc>
          <w:tcPr>
            <w:tcW w:w="1948" w:type="dxa"/>
            <w:vAlign w:val="center"/>
          </w:tcPr>
          <w:p w14:paraId="4795332B">
            <w:pPr>
              <w:jc w:val="center"/>
              <w:rPr>
                <w:rFonts w:hint="eastAsia" w:ascii="宋体" w:hAnsi="宋体" w:cs="宋体"/>
                <w:color w:val="auto"/>
                <w:sz w:val="22"/>
                <w:szCs w:val="22"/>
              </w:rPr>
            </w:pPr>
          </w:p>
        </w:tc>
        <w:tc>
          <w:tcPr>
            <w:tcW w:w="1975" w:type="dxa"/>
            <w:vAlign w:val="center"/>
          </w:tcPr>
          <w:p w14:paraId="41981A63">
            <w:pPr>
              <w:jc w:val="center"/>
              <w:rPr>
                <w:rFonts w:hint="eastAsia" w:ascii="宋体" w:hAnsi="宋体" w:cs="宋体"/>
                <w:color w:val="auto"/>
                <w:sz w:val="22"/>
                <w:szCs w:val="22"/>
              </w:rPr>
            </w:pPr>
          </w:p>
        </w:tc>
        <w:tc>
          <w:tcPr>
            <w:tcW w:w="2210" w:type="dxa"/>
            <w:vAlign w:val="center"/>
          </w:tcPr>
          <w:p w14:paraId="0AF4CCD5">
            <w:pPr>
              <w:jc w:val="center"/>
              <w:rPr>
                <w:rFonts w:hint="eastAsia" w:ascii="宋体" w:hAnsi="宋体" w:cs="宋体"/>
                <w:color w:val="auto"/>
                <w:sz w:val="22"/>
                <w:szCs w:val="22"/>
              </w:rPr>
            </w:pPr>
          </w:p>
        </w:tc>
        <w:tc>
          <w:tcPr>
            <w:tcW w:w="1918" w:type="dxa"/>
            <w:vAlign w:val="center"/>
          </w:tcPr>
          <w:p w14:paraId="299DF8E3">
            <w:pPr>
              <w:jc w:val="center"/>
              <w:rPr>
                <w:rFonts w:hint="eastAsia" w:ascii="宋体" w:hAnsi="宋体" w:cs="宋体"/>
                <w:color w:val="auto"/>
                <w:sz w:val="22"/>
                <w:szCs w:val="22"/>
              </w:rPr>
            </w:pPr>
          </w:p>
        </w:tc>
      </w:tr>
    </w:tbl>
    <w:p w14:paraId="68A2528A">
      <w:pPr>
        <w:widowControl/>
        <w:overflowPunct w:val="0"/>
        <w:autoSpaceDE w:val="0"/>
        <w:autoSpaceDN w:val="0"/>
        <w:adjustRightInd w:val="0"/>
        <w:spacing w:line="440" w:lineRule="exact"/>
        <w:ind w:left="537" w:hanging="537" w:hangingChars="243"/>
        <w:jc w:val="left"/>
        <w:textAlignment w:val="baseline"/>
        <w:rPr>
          <w:rFonts w:hint="eastAsia" w:ascii="宋体" w:hAnsi="宋体" w:cs="宋体"/>
          <w:b/>
          <w:color w:val="auto"/>
          <w:kern w:val="0"/>
          <w:sz w:val="22"/>
          <w:szCs w:val="22"/>
        </w:rPr>
      </w:pPr>
      <w:r>
        <w:rPr>
          <w:rFonts w:hint="eastAsia" w:ascii="宋体" w:hAnsi="宋体" w:cs="宋体"/>
          <w:b/>
          <w:color w:val="auto"/>
          <w:kern w:val="0"/>
          <w:sz w:val="22"/>
          <w:szCs w:val="22"/>
        </w:rPr>
        <w:t>注： 如有偏离，必须在偏离表中进行详细对比说明并注明正偏离和负偏离，如不说明偏离情况，视为完全响应招标文件要求无偏离。</w:t>
      </w:r>
    </w:p>
    <w:p w14:paraId="30ECED90">
      <w:pPr>
        <w:spacing w:line="440" w:lineRule="exact"/>
        <w:ind w:firstLine="4400" w:firstLineChars="2000"/>
        <w:rPr>
          <w:rFonts w:hint="eastAsia"/>
          <w:color w:val="auto"/>
          <w:sz w:val="22"/>
          <w:szCs w:val="22"/>
        </w:rPr>
      </w:pPr>
      <w:r>
        <w:rPr>
          <w:rFonts w:hint="eastAsia"/>
          <w:color w:val="auto"/>
          <w:sz w:val="22"/>
          <w:szCs w:val="22"/>
        </w:rPr>
        <w:t>磋商供应商全称</w:t>
      </w:r>
      <w:r>
        <w:rPr>
          <w:rFonts w:hint="eastAsia" w:ascii="宋体" w:hAnsi="宋体" w:cs="宋体"/>
          <w:color w:val="auto"/>
          <w:sz w:val="22"/>
          <w:szCs w:val="22"/>
        </w:rPr>
        <w:t>（电子签名/公章）</w:t>
      </w:r>
      <w:r>
        <w:rPr>
          <w:rFonts w:hint="eastAsia"/>
          <w:color w:val="auto"/>
          <w:sz w:val="22"/>
          <w:szCs w:val="22"/>
        </w:rPr>
        <w:t>：</w:t>
      </w:r>
    </w:p>
    <w:p w14:paraId="6C79193B">
      <w:pPr>
        <w:spacing w:line="440" w:lineRule="exact"/>
        <w:ind w:firstLine="4400" w:firstLineChars="2000"/>
        <w:rPr>
          <w:rFonts w:hint="eastAsia"/>
          <w:color w:val="auto"/>
          <w:sz w:val="22"/>
          <w:szCs w:val="22"/>
        </w:rPr>
      </w:pPr>
      <w:r>
        <w:rPr>
          <w:rFonts w:hint="eastAsia"/>
          <w:color w:val="auto"/>
          <w:sz w:val="22"/>
          <w:szCs w:val="22"/>
        </w:rPr>
        <w:t xml:space="preserve">日期：     年    月    日  </w:t>
      </w:r>
    </w:p>
    <w:p w14:paraId="422CA0B2">
      <w:pPr>
        <w:spacing w:line="360" w:lineRule="auto"/>
        <w:rPr>
          <w:rFonts w:hint="eastAsia" w:ascii="宋体" w:hAnsi="宋体"/>
          <w:color w:val="auto"/>
          <w:sz w:val="22"/>
          <w:szCs w:val="22"/>
          <w:u w:val="single"/>
        </w:rPr>
        <w:sectPr>
          <w:pgSz w:w="11906" w:h="16838"/>
          <w:pgMar w:top="1134" w:right="1134" w:bottom="1134" w:left="1134" w:header="851" w:footer="992" w:gutter="0"/>
          <w:cols w:space="720" w:num="1"/>
          <w:docGrid w:linePitch="312" w:charSpace="0"/>
        </w:sectPr>
      </w:pPr>
    </w:p>
    <w:p w14:paraId="5E3E3FB3">
      <w:pPr>
        <w:pStyle w:val="3"/>
        <w:spacing w:line="440" w:lineRule="exact"/>
        <w:rPr>
          <w:rFonts w:ascii="黑体" w:hAnsi="宋体"/>
          <w:color w:val="auto"/>
          <w:sz w:val="24"/>
          <w:szCs w:val="24"/>
        </w:rPr>
      </w:pPr>
      <w:bookmarkStart w:id="98" w:name="_Toc2826"/>
      <w:bookmarkStart w:id="99" w:name="_Toc24968"/>
      <w:r>
        <w:rPr>
          <w:rFonts w:hint="eastAsia" w:ascii="黑体" w:hAnsi="宋体"/>
          <w:color w:val="auto"/>
          <w:sz w:val="24"/>
          <w:szCs w:val="24"/>
        </w:rPr>
        <w:t>附件1</w:t>
      </w:r>
      <w:r>
        <w:rPr>
          <w:rFonts w:hint="eastAsia" w:ascii="黑体" w:hAnsi="宋体"/>
          <w:color w:val="auto"/>
          <w:sz w:val="24"/>
          <w:szCs w:val="24"/>
          <w:lang w:val="en-US" w:eastAsia="zh-CN"/>
        </w:rPr>
        <w:t>2</w:t>
      </w:r>
      <w:r>
        <w:rPr>
          <w:rFonts w:ascii="黑体" w:hAnsi="宋体"/>
          <w:color w:val="auto"/>
          <w:sz w:val="24"/>
          <w:szCs w:val="24"/>
        </w:rPr>
        <w:t xml:space="preserve"> </w:t>
      </w:r>
      <w:r>
        <w:rPr>
          <w:rFonts w:hint="eastAsia" w:ascii="黑体" w:hAnsi="宋体"/>
          <w:color w:val="auto"/>
          <w:sz w:val="24"/>
          <w:szCs w:val="24"/>
        </w:rPr>
        <w:t>选用主要材料的品牌表</w:t>
      </w:r>
      <w:bookmarkEnd w:id="98"/>
      <w:bookmarkEnd w:id="99"/>
    </w:p>
    <w:p w14:paraId="08EA4895">
      <w:pPr>
        <w:spacing w:line="440" w:lineRule="exact"/>
        <w:jc w:val="center"/>
        <w:rPr>
          <w:rFonts w:ascii="宋体" w:hAnsi="宋体"/>
          <w:b/>
          <w:bCs/>
          <w:color w:val="auto"/>
          <w:sz w:val="32"/>
          <w:szCs w:val="32"/>
        </w:rPr>
      </w:pPr>
      <w:r>
        <w:rPr>
          <w:rFonts w:hint="eastAsia" w:ascii="宋体" w:hAnsi="宋体"/>
          <w:b/>
          <w:bCs/>
          <w:color w:val="auto"/>
          <w:sz w:val="32"/>
          <w:szCs w:val="32"/>
        </w:rPr>
        <w:t>选用主要材料的品牌表</w:t>
      </w:r>
    </w:p>
    <w:p w14:paraId="16330C29">
      <w:pPr>
        <w:spacing w:line="440" w:lineRule="exact"/>
        <w:rPr>
          <w:rFonts w:ascii="宋体" w:hAnsi="宋体"/>
          <w:color w:val="auto"/>
          <w:sz w:val="22"/>
          <w:szCs w:val="22"/>
        </w:rPr>
      </w:pPr>
    </w:p>
    <w:p w14:paraId="2872D590">
      <w:pPr>
        <w:spacing w:line="440" w:lineRule="exact"/>
        <w:rPr>
          <w:rFonts w:hint="eastAsia" w:ascii="宋体" w:hAnsi="宋体"/>
          <w:color w:val="auto"/>
          <w:sz w:val="22"/>
          <w:szCs w:val="22"/>
        </w:rPr>
      </w:pPr>
      <w:r>
        <w:rPr>
          <w:rFonts w:ascii="宋体" w:hAnsi="宋体"/>
          <w:color w:val="auto"/>
          <w:sz w:val="22"/>
          <w:szCs w:val="22"/>
        </w:rPr>
        <w:t>项目名称</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3969"/>
        <w:gridCol w:w="1559"/>
      </w:tblGrid>
      <w:tr w14:paraId="26D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shd w:val="clear" w:color="auto" w:fill="D9D9D9"/>
            <w:vAlign w:val="center"/>
          </w:tcPr>
          <w:p w14:paraId="2B7D1AAD">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2694" w:type="dxa"/>
            <w:shd w:val="clear" w:color="auto" w:fill="D9D9D9"/>
            <w:vAlign w:val="center"/>
          </w:tcPr>
          <w:p w14:paraId="6CBA976D">
            <w:pPr>
              <w:spacing w:line="380" w:lineRule="exact"/>
              <w:jc w:val="center"/>
              <w:rPr>
                <w:rFonts w:hint="eastAsia" w:ascii="宋体" w:hAnsi="宋体"/>
                <w:b/>
                <w:bCs/>
                <w:color w:val="auto"/>
                <w:sz w:val="22"/>
                <w:szCs w:val="22"/>
              </w:rPr>
            </w:pPr>
            <w:r>
              <w:rPr>
                <w:rFonts w:hint="eastAsia" w:ascii="宋体" w:hAnsi="宋体"/>
                <w:b/>
                <w:bCs/>
                <w:color w:val="auto"/>
                <w:sz w:val="22"/>
                <w:szCs w:val="22"/>
              </w:rPr>
              <w:t>主材名称</w:t>
            </w:r>
          </w:p>
        </w:tc>
        <w:tc>
          <w:tcPr>
            <w:tcW w:w="3969" w:type="dxa"/>
            <w:shd w:val="clear" w:color="auto" w:fill="D9D9D9"/>
            <w:vAlign w:val="center"/>
          </w:tcPr>
          <w:p w14:paraId="314D5300">
            <w:pPr>
              <w:spacing w:line="380" w:lineRule="exact"/>
              <w:jc w:val="center"/>
              <w:rPr>
                <w:rFonts w:hint="eastAsia" w:ascii="宋体" w:hAnsi="宋体"/>
                <w:b/>
                <w:bCs/>
                <w:color w:val="auto"/>
                <w:sz w:val="22"/>
                <w:szCs w:val="22"/>
              </w:rPr>
            </w:pPr>
            <w:r>
              <w:rPr>
                <w:rFonts w:hint="eastAsia" w:ascii="宋体" w:hAnsi="宋体"/>
                <w:b/>
                <w:bCs/>
                <w:color w:val="auto"/>
                <w:sz w:val="22"/>
                <w:szCs w:val="22"/>
              </w:rPr>
              <w:t>品牌、规格型号</w:t>
            </w:r>
          </w:p>
        </w:tc>
        <w:tc>
          <w:tcPr>
            <w:tcW w:w="1559" w:type="dxa"/>
            <w:shd w:val="clear" w:color="auto" w:fill="D9D9D9"/>
            <w:vAlign w:val="center"/>
          </w:tcPr>
          <w:p w14:paraId="577F7BD9">
            <w:pPr>
              <w:spacing w:line="380" w:lineRule="exact"/>
              <w:jc w:val="center"/>
              <w:rPr>
                <w:rFonts w:hint="eastAsia" w:ascii="宋体" w:hAnsi="宋体"/>
                <w:b/>
                <w:bCs/>
                <w:color w:val="auto"/>
                <w:sz w:val="22"/>
                <w:szCs w:val="22"/>
              </w:rPr>
            </w:pPr>
            <w:r>
              <w:rPr>
                <w:rFonts w:hint="eastAsia" w:ascii="宋体" w:hAnsi="宋体"/>
                <w:b/>
                <w:bCs/>
                <w:color w:val="auto"/>
                <w:sz w:val="22"/>
                <w:szCs w:val="22"/>
              </w:rPr>
              <w:t>备注</w:t>
            </w:r>
          </w:p>
        </w:tc>
      </w:tr>
      <w:tr w14:paraId="5532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6B79BF20">
            <w:pPr>
              <w:spacing w:line="380" w:lineRule="exact"/>
              <w:jc w:val="center"/>
              <w:rPr>
                <w:rFonts w:hint="eastAsia" w:ascii="宋体" w:hAnsi="宋体"/>
                <w:b/>
                <w:bCs/>
                <w:color w:val="auto"/>
                <w:sz w:val="22"/>
                <w:szCs w:val="22"/>
              </w:rPr>
            </w:pPr>
            <w:r>
              <w:rPr>
                <w:rFonts w:hint="eastAsia"/>
                <w:color w:val="auto"/>
                <w:sz w:val="24"/>
              </w:rPr>
              <w:t>1</w:t>
            </w:r>
          </w:p>
        </w:tc>
        <w:tc>
          <w:tcPr>
            <w:tcW w:w="2694" w:type="dxa"/>
            <w:vAlign w:val="center"/>
          </w:tcPr>
          <w:p w14:paraId="6C93B335">
            <w:pPr>
              <w:spacing w:line="380" w:lineRule="exact"/>
              <w:jc w:val="center"/>
              <w:rPr>
                <w:rFonts w:hint="eastAsia" w:ascii="宋体" w:hAnsi="宋体"/>
                <w:b/>
                <w:bCs/>
                <w:color w:val="auto"/>
                <w:sz w:val="22"/>
                <w:szCs w:val="22"/>
              </w:rPr>
            </w:pPr>
          </w:p>
        </w:tc>
        <w:tc>
          <w:tcPr>
            <w:tcW w:w="3969" w:type="dxa"/>
            <w:vAlign w:val="center"/>
          </w:tcPr>
          <w:p w14:paraId="436C3B5B">
            <w:pPr>
              <w:spacing w:line="380" w:lineRule="exact"/>
              <w:jc w:val="center"/>
              <w:rPr>
                <w:rFonts w:hint="eastAsia" w:ascii="宋体" w:hAnsi="宋体"/>
                <w:b/>
                <w:bCs/>
                <w:color w:val="auto"/>
                <w:sz w:val="22"/>
                <w:szCs w:val="22"/>
              </w:rPr>
            </w:pPr>
          </w:p>
        </w:tc>
        <w:tc>
          <w:tcPr>
            <w:tcW w:w="1559" w:type="dxa"/>
            <w:vAlign w:val="center"/>
          </w:tcPr>
          <w:p w14:paraId="46AF218C">
            <w:pPr>
              <w:spacing w:line="380" w:lineRule="exact"/>
              <w:jc w:val="center"/>
              <w:rPr>
                <w:rFonts w:hint="eastAsia" w:ascii="宋体" w:hAnsi="宋体"/>
                <w:b/>
                <w:bCs/>
                <w:color w:val="auto"/>
                <w:sz w:val="22"/>
                <w:szCs w:val="22"/>
              </w:rPr>
            </w:pPr>
          </w:p>
        </w:tc>
      </w:tr>
      <w:tr w14:paraId="1242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5E86696B">
            <w:pPr>
              <w:spacing w:line="380" w:lineRule="exact"/>
              <w:jc w:val="center"/>
              <w:rPr>
                <w:rFonts w:hint="eastAsia" w:ascii="宋体" w:hAnsi="宋体"/>
                <w:b/>
                <w:bCs/>
                <w:color w:val="auto"/>
                <w:sz w:val="22"/>
                <w:szCs w:val="22"/>
              </w:rPr>
            </w:pPr>
            <w:r>
              <w:rPr>
                <w:rFonts w:hint="eastAsia"/>
                <w:color w:val="auto"/>
                <w:sz w:val="24"/>
              </w:rPr>
              <w:t>2</w:t>
            </w:r>
          </w:p>
        </w:tc>
        <w:tc>
          <w:tcPr>
            <w:tcW w:w="2694" w:type="dxa"/>
            <w:vAlign w:val="center"/>
          </w:tcPr>
          <w:p w14:paraId="1C7E396B">
            <w:pPr>
              <w:spacing w:line="380" w:lineRule="exact"/>
              <w:jc w:val="center"/>
              <w:rPr>
                <w:rFonts w:hint="eastAsia" w:ascii="宋体" w:hAnsi="宋体"/>
                <w:b/>
                <w:bCs/>
                <w:color w:val="auto"/>
                <w:sz w:val="22"/>
                <w:szCs w:val="22"/>
              </w:rPr>
            </w:pPr>
          </w:p>
        </w:tc>
        <w:tc>
          <w:tcPr>
            <w:tcW w:w="3969" w:type="dxa"/>
            <w:vAlign w:val="center"/>
          </w:tcPr>
          <w:p w14:paraId="260E66D1">
            <w:pPr>
              <w:spacing w:line="380" w:lineRule="exact"/>
              <w:jc w:val="center"/>
              <w:rPr>
                <w:rFonts w:hint="eastAsia" w:ascii="宋体" w:hAnsi="宋体"/>
                <w:b/>
                <w:bCs/>
                <w:color w:val="auto"/>
                <w:sz w:val="22"/>
                <w:szCs w:val="22"/>
              </w:rPr>
            </w:pPr>
          </w:p>
        </w:tc>
        <w:tc>
          <w:tcPr>
            <w:tcW w:w="1559" w:type="dxa"/>
            <w:vAlign w:val="center"/>
          </w:tcPr>
          <w:p w14:paraId="70AD0F97">
            <w:pPr>
              <w:spacing w:line="380" w:lineRule="exact"/>
              <w:jc w:val="center"/>
              <w:rPr>
                <w:rFonts w:hint="eastAsia" w:ascii="宋体" w:hAnsi="宋体"/>
                <w:b/>
                <w:bCs/>
                <w:color w:val="auto"/>
                <w:sz w:val="22"/>
                <w:szCs w:val="22"/>
              </w:rPr>
            </w:pPr>
          </w:p>
        </w:tc>
      </w:tr>
      <w:tr w14:paraId="069E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6C3F9C50">
            <w:pPr>
              <w:spacing w:line="380" w:lineRule="exact"/>
              <w:jc w:val="center"/>
              <w:rPr>
                <w:rFonts w:hint="eastAsia" w:ascii="宋体" w:hAnsi="宋体"/>
                <w:b/>
                <w:bCs/>
                <w:color w:val="auto"/>
                <w:sz w:val="22"/>
                <w:szCs w:val="22"/>
              </w:rPr>
            </w:pPr>
            <w:r>
              <w:rPr>
                <w:rFonts w:hint="eastAsia"/>
                <w:color w:val="auto"/>
                <w:sz w:val="24"/>
              </w:rPr>
              <w:t>3</w:t>
            </w:r>
          </w:p>
        </w:tc>
        <w:tc>
          <w:tcPr>
            <w:tcW w:w="2694" w:type="dxa"/>
            <w:vAlign w:val="center"/>
          </w:tcPr>
          <w:p w14:paraId="2AA2E360">
            <w:pPr>
              <w:spacing w:line="380" w:lineRule="exact"/>
              <w:jc w:val="center"/>
              <w:rPr>
                <w:rFonts w:hint="eastAsia" w:ascii="宋体" w:hAnsi="宋体"/>
                <w:b/>
                <w:bCs/>
                <w:color w:val="auto"/>
                <w:sz w:val="22"/>
                <w:szCs w:val="22"/>
              </w:rPr>
            </w:pPr>
          </w:p>
        </w:tc>
        <w:tc>
          <w:tcPr>
            <w:tcW w:w="3969" w:type="dxa"/>
            <w:vAlign w:val="center"/>
          </w:tcPr>
          <w:p w14:paraId="3966E771">
            <w:pPr>
              <w:spacing w:line="380" w:lineRule="exact"/>
              <w:jc w:val="center"/>
              <w:rPr>
                <w:rFonts w:hint="eastAsia" w:ascii="宋体" w:hAnsi="宋体"/>
                <w:b/>
                <w:bCs/>
                <w:color w:val="auto"/>
                <w:sz w:val="22"/>
                <w:szCs w:val="22"/>
              </w:rPr>
            </w:pPr>
          </w:p>
        </w:tc>
        <w:tc>
          <w:tcPr>
            <w:tcW w:w="1559" w:type="dxa"/>
            <w:vAlign w:val="center"/>
          </w:tcPr>
          <w:p w14:paraId="4F8A732A">
            <w:pPr>
              <w:spacing w:line="380" w:lineRule="exact"/>
              <w:jc w:val="center"/>
              <w:rPr>
                <w:rFonts w:hint="eastAsia" w:ascii="宋体" w:hAnsi="宋体"/>
                <w:b/>
                <w:bCs/>
                <w:color w:val="auto"/>
                <w:sz w:val="22"/>
                <w:szCs w:val="22"/>
              </w:rPr>
            </w:pPr>
          </w:p>
        </w:tc>
      </w:tr>
      <w:tr w14:paraId="4E70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5DDB5681">
            <w:pPr>
              <w:spacing w:line="380" w:lineRule="exact"/>
              <w:jc w:val="center"/>
              <w:rPr>
                <w:rFonts w:hint="eastAsia" w:ascii="宋体" w:hAnsi="宋体"/>
                <w:b/>
                <w:bCs/>
                <w:color w:val="auto"/>
                <w:sz w:val="22"/>
                <w:szCs w:val="22"/>
              </w:rPr>
            </w:pPr>
            <w:r>
              <w:rPr>
                <w:rFonts w:hint="eastAsia"/>
                <w:color w:val="auto"/>
                <w:sz w:val="24"/>
              </w:rPr>
              <w:t>4</w:t>
            </w:r>
          </w:p>
        </w:tc>
        <w:tc>
          <w:tcPr>
            <w:tcW w:w="2694" w:type="dxa"/>
            <w:vAlign w:val="center"/>
          </w:tcPr>
          <w:p w14:paraId="13AB4F1E">
            <w:pPr>
              <w:spacing w:line="380" w:lineRule="exact"/>
              <w:jc w:val="center"/>
              <w:rPr>
                <w:rFonts w:hint="eastAsia" w:ascii="宋体" w:hAnsi="宋体"/>
                <w:b/>
                <w:bCs/>
                <w:color w:val="auto"/>
                <w:sz w:val="22"/>
                <w:szCs w:val="22"/>
              </w:rPr>
            </w:pPr>
          </w:p>
        </w:tc>
        <w:tc>
          <w:tcPr>
            <w:tcW w:w="3969" w:type="dxa"/>
            <w:vAlign w:val="center"/>
          </w:tcPr>
          <w:p w14:paraId="7BCA8001">
            <w:pPr>
              <w:spacing w:line="380" w:lineRule="exact"/>
              <w:jc w:val="center"/>
              <w:rPr>
                <w:rFonts w:hint="eastAsia" w:ascii="宋体" w:hAnsi="宋体"/>
                <w:b/>
                <w:bCs/>
                <w:color w:val="auto"/>
                <w:sz w:val="22"/>
                <w:szCs w:val="22"/>
              </w:rPr>
            </w:pPr>
          </w:p>
        </w:tc>
        <w:tc>
          <w:tcPr>
            <w:tcW w:w="1559" w:type="dxa"/>
            <w:vAlign w:val="center"/>
          </w:tcPr>
          <w:p w14:paraId="4E157D47">
            <w:pPr>
              <w:spacing w:line="380" w:lineRule="exact"/>
              <w:jc w:val="center"/>
              <w:rPr>
                <w:rFonts w:hint="eastAsia" w:ascii="宋体" w:hAnsi="宋体"/>
                <w:b/>
                <w:bCs/>
                <w:color w:val="auto"/>
                <w:sz w:val="22"/>
                <w:szCs w:val="22"/>
              </w:rPr>
            </w:pPr>
          </w:p>
        </w:tc>
      </w:tr>
      <w:tr w14:paraId="7617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55234F60">
            <w:pPr>
              <w:spacing w:line="380" w:lineRule="exact"/>
              <w:jc w:val="center"/>
              <w:rPr>
                <w:rFonts w:hint="eastAsia" w:ascii="宋体" w:hAnsi="宋体"/>
                <w:b/>
                <w:bCs/>
                <w:color w:val="auto"/>
                <w:sz w:val="22"/>
                <w:szCs w:val="22"/>
              </w:rPr>
            </w:pPr>
            <w:r>
              <w:rPr>
                <w:rFonts w:hint="eastAsia"/>
                <w:color w:val="auto"/>
                <w:sz w:val="24"/>
              </w:rPr>
              <w:t>5</w:t>
            </w:r>
          </w:p>
        </w:tc>
        <w:tc>
          <w:tcPr>
            <w:tcW w:w="2694" w:type="dxa"/>
          </w:tcPr>
          <w:p w14:paraId="2F61FF1A">
            <w:pPr>
              <w:spacing w:line="380" w:lineRule="exact"/>
              <w:jc w:val="center"/>
              <w:rPr>
                <w:rFonts w:hint="eastAsia" w:ascii="宋体" w:hAnsi="宋体"/>
                <w:b/>
                <w:bCs/>
                <w:color w:val="auto"/>
                <w:sz w:val="22"/>
                <w:szCs w:val="22"/>
              </w:rPr>
            </w:pPr>
          </w:p>
        </w:tc>
        <w:tc>
          <w:tcPr>
            <w:tcW w:w="3969" w:type="dxa"/>
            <w:vAlign w:val="center"/>
          </w:tcPr>
          <w:p w14:paraId="4791BDED">
            <w:pPr>
              <w:spacing w:line="380" w:lineRule="exact"/>
              <w:jc w:val="center"/>
              <w:rPr>
                <w:rFonts w:hint="eastAsia" w:ascii="宋体" w:hAnsi="宋体"/>
                <w:b/>
                <w:bCs/>
                <w:color w:val="auto"/>
                <w:sz w:val="22"/>
                <w:szCs w:val="22"/>
              </w:rPr>
            </w:pPr>
          </w:p>
        </w:tc>
        <w:tc>
          <w:tcPr>
            <w:tcW w:w="1559" w:type="dxa"/>
            <w:vAlign w:val="center"/>
          </w:tcPr>
          <w:p w14:paraId="14A32DE3">
            <w:pPr>
              <w:spacing w:line="380" w:lineRule="exact"/>
              <w:jc w:val="center"/>
              <w:rPr>
                <w:rFonts w:hint="eastAsia" w:ascii="宋体" w:hAnsi="宋体"/>
                <w:b/>
                <w:bCs/>
                <w:color w:val="auto"/>
                <w:sz w:val="22"/>
                <w:szCs w:val="22"/>
              </w:rPr>
            </w:pPr>
          </w:p>
        </w:tc>
      </w:tr>
      <w:tr w14:paraId="17EA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061B663B">
            <w:pPr>
              <w:spacing w:line="380" w:lineRule="exact"/>
              <w:jc w:val="center"/>
              <w:rPr>
                <w:rFonts w:hint="eastAsia" w:ascii="宋体" w:hAnsi="宋体"/>
                <w:b/>
                <w:bCs/>
                <w:color w:val="auto"/>
                <w:sz w:val="22"/>
                <w:szCs w:val="22"/>
              </w:rPr>
            </w:pPr>
            <w:r>
              <w:rPr>
                <w:rFonts w:hint="eastAsia"/>
                <w:color w:val="auto"/>
                <w:sz w:val="24"/>
              </w:rPr>
              <w:t>6</w:t>
            </w:r>
          </w:p>
        </w:tc>
        <w:tc>
          <w:tcPr>
            <w:tcW w:w="2694" w:type="dxa"/>
            <w:vAlign w:val="center"/>
          </w:tcPr>
          <w:p w14:paraId="209EB9BB">
            <w:pPr>
              <w:spacing w:line="380" w:lineRule="exact"/>
              <w:jc w:val="center"/>
              <w:rPr>
                <w:rFonts w:hint="eastAsia" w:ascii="宋体" w:hAnsi="宋体"/>
                <w:b/>
                <w:bCs/>
                <w:color w:val="auto"/>
                <w:sz w:val="22"/>
                <w:szCs w:val="22"/>
              </w:rPr>
            </w:pPr>
          </w:p>
        </w:tc>
        <w:tc>
          <w:tcPr>
            <w:tcW w:w="3969" w:type="dxa"/>
            <w:vAlign w:val="center"/>
          </w:tcPr>
          <w:p w14:paraId="11548AAB">
            <w:pPr>
              <w:spacing w:line="380" w:lineRule="exact"/>
              <w:jc w:val="center"/>
              <w:rPr>
                <w:rFonts w:hint="eastAsia" w:ascii="宋体" w:hAnsi="宋体"/>
                <w:b/>
                <w:bCs/>
                <w:color w:val="auto"/>
                <w:sz w:val="22"/>
                <w:szCs w:val="22"/>
              </w:rPr>
            </w:pPr>
          </w:p>
        </w:tc>
        <w:tc>
          <w:tcPr>
            <w:tcW w:w="1559" w:type="dxa"/>
            <w:vAlign w:val="center"/>
          </w:tcPr>
          <w:p w14:paraId="69DA1466">
            <w:pPr>
              <w:spacing w:line="380" w:lineRule="exact"/>
              <w:jc w:val="center"/>
              <w:rPr>
                <w:rFonts w:hint="eastAsia" w:ascii="宋体" w:hAnsi="宋体"/>
                <w:b/>
                <w:bCs/>
                <w:color w:val="auto"/>
                <w:sz w:val="22"/>
                <w:szCs w:val="22"/>
              </w:rPr>
            </w:pPr>
          </w:p>
        </w:tc>
      </w:tr>
      <w:tr w14:paraId="69BE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20D74EC1">
            <w:pPr>
              <w:spacing w:line="380" w:lineRule="exact"/>
              <w:jc w:val="center"/>
              <w:rPr>
                <w:rFonts w:hint="eastAsia" w:ascii="宋体" w:hAnsi="宋体"/>
                <w:b/>
                <w:bCs/>
                <w:color w:val="auto"/>
                <w:sz w:val="22"/>
                <w:szCs w:val="22"/>
              </w:rPr>
            </w:pPr>
            <w:r>
              <w:rPr>
                <w:rFonts w:hint="eastAsia"/>
                <w:color w:val="auto"/>
                <w:sz w:val="24"/>
              </w:rPr>
              <w:t>7</w:t>
            </w:r>
          </w:p>
        </w:tc>
        <w:tc>
          <w:tcPr>
            <w:tcW w:w="2694" w:type="dxa"/>
            <w:vAlign w:val="center"/>
          </w:tcPr>
          <w:p w14:paraId="2D494C00">
            <w:pPr>
              <w:spacing w:line="380" w:lineRule="exact"/>
              <w:jc w:val="center"/>
              <w:rPr>
                <w:rFonts w:hint="eastAsia" w:ascii="宋体" w:hAnsi="宋体"/>
                <w:b/>
                <w:bCs/>
                <w:color w:val="auto"/>
                <w:sz w:val="22"/>
                <w:szCs w:val="22"/>
              </w:rPr>
            </w:pPr>
          </w:p>
        </w:tc>
        <w:tc>
          <w:tcPr>
            <w:tcW w:w="3969" w:type="dxa"/>
            <w:vAlign w:val="center"/>
          </w:tcPr>
          <w:p w14:paraId="3D793E41">
            <w:pPr>
              <w:spacing w:line="380" w:lineRule="exact"/>
              <w:jc w:val="center"/>
              <w:rPr>
                <w:rFonts w:hint="eastAsia" w:ascii="宋体" w:hAnsi="宋体"/>
                <w:b/>
                <w:bCs/>
                <w:color w:val="auto"/>
                <w:sz w:val="22"/>
                <w:szCs w:val="22"/>
              </w:rPr>
            </w:pPr>
          </w:p>
        </w:tc>
        <w:tc>
          <w:tcPr>
            <w:tcW w:w="1559" w:type="dxa"/>
            <w:vAlign w:val="center"/>
          </w:tcPr>
          <w:p w14:paraId="72EDC621">
            <w:pPr>
              <w:spacing w:line="380" w:lineRule="exact"/>
              <w:jc w:val="center"/>
              <w:rPr>
                <w:rFonts w:hint="eastAsia" w:ascii="宋体" w:hAnsi="宋体"/>
                <w:b/>
                <w:bCs/>
                <w:color w:val="auto"/>
                <w:sz w:val="22"/>
                <w:szCs w:val="22"/>
              </w:rPr>
            </w:pPr>
          </w:p>
        </w:tc>
      </w:tr>
      <w:tr w14:paraId="43AC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242" w:type="dxa"/>
            <w:vAlign w:val="center"/>
          </w:tcPr>
          <w:p w14:paraId="7DD4D770">
            <w:pPr>
              <w:spacing w:line="380" w:lineRule="exact"/>
              <w:jc w:val="center"/>
              <w:rPr>
                <w:rFonts w:hint="eastAsia" w:ascii="宋体" w:hAnsi="宋体"/>
                <w:b/>
                <w:bCs/>
                <w:color w:val="auto"/>
                <w:sz w:val="22"/>
                <w:szCs w:val="22"/>
              </w:rPr>
            </w:pPr>
            <w:r>
              <w:rPr>
                <w:rFonts w:hint="eastAsia"/>
                <w:color w:val="auto"/>
                <w:sz w:val="24"/>
              </w:rPr>
              <w:t>8</w:t>
            </w:r>
          </w:p>
        </w:tc>
        <w:tc>
          <w:tcPr>
            <w:tcW w:w="2694" w:type="dxa"/>
            <w:vAlign w:val="center"/>
          </w:tcPr>
          <w:p w14:paraId="1F11F896">
            <w:pPr>
              <w:spacing w:line="380" w:lineRule="exact"/>
              <w:jc w:val="center"/>
              <w:rPr>
                <w:rFonts w:hint="eastAsia" w:ascii="宋体" w:hAnsi="宋体"/>
                <w:b/>
                <w:bCs/>
                <w:color w:val="auto"/>
                <w:sz w:val="22"/>
                <w:szCs w:val="22"/>
              </w:rPr>
            </w:pPr>
          </w:p>
        </w:tc>
        <w:tc>
          <w:tcPr>
            <w:tcW w:w="3969" w:type="dxa"/>
            <w:vAlign w:val="center"/>
          </w:tcPr>
          <w:p w14:paraId="43DFCB6E">
            <w:pPr>
              <w:spacing w:line="380" w:lineRule="exact"/>
              <w:jc w:val="center"/>
              <w:rPr>
                <w:rFonts w:hint="eastAsia" w:ascii="宋体" w:hAnsi="宋体"/>
                <w:b/>
                <w:bCs/>
                <w:color w:val="auto"/>
                <w:sz w:val="22"/>
                <w:szCs w:val="22"/>
              </w:rPr>
            </w:pPr>
          </w:p>
        </w:tc>
        <w:tc>
          <w:tcPr>
            <w:tcW w:w="1559" w:type="dxa"/>
            <w:vAlign w:val="center"/>
          </w:tcPr>
          <w:p w14:paraId="762809DF">
            <w:pPr>
              <w:spacing w:line="380" w:lineRule="exact"/>
              <w:jc w:val="center"/>
              <w:rPr>
                <w:rFonts w:hint="eastAsia" w:ascii="宋体" w:hAnsi="宋体"/>
                <w:b/>
                <w:bCs/>
                <w:color w:val="auto"/>
                <w:sz w:val="22"/>
                <w:szCs w:val="22"/>
              </w:rPr>
            </w:pPr>
          </w:p>
        </w:tc>
      </w:tr>
      <w:tr w14:paraId="62D2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0C607A64">
            <w:pPr>
              <w:spacing w:line="380" w:lineRule="exact"/>
              <w:jc w:val="center"/>
              <w:rPr>
                <w:rFonts w:hint="eastAsia" w:ascii="宋体" w:hAnsi="宋体"/>
                <w:b/>
                <w:bCs/>
                <w:color w:val="auto"/>
                <w:sz w:val="22"/>
                <w:szCs w:val="22"/>
              </w:rPr>
            </w:pPr>
            <w:r>
              <w:rPr>
                <w:rFonts w:hint="eastAsia"/>
                <w:color w:val="auto"/>
                <w:sz w:val="24"/>
              </w:rPr>
              <w:t>9</w:t>
            </w:r>
          </w:p>
        </w:tc>
        <w:tc>
          <w:tcPr>
            <w:tcW w:w="2694" w:type="dxa"/>
            <w:vAlign w:val="center"/>
          </w:tcPr>
          <w:p w14:paraId="294365AD">
            <w:pPr>
              <w:spacing w:line="380" w:lineRule="exact"/>
              <w:jc w:val="center"/>
              <w:rPr>
                <w:rFonts w:hint="eastAsia" w:ascii="宋体" w:hAnsi="宋体"/>
                <w:b/>
                <w:bCs/>
                <w:color w:val="auto"/>
                <w:sz w:val="22"/>
                <w:szCs w:val="22"/>
              </w:rPr>
            </w:pPr>
          </w:p>
        </w:tc>
        <w:tc>
          <w:tcPr>
            <w:tcW w:w="3969" w:type="dxa"/>
            <w:vAlign w:val="center"/>
          </w:tcPr>
          <w:p w14:paraId="2EC59041">
            <w:pPr>
              <w:spacing w:line="380" w:lineRule="exact"/>
              <w:jc w:val="center"/>
              <w:rPr>
                <w:rFonts w:hint="eastAsia" w:ascii="宋体" w:hAnsi="宋体"/>
                <w:b/>
                <w:bCs/>
                <w:color w:val="auto"/>
                <w:sz w:val="22"/>
                <w:szCs w:val="22"/>
              </w:rPr>
            </w:pPr>
          </w:p>
        </w:tc>
        <w:tc>
          <w:tcPr>
            <w:tcW w:w="1559" w:type="dxa"/>
            <w:vAlign w:val="center"/>
          </w:tcPr>
          <w:p w14:paraId="49E73CC2">
            <w:pPr>
              <w:spacing w:line="380" w:lineRule="exact"/>
              <w:jc w:val="center"/>
              <w:rPr>
                <w:rFonts w:hint="eastAsia" w:ascii="宋体" w:hAnsi="宋体"/>
                <w:b/>
                <w:bCs/>
                <w:color w:val="auto"/>
                <w:sz w:val="22"/>
                <w:szCs w:val="22"/>
              </w:rPr>
            </w:pPr>
          </w:p>
        </w:tc>
      </w:tr>
      <w:tr w14:paraId="16DA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74BC61BF">
            <w:pPr>
              <w:spacing w:line="380" w:lineRule="exact"/>
              <w:jc w:val="center"/>
              <w:rPr>
                <w:rFonts w:hint="eastAsia" w:ascii="宋体" w:hAnsi="宋体"/>
                <w:b/>
                <w:bCs/>
                <w:color w:val="auto"/>
                <w:sz w:val="22"/>
                <w:szCs w:val="22"/>
              </w:rPr>
            </w:pPr>
            <w:r>
              <w:rPr>
                <w:rFonts w:hint="eastAsia"/>
                <w:color w:val="auto"/>
                <w:sz w:val="24"/>
              </w:rPr>
              <w:t>10</w:t>
            </w:r>
          </w:p>
        </w:tc>
        <w:tc>
          <w:tcPr>
            <w:tcW w:w="2694" w:type="dxa"/>
            <w:vAlign w:val="center"/>
          </w:tcPr>
          <w:p w14:paraId="5D384777">
            <w:pPr>
              <w:spacing w:line="380" w:lineRule="exact"/>
              <w:jc w:val="center"/>
              <w:rPr>
                <w:rFonts w:hint="eastAsia" w:ascii="宋体" w:hAnsi="宋体"/>
                <w:b/>
                <w:bCs/>
                <w:color w:val="auto"/>
                <w:sz w:val="22"/>
                <w:szCs w:val="22"/>
              </w:rPr>
            </w:pPr>
          </w:p>
        </w:tc>
        <w:tc>
          <w:tcPr>
            <w:tcW w:w="3969" w:type="dxa"/>
            <w:vAlign w:val="center"/>
          </w:tcPr>
          <w:p w14:paraId="2D0DFDCC">
            <w:pPr>
              <w:spacing w:line="380" w:lineRule="exact"/>
              <w:jc w:val="center"/>
              <w:rPr>
                <w:rFonts w:hint="eastAsia" w:ascii="宋体" w:hAnsi="宋体"/>
                <w:b/>
                <w:bCs/>
                <w:color w:val="auto"/>
                <w:sz w:val="22"/>
                <w:szCs w:val="22"/>
              </w:rPr>
            </w:pPr>
          </w:p>
        </w:tc>
        <w:tc>
          <w:tcPr>
            <w:tcW w:w="1559" w:type="dxa"/>
            <w:vAlign w:val="center"/>
          </w:tcPr>
          <w:p w14:paraId="733BF8A4">
            <w:pPr>
              <w:spacing w:line="380" w:lineRule="exact"/>
              <w:jc w:val="center"/>
              <w:rPr>
                <w:rFonts w:hint="eastAsia" w:ascii="宋体" w:hAnsi="宋体"/>
                <w:b/>
                <w:bCs/>
                <w:color w:val="auto"/>
                <w:sz w:val="22"/>
                <w:szCs w:val="22"/>
              </w:rPr>
            </w:pPr>
          </w:p>
        </w:tc>
      </w:tr>
      <w:tr w14:paraId="5255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31E82E16">
            <w:pPr>
              <w:spacing w:line="380" w:lineRule="exact"/>
              <w:jc w:val="center"/>
              <w:rPr>
                <w:rFonts w:hint="eastAsia"/>
                <w:color w:val="auto"/>
                <w:sz w:val="24"/>
              </w:rPr>
            </w:pPr>
            <w:r>
              <w:rPr>
                <w:rFonts w:hint="eastAsia"/>
                <w:color w:val="auto"/>
                <w:sz w:val="24"/>
              </w:rPr>
              <w:t>11</w:t>
            </w:r>
          </w:p>
        </w:tc>
        <w:tc>
          <w:tcPr>
            <w:tcW w:w="2694" w:type="dxa"/>
            <w:vAlign w:val="center"/>
          </w:tcPr>
          <w:p w14:paraId="148DBC2A">
            <w:pPr>
              <w:spacing w:line="380" w:lineRule="exact"/>
              <w:jc w:val="center"/>
              <w:rPr>
                <w:rFonts w:hint="eastAsia"/>
                <w:color w:val="auto"/>
                <w:sz w:val="24"/>
              </w:rPr>
            </w:pPr>
          </w:p>
        </w:tc>
        <w:tc>
          <w:tcPr>
            <w:tcW w:w="3969" w:type="dxa"/>
            <w:vAlign w:val="center"/>
          </w:tcPr>
          <w:p w14:paraId="7B2DF3E7">
            <w:pPr>
              <w:spacing w:line="380" w:lineRule="exact"/>
              <w:jc w:val="center"/>
              <w:rPr>
                <w:rFonts w:hint="eastAsia" w:ascii="宋体" w:hAnsi="宋体"/>
                <w:b/>
                <w:bCs/>
                <w:color w:val="auto"/>
                <w:sz w:val="22"/>
                <w:szCs w:val="22"/>
              </w:rPr>
            </w:pPr>
          </w:p>
        </w:tc>
        <w:tc>
          <w:tcPr>
            <w:tcW w:w="1559" w:type="dxa"/>
            <w:vAlign w:val="center"/>
          </w:tcPr>
          <w:p w14:paraId="517523C8">
            <w:pPr>
              <w:spacing w:line="380" w:lineRule="exact"/>
              <w:jc w:val="center"/>
              <w:rPr>
                <w:rFonts w:hint="eastAsia" w:ascii="宋体" w:hAnsi="宋体"/>
                <w:b/>
                <w:bCs/>
                <w:color w:val="auto"/>
                <w:sz w:val="22"/>
                <w:szCs w:val="22"/>
              </w:rPr>
            </w:pPr>
          </w:p>
        </w:tc>
      </w:tr>
    </w:tbl>
    <w:p w14:paraId="4C68BAE2">
      <w:pPr>
        <w:spacing w:line="440" w:lineRule="exact"/>
        <w:ind w:left="758" w:hanging="758" w:hangingChars="343"/>
        <w:rPr>
          <w:rFonts w:ascii="宋体" w:hAnsi="宋体"/>
          <w:b/>
          <w:color w:val="auto"/>
          <w:sz w:val="22"/>
          <w:szCs w:val="22"/>
        </w:rPr>
      </w:pPr>
      <w:r>
        <w:rPr>
          <w:rFonts w:hint="eastAsia" w:ascii="宋体" w:hAnsi="宋体"/>
          <w:b/>
          <w:bCs/>
          <w:color w:val="auto"/>
          <w:sz w:val="22"/>
          <w:szCs w:val="22"/>
        </w:rPr>
        <w:t>注：</w:t>
      </w:r>
      <w:r>
        <w:rPr>
          <w:rFonts w:hint="eastAsia" w:ascii="宋体" w:hAnsi="宋体"/>
          <w:b/>
          <w:color w:val="auto"/>
          <w:sz w:val="22"/>
          <w:szCs w:val="22"/>
        </w:rPr>
        <w:t>1. 供应商应根据编制说明的要求提供拟投入本项目使用的主材的品牌等资料，如未填写，合同签订时由采购人任意选定一品牌、规格型号，磋商供应商不得拒绝。</w:t>
      </w:r>
    </w:p>
    <w:p w14:paraId="574F360F">
      <w:pPr>
        <w:spacing w:line="440" w:lineRule="exact"/>
        <w:ind w:left="758" w:hanging="758" w:hangingChars="343"/>
        <w:rPr>
          <w:rFonts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 </w:t>
      </w:r>
      <w:r>
        <w:rPr>
          <w:rFonts w:ascii="宋体" w:hAnsi="宋体"/>
          <w:b/>
          <w:color w:val="auto"/>
          <w:sz w:val="22"/>
          <w:szCs w:val="22"/>
        </w:rPr>
        <w:t>2</w:t>
      </w:r>
      <w:r>
        <w:rPr>
          <w:rFonts w:hint="eastAsia" w:ascii="宋体" w:hAnsi="宋体"/>
          <w:b/>
          <w:color w:val="auto"/>
          <w:sz w:val="22"/>
          <w:szCs w:val="22"/>
        </w:rPr>
        <w:t>．未经采购人允许，该表格所列的品牌、型号不得更改。</w:t>
      </w:r>
    </w:p>
    <w:p w14:paraId="389DDB3E">
      <w:pPr>
        <w:spacing w:line="440" w:lineRule="exact"/>
        <w:ind w:firstLine="4400" w:firstLineChars="2000"/>
        <w:rPr>
          <w:rFonts w:hint="eastAsia" w:ascii="宋体" w:hAnsi="宋体"/>
          <w:color w:val="auto"/>
          <w:sz w:val="22"/>
          <w:szCs w:val="22"/>
        </w:rPr>
      </w:pPr>
    </w:p>
    <w:p w14:paraId="5B26ACA1">
      <w:pPr>
        <w:spacing w:line="440" w:lineRule="exact"/>
        <w:ind w:firstLine="4400" w:firstLineChars="2000"/>
        <w:rPr>
          <w:rFonts w:hint="eastAsia"/>
          <w:color w:val="auto"/>
          <w:sz w:val="22"/>
          <w:szCs w:val="22"/>
        </w:rPr>
      </w:pPr>
      <w:bookmarkStart w:id="100" w:name="_Toc26527444"/>
      <w:bookmarkStart w:id="101" w:name="_Toc390245844"/>
      <w:bookmarkStart w:id="102" w:name="_Toc453935780"/>
      <w:bookmarkStart w:id="103" w:name="_Toc439852847"/>
      <w:bookmarkStart w:id="104" w:name="_Toc230773790"/>
      <w:bookmarkStart w:id="105" w:name="_Toc522717098"/>
      <w:r>
        <w:rPr>
          <w:rFonts w:hint="eastAsia"/>
          <w:color w:val="auto"/>
          <w:sz w:val="22"/>
          <w:szCs w:val="22"/>
        </w:rPr>
        <w:t>磋商供应商全称</w:t>
      </w:r>
      <w:r>
        <w:rPr>
          <w:rFonts w:hint="eastAsia" w:ascii="宋体" w:hAnsi="宋体" w:cs="宋体"/>
          <w:color w:val="auto"/>
          <w:sz w:val="22"/>
          <w:szCs w:val="22"/>
        </w:rPr>
        <w:t>（电子签名/公章）</w:t>
      </w:r>
      <w:r>
        <w:rPr>
          <w:rFonts w:hint="eastAsia"/>
          <w:color w:val="auto"/>
          <w:sz w:val="22"/>
          <w:szCs w:val="22"/>
        </w:rPr>
        <w:t>：</w:t>
      </w:r>
    </w:p>
    <w:p w14:paraId="76E8CFDF">
      <w:pPr>
        <w:spacing w:line="440" w:lineRule="exact"/>
        <w:ind w:firstLine="4400" w:firstLineChars="2000"/>
        <w:rPr>
          <w:rFonts w:hint="eastAsia"/>
          <w:color w:val="auto"/>
          <w:sz w:val="22"/>
          <w:szCs w:val="22"/>
        </w:rPr>
      </w:pPr>
      <w:r>
        <w:rPr>
          <w:rFonts w:hint="eastAsia"/>
          <w:color w:val="auto"/>
          <w:sz w:val="22"/>
          <w:szCs w:val="22"/>
        </w:rPr>
        <w:t xml:space="preserve">日期：     年    月    日  </w:t>
      </w:r>
    </w:p>
    <w:p w14:paraId="5FCEF974">
      <w:pPr>
        <w:pStyle w:val="3"/>
        <w:spacing w:line="440" w:lineRule="exact"/>
        <w:rPr>
          <w:rFonts w:hint="eastAsia" w:ascii="黑体" w:hAnsi="宋体"/>
          <w:color w:val="auto"/>
          <w:sz w:val="24"/>
          <w:szCs w:val="24"/>
        </w:rPr>
      </w:pPr>
      <w:bookmarkStart w:id="106" w:name="_Toc16615"/>
      <w:bookmarkStart w:id="107" w:name="_Toc26144"/>
      <w:r>
        <w:rPr>
          <w:rFonts w:hint="eastAsia" w:ascii="黑体" w:hAnsi="宋体"/>
          <w:color w:val="auto"/>
          <w:sz w:val="24"/>
          <w:szCs w:val="24"/>
        </w:rPr>
        <w:t>附件1</w:t>
      </w:r>
      <w:r>
        <w:rPr>
          <w:rFonts w:hint="eastAsia" w:ascii="黑体" w:hAnsi="宋体"/>
          <w:color w:val="auto"/>
          <w:sz w:val="24"/>
          <w:szCs w:val="24"/>
          <w:lang w:val="en-US" w:eastAsia="zh-CN"/>
        </w:rPr>
        <w:t>3</w:t>
      </w:r>
      <w:r>
        <w:rPr>
          <w:rFonts w:hint="eastAsia" w:ascii="黑体" w:hAnsi="宋体"/>
          <w:color w:val="auto"/>
          <w:sz w:val="24"/>
          <w:szCs w:val="24"/>
        </w:rPr>
        <w:t xml:space="preserve"> 同类项目业绩</w:t>
      </w:r>
      <w:bookmarkEnd w:id="100"/>
      <w:bookmarkEnd w:id="101"/>
      <w:bookmarkEnd w:id="102"/>
      <w:bookmarkEnd w:id="103"/>
      <w:bookmarkEnd w:id="104"/>
      <w:bookmarkEnd w:id="105"/>
      <w:bookmarkEnd w:id="106"/>
      <w:bookmarkEnd w:id="107"/>
    </w:p>
    <w:p w14:paraId="051A2FB0">
      <w:pPr>
        <w:spacing w:line="440" w:lineRule="exact"/>
        <w:jc w:val="center"/>
        <w:rPr>
          <w:rFonts w:hint="eastAsia" w:ascii="宋体" w:hAnsi="宋体"/>
          <w:b/>
          <w:bCs/>
          <w:color w:val="auto"/>
          <w:sz w:val="28"/>
          <w:szCs w:val="28"/>
        </w:rPr>
      </w:pPr>
      <w:r>
        <w:rPr>
          <w:rFonts w:hint="eastAsia" w:ascii="宋体" w:hAnsi="宋体"/>
          <w:b/>
          <w:bCs/>
          <w:color w:val="auto"/>
          <w:sz w:val="28"/>
          <w:szCs w:val="28"/>
        </w:rPr>
        <w:t>同类项目业绩</w:t>
      </w:r>
    </w:p>
    <w:p w14:paraId="2B84E3E3">
      <w:pPr>
        <w:spacing w:line="440" w:lineRule="exact"/>
        <w:rPr>
          <w:rFonts w:hint="eastAsia" w:ascii="宋体" w:hAnsi="宋体"/>
          <w:b/>
          <w:bCs/>
          <w:color w:val="auto"/>
          <w:sz w:val="22"/>
          <w:szCs w:val="22"/>
        </w:rPr>
      </w:pPr>
      <w:r>
        <w:rPr>
          <w:rFonts w:hint="eastAsia" w:ascii="宋体" w:hAnsi="宋体"/>
          <w:b/>
          <w:bCs/>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14:paraId="7BF8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179B9884">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2192" w:type="dxa"/>
            <w:shd w:val="clear" w:color="auto" w:fill="D9D9D9"/>
            <w:vAlign w:val="center"/>
          </w:tcPr>
          <w:p w14:paraId="421ABED2">
            <w:pPr>
              <w:spacing w:line="380" w:lineRule="exact"/>
              <w:jc w:val="center"/>
              <w:rPr>
                <w:rFonts w:hint="eastAsia" w:ascii="宋体" w:hAnsi="宋体"/>
                <w:b/>
                <w:bCs/>
                <w:color w:val="auto"/>
                <w:sz w:val="22"/>
                <w:szCs w:val="22"/>
              </w:rPr>
            </w:pPr>
            <w:r>
              <w:rPr>
                <w:rFonts w:hint="eastAsia" w:ascii="宋体" w:hAnsi="宋体"/>
                <w:b/>
                <w:bCs/>
                <w:color w:val="auto"/>
                <w:sz w:val="22"/>
                <w:szCs w:val="22"/>
              </w:rPr>
              <w:t>项目名称</w:t>
            </w:r>
          </w:p>
        </w:tc>
        <w:tc>
          <w:tcPr>
            <w:tcW w:w="1984" w:type="dxa"/>
            <w:shd w:val="clear" w:color="auto" w:fill="D9D9D9"/>
            <w:vAlign w:val="center"/>
          </w:tcPr>
          <w:p w14:paraId="1B1E2E8B">
            <w:pPr>
              <w:spacing w:line="380" w:lineRule="exact"/>
              <w:jc w:val="center"/>
              <w:rPr>
                <w:rFonts w:hint="eastAsia" w:ascii="宋体" w:hAnsi="宋体"/>
                <w:b/>
                <w:bCs/>
                <w:color w:val="auto"/>
                <w:sz w:val="22"/>
                <w:szCs w:val="22"/>
              </w:rPr>
            </w:pPr>
            <w:r>
              <w:rPr>
                <w:rFonts w:hint="eastAsia" w:ascii="宋体" w:hAnsi="宋体"/>
                <w:b/>
                <w:bCs/>
                <w:color w:val="auto"/>
                <w:sz w:val="22"/>
                <w:szCs w:val="22"/>
              </w:rPr>
              <w:t>用户单位</w:t>
            </w:r>
          </w:p>
        </w:tc>
        <w:tc>
          <w:tcPr>
            <w:tcW w:w="720" w:type="dxa"/>
            <w:shd w:val="clear" w:color="auto" w:fill="D9D9D9"/>
            <w:vAlign w:val="center"/>
          </w:tcPr>
          <w:p w14:paraId="47D499E7">
            <w:pPr>
              <w:spacing w:line="380" w:lineRule="exact"/>
              <w:jc w:val="center"/>
              <w:rPr>
                <w:rFonts w:hint="eastAsia" w:ascii="宋体" w:hAnsi="宋体"/>
                <w:b/>
                <w:bCs/>
                <w:color w:val="auto"/>
                <w:sz w:val="22"/>
                <w:szCs w:val="22"/>
              </w:rPr>
            </w:pPr>
            <w:r>
              <w:rPr>
                <w:rFonts w:hint="eastAsia" w:ascii="宋体" w:hAnsi="宋体"/>
                <w:b/>
                <w:bCs/>
                <w:color w:val="auto"/>
                <w:sz w:val="22"/>
                <w:szCs w:val="22"/>
              </w:rPr>
              <w:t>数量</w:t>
            </w:r>
          </w:p>
        </w:tc>
        <w:tc>
          <w:tcPr>
            <w:tcW w:w="1123" w:type="dxa"/>
            <w:shd w:val="clear" w:color="auto" w:fill="D9D9D9"/>
            <w:vAlign w:val="center"/>
          </w:tcPr>
          <w:p w14:paraId="795C9000">
            <w:pPr>
              <w:spacing w:line="380" w:lineRule="exact"/>
              <w:jc w:val="center"/>
              <w:rPr>
                <w:rFonts w:hint="eastAsia" w:ascii="宋体" w:hAnsi="宋体"/>
                <w:b/>
                <w:bCs/>
                <w:color w:val="auto"/>
                <w:sz w:val="22"/>
                <w:szCs w:val="22"/>
              </w:rPr>
            </w:pPr>
            <w:r>
              <w:rPr>
                <w:rFonts w:hint="eastAsia" w:ascii="宋体" w:hAnsi="宋体"/>
                <w:b/>
                <w:bCs/>
                <w:color w:val="auto"/>
                <w:sz w:val="22"/>
                <w:szCs w:val="22"/>
              </w:rPr>
              <w:t>合同金额</w:t>
            </w:r>
          </w:p>
        </w:tc>
        <w:tc>
          <w:tcPr>
            <w:tcW w:w="1134" w:type="dxa"/>
            <w:shd w:val="clear" w:color="auto" w:fill="D9D9D9"/>
            <w:vAlign w:val="center"/>
          </w:tcPr>
          <w:p w14:paraId="37439898">
            <w:pPr>
              <w:spacing w:line="380" w:lineRule="exact"/>
              <w:jc w:val="center"/>
              <w:rPr>
                <w:rFonts w:hint="eastAsia" w:ascii="宋体" w:hAnsi="宋体"/>
                <w:b/>
                <w:bCs/>
                <w:color w:val="auto"/>
                <w:sz w:val="22"/>
                <w:szCs w:val="22"/>
              </w:rPr>
            </w:pPr>
            <w:r>
              <w:rPr>
                <w:rFonts w:hint="eastAsia" w:ascii="宋体" w:hAnsi="宋体"/>
                <w:b/>
                <w:bCs/>
                <w:color w:val="auto"/>
                <w:sz w:val="22"/>
                <w:szCs w:val="22"/>
              </w:rPr>
              <w:t>合同签订时间</w:t>
            </w:r>
          </w:p>
        </w:tc>
        <w:tc>
          <w:tcPr>
            <w:tcW w:w="1727" w:type="dxa"/>
            <w:shd w:val="clear" w:color="auto" w:fill="D9D9D9"/>
            <w:vAlign w:val="center"/>
          </w:tcPr>
          <w:p w14:paraId="06BCA949">
            <w:pPr>
              <w:spacing w:line="380" w:lineRule="exact"/>
              <w:jc w:val="center"/>
              <w:rPr>
                <w:rFonts w:hint="eastAsia" w:ascii="宋体" w:hAnsi="宋体"/>
                <w:b/>
                <w:bCs/>
                <w:color w:val="auto"/>
                <w:sz w:val="22"/>
                <w:szCs w:val="22"/>
              </w:rPr>
            </w:pPr>
            <w:r>
              <w:rPr>
                <w:rFonts w:hint="eastAsia" w:ascii="宋体" w:hAnsi="宋体"/>
                <w:b/>
                <w:bCs/>
                <w:color w:val="auto"/>
                <w:sz w:val="22"/>
                <w:szCs w:val="22"/>
              </w:rPr>
              <w:t>用户联系人/联系方式</w:t>
            </w:r>
          </w:p>
        </w:tc>
      </w:tr>
      <w:tr w14:paraId="14E0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0560C8A">
            <w:pPr>
              <w:spacing w:line="380" w:lineRule="exact"/>
              <w:jc w:val="center"/>
              <w:rPr>
                <w:rFonts w:hint="eastAsia" w:ascii="宋体" w:hAnsi="宋体"/>
                <w:b/>
                <w:bCs/>
                <w:color w:val="auto"/>
                <w:sz w:val="22"/>
                <w:szCs w:val="22"/>
              </w:rPr>
            </w:pPr>
          </w:p>
        </w:tc>
        <w:tc>
          <w:tcPr>
            <w:tcW w:w="2192" w:type="dxa"/>
            <w:vAlign w:val="center"/>
          </w:tcPr>
          <w:p w14:paraId="557D0CFA">
            <w:pPr>
              <w:spacing w:line="380" w:lineRule="exact"/>
              <w:jc w:val="center"/>
              <w:rPr>
                <w:rFonts w:hint="eastAsia" w:ascii="宋体" w:hAnsi="宋体"/>
                <w:b/>
                <w:bCs/>
                <w:color w:val="auto"/>
                <w:sz w:val="22"/>
                <w:szCs w:val="22"/>
              </w:rPr>
            </w:pPr>
          </w:p>
        </w:tc>
        <w:tc>
          <w:tcPr>
            <w:tcW w:w="1984" w:type="dxa"/>
            <w:vAlign w:val="center"/>
          </w:tcPr>
          <w:p w14:paraId="71D43465">
            <w:pPr>
              <w:spacing w:line="380" w:lineRule="exact"/>
              <w:jc w:val="center"/>
              <w:rPr>
                <w:rFonts w:hint="eastAsia" w:ascii="宋体" w:hAnsi="宋体"/>
                <w:b/>
                <w:bCs/>
                <w:color w:val="auto"/>
                <w:sz w:val="22"/>
                <w:szCs w:val="22"/>
              </w:rPr>
            </w:pPr>
          </w:p>
        </w:tc>
        <w:tc>
          <w:tcPr>
            <w:tcW w:w="720" w:type="dxa"/>
            <w:vAlign w:val="center"/>
          </w:tcPr>
          <w:p w14:paraId="1535A30C">
            <w:pPr>
              <w:spacing w:line="380" w:lineRule="exact"/>
              <w:jc w:val="center"/>
              <w:rPr>
                <w:rFonts w:hint="eastAsia" w:ascii="宋体" w:hAnsi="宋体"/>
                <w:b/>
                <w:bCs/>
                <w:color w:val="auto"/>
                <w:sz w:val="22"/>
                <w:szCs w:val="22"/>
              </w:rPr>
            </w:pPr>
          </w:p>
        </w:tc>
        <w:tc>
          <w:tcPr>
            <w:tcW w:w="1123" w:type="dxa"/>
            <w:vAlign w:val="center"/>
          </w:tcPr>
          <w:p w14:paraId="63CFCB3D">
            <w:pPr>
              <w:spacing w:line="380" w:lineRule="exact"/>
              <w:jc w:val="center"/>
              <w:rPr>
                <w:rFonts w:hint="eastAsia" w:ascii="宋体" w:hAnsi="宋体"/>
                <w:b/>
                <w:bCs/>
                <w:color w:val="auto"/>
                <w:sz w:val="22"/>
                <w:szCs w:val="22"/>
              </w:rPr>
            </w:pPr>
          </w:p>
        </w:tc>
        <w:tc>
          <w:tcPr>
            <w:tcW w:w="1134" w:type="dxa"/>
            <w:vAlign w:val="center"/>
          </w:tcPr>
          <w:p w14:paraId="639CD182">
            <w:pPr>
              <w:spacing w:line="380" w:lineRule="exact"/>
              <w:jc w:val="center"/>
              <w:rPr>
                <w:rFonts w:hint="eastAsia" w:ascii="宋体" w:hAnsi="宋体"/>
                <w:b/>
                <w:bCs/>
                <w:color w:val="auto"/>
                <w:sz w:val="22"/>
                <w:szCs w:val="22"/>
              </w:rPr>
            </w:pPr>
          </w:p>
        </w:tc>
        <w:tc>
          <w:tcPr>
            <w:tcW w:w="1727" w:type="dxa"/>
            <w:vAlign w:val="center"/>
          </w:tcPr>
          <w:p w14:paraId="537D482A">
            <w:pPr>
              <w:spacing w:line="380" w:lineRule="exact"/>
              <w:jc w:val="center"/>
              <w:rPr>
                <w:rFonts w:hint="eastAsia" w:ascii="宋体" w:hAnsi="宋体"/>
                <w:b/>
                <w:bCs/>
                <w:color w:val="auto"/>
                <w:sz w:val="22"/>
                <w:szCs w:val="22"/>
              </w:rPr>
            </w:pPr>
          </w:p>
        </w:tc>
      </w:tr>
      <w:tr w14:paraId="4D8F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0C86481">
            <w:pPr>
              <w:spacing w:line="380" w:lineRule="exact"/>
              <w:jc w:val="center"/>
              <w:rPr>
                <w:rFonts w:hint="eastAsia" w:ascii="宋体" w:hAnsi="宋体"/>
                <w:b/>
                <w:bCs/>
                <w:color w:val="auto"/>
                <w:sz w:val="22"/>
                <w:szCs w:val="22"/>
              </w:rPr>
            </w:pPr>
          </w:p>
        </w:tc>
        <w:tc>
          <w:tcPr>
            <w:tcW w:w="2192" w:type="dxa"/>
            <w:vAlign w:val="center"/>
          </w:tcPr>
          <w:p w14:paraId="4FFC10A1">
            <w:pPr>
              <w:spacing w:line="380" w:lineRule="exact"/>
              <w:jc w:val="center"/>
              <w:rPr>
                <w:rFonts w:hint="eastAsia" w:ascii="宋体" w:hAnsi="宋体"/>
                <w:b/>
                <w:bCs/>
                <w:color w:val="auto"/>
                <w:sz w:val="22"/>
                <w:szCs w:val="22"/>
              </w:rPr>
            </w:pPr>
          </w:p>
        </w:tc>
        <w:tc>
          <w:tcPr>
            <w:tcW w:w="1984" w:type="dxa"/>
            <w:vAlign w:val="center"/>
          </w:tcPr>
          <w:p w14:paraId="0AFF96A7">
            <w:pPr>
              <w:spacing w:line="380" w:lineRule="exact"/>
              <w:jc w:val="center"/>
              <w:rPr>
                <w:rFonts w:hint="eastAsia" w:ascii="宋体" w:hAnsi="宋体"/>
                <w:b/>
                <w:bCs/>
                <w:color w:val="auto"/>
                <w:sz w:val="22"/>
                <w:szCs w:val="22"/>
              </w:rPr>
            </w:pPr>
          </w:p>
        </w:tc>
        <w:tc>
          <w:tcPr>
            <w:tcW w:w="720" w:type="dxa"/>
            <w:vAlign w:val="center"/>
          </w:tcPr>
          <w:p w14:paraId="0BA4D54F">
            <w:pPr>
              <w:spacing w:line="380" w:lineRule="exact"/>
              <w:jc w:val="center"/>
              <w:rPr>
                <w:rFonts w:hint="eastAsia" w:ascii="宋体" w:hAnsi="宋体"/>
                <w:b/>
                <w:bCs/>
                <w:color w:val="auto"/>
                <w:sz w:val="22"/>
                <w:szCs w:val="22"/>
              </w:rPr>
            </w:pPr>
          </w:p>
        </w:tc>
        <w:tc>
          <w:tcPr>
            <w:tcW w:w="1123" w:type="dxa"/>
            <w:vAlign w:val="center"/>
          </w:tcPr>
          <w:p w14:paraId="793BE52D">
            <w:pPr>
              <w:spacing w:line="380" w:lineRule="exact"/>
              <w:jc w:val="center"/>
              <w:rPr>
                <w:rFonts w:hint="eastAsia" w:ascii="宋体" w:hAnsi="宋体"/>
                <w:b/>
                <w:bCs/>
                <w:color w:val="auto"/>
                <w:sz w:val="22"/>
                <w:szCs w:val="22"/>
              </w:rPr>
            </w:pPr>
          </w:p>
        </w:tc>
        <w:tc>
          <w:tcPr>
            <w:tcW w:w="1134" w:type="dxa"/>
            <w:vAlign w:val="center"/>
          </w:tcPr>
          <w:p w14:paraId="6E8CC6A8">
            <w:pPr>
              <w:spacing w:line="380" w:lineRule="exact"/>
              <w:jc w:val="center"/>
              <w:rPr>
                <w:rFonts w:hint="eastAsia" w:ascii="宋体" w:hAnsi="宋体"/>
                <w:b/>
                <w:bCs/>
                <w:color w:val="auto"/>
                <w:sz w:val="22"/>
                <w:szCs w:val="22"/>
              </w:rPr>
            </w:pPr>
          </w:p>
        </w:tc>
        <w:tc>
          <w:tcPr>
            <w:tcW w:w="1727" w:type="dxa"/>
            <w:vAlign w:val="center"/>
          </w:tcPr>
          <w:p w14:paraId="3AEC62CF">
            <w:pPr>
              <w:spacing w:line="380" w:lineRule="exact"/>
              <w:jc w:val="center"/>
              <w:rPr>
                <w:rFonts w:hint="eastAsia" w:ascii="宋体" w:hAnsi="宋体"/>
                <w:b/>
                <w:bCs/>
                <w:color w:val="auto"/>
                <w:sz w:val="22"/>
                <w:szCs w:val="22"/>
              </w:rPr>
            </w:pPr>
          </w:p>
        </w:tc>
      </w:tr>
      <w:tr w14:paraId="2884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FE0593C">
            <w:pPr>
              <w:spacing w:line="380" w:lineRule="exact"/>
              <w:jc w:val="center"/>
              <w:rPr>
                <w:rFonts w:hint="eastAsia" w:ascii="宋体" w:hAnsi="宋体"/>
                <w:b/>
                <w:bCs/>
                <w:color w:val="auto"/>
                <w:sz w:val="22"/>
                <w:szCs w:val="22"/>
              </w:rPr>
            </w:pPr>
          </w:p>
        </w:tc>
        <w:tc>
          <w:tcPr>
            <w:tcW w:w="2192" w:type="dxa"/>
            <w:vAlign w:val="center"/>
          </w:tcPr>
          <w:p w14:paraId="4C518D20">
            <w:pPr>
              <w:spacing w:line="380" w:lineRule="exact"/>
              <w:jc w:val="center"/>
              <w:rPr>
                <w:rFonts w:hint="eastAsia" w:ascii="宋体" w:hAnsi="宋体"/>
                <w:b/>
                <w:bCs/>
                <w:color w:val="auto"/>
                <w:sz w:val="22"/>
                <w:szCs w:val="22"/>
              </w:rPr>
            </w:pPr>
          </w:p>
        </w:tc>
        <w:tc>
          <w:tcPr>
            <w:tcW w:w="1984" w:type="dxa"/>
            <w:vAlign w:val="center"/>
          </w:tcPr>
          <w:p w14:paraId="26F55BB9">
            <w:pPr>
              <w:spacing w:line="380" w:lineRule="exact"/>
              <w:jc w:val="center"/>
              <w:rPr>
                <w:rFonts w:hint="eastAsia" w:ascii="宋体" w:hAnsi="宋体"/>
                <w:b/>
                <w:bCs/>
                <w:color w:val="auto"/>
                <w:sz w:val="22"/>
                <w:szCs w:val="22"/>
              </w:rPr>
            </w:pPr>
          </w:p>
        </w:tc>
        <w:tc>
          <w:tcPr>
            <w:tcW w:w="720" w:type="dxa"/>
            <w:vAlign w:val="center"/>
          </w:tcPr>
          <w:p w14:paraId="78920132">
            <w:pPr>
              <w:spacing w:line="380" w:lineRule="exact"/>
              <w:jc w:val="center"/>
              <w:rPr>
                <w:rFonts w:hint="eastAsia" w:ascii="宋体" w:hAnsi="宋体"/>
                <w:b/>
                <w:bCs/>
                <w:color w:val="auto"/>
                <w:sz w:val="22"/>
                <w:szCs w:val="22"/>
              </w:rPr>
            </w:pPr>
          </w:p>
        </w:tc>
        <w:tc>
          <w:tcPr>
            <w:tcW w:w="1123" w:type="dxa"/>
            <w:vAlign w:val="center"/>
          </w:tcPr>
          <w:p w14:paraId="4DF0B8DA">
            <w:pPr>
              <w:spacing w:line="380" w:lineRule="exact"/>
              <w:jc w:val="center"/>
              <w:rPr>
                <w:rFonts w:hint="eastAsia" w:ascii="宋体" w:hAnsi="宋体"/>
                <w:b/>
                <w:bCs/>
                <w:color w:val="auto"/>
                <w:sz w:val="22"/>
                <w:szCs w:val="22"/>
              </w:rPr>
            </w:pPr>
          </w:p>
        </w:tc>
        <w:tc>
          <w:tcPr>
            <w:tcW w:w="1134" w:type="dxa"/>
            <w:vAlign w:val="center"/>
          </w:tcPr>
          <w:p w14:paraId="5A609306">
            <w:pPr>
              <w:spacing w:line="380" w:lineRule="exact"/>
              <w:jc w:val="center"/>
              <w:rPr>
                <w:rFonts w:hint="eastAsia" w:ascii="宋体" w:hAnsi="宋体"/>
                <w:b/>
                <w:bCs/>
                <w:color w:val="auto"/>
                <w:sz w:val="22"/>
                <w:szCs w:val="22"/>
              </w:rPr>
            </w:pPr>
          </w:p>
        </w:tc>
        <w:tc>
          <w:tcPr>
            <w:tcW w:w="1727" w:type="dxa"/>
            <w:vAlign w:val="center"/>
          </w:tcPr>
          <w:p w14:paraId="3FA0B8B0">
            <w:pPr>
              <w:spacing w:line="380" w:lineRule="exact"/>
              <w:jc w:val="center"/>
              <w:rPr>
                <w:rFonts w:hint="eastAsia" w:ascii="宋体" w:hAnsi="宋体"/>
                <w:b/>
                <w:bCs/>
                <w:color w:val="auto"/>
                <w:sz w:val="22"/>
                <w:szCs w:val="22"/>
              </w:rPr>
            </w:pPr>
          </w:p>
        </w:tc>
      </w:tr>
      <w:tr w14:paraId="3161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6DD29E4">
            <w:pPr>
              <w:spacing w:line="380" w:lineRule="exact"/>
              <w:jc w:val="center"/>
              <w:rPr>
                <w:rFonts w:hint="eastAsia" w:ascii="宋体" w:hAnsi="宋体"/>
                <w:b/>
                <w:bCs/>
                <w:color w:val="auto"/>
                <w:sz w:val="22"/>
                <w:szCs w:val="22"/>
              </w:rPr>
            </w:pPr>
          </w:p>
        </w:tc>
        <w:tc>
          <w:tcPr>
            <w:tcW w:w="2192" w:type="dxa"/>
            <w:vAlign w:val="center"/>
          </w:tcPr>
          <w:p w14:paraId="20D86847">
            <w:pPr>
              <w:spacing w:line="380" w:lineRule="exact"/>
              <w:jc w:val="center"/>
              <w:rPr>
                <w:rFonts w:hint="eastAsia" w:ascii="宋体" w:hAnsi="宋体"/>
                <w:b/>
                <w:bCs/>
                <w:color w:val="auto"/>
                <w:sz w:val="22"/>
                <w:szCs w:val="22"/>
              </w:rPr>
            </w:pPr>
          </w:p>
        </w:tc>
        <w:tc>
          <w:tcPr>
            <w:tcW w:w="1984" w:type="dxa"/>
            <w:vAlign w:val="center"/>
          </w:tcPr>
          <w:p w14:paraId="6A2843D3">
            <w:pPr>
              <w:spacing w:line="380" w:lineRule="exact"/>
              <w:jc w:val="center"/>
              <w:rPr>
                <w:rFonts w:hint="eastAsia" w:ascii="宋体" w:hAnsi="宋体"/>
                <w:b/>
                <w:bCs/>
                <w:color w:val="auto"/>
                <w:sz w:val="22"/>
                <w:szCs w:val="22"/>
              </w:rPr>
            </w:pPr>
          </w:p>
        </w:tc>
        <w:tc>
          <w:tcPr>
            <w:tcW w:w="720" w:type="dxa"/>
            <w:vAlign w:val="center"/>
          </w:tcPr>
          <w:p w14:paraId="7E278783">
            <w:pPr>
              <w:spacing w:line="380" w:lineRule="exact"/>
              <w:jc w:val="center"/>
              <w:rPr>
                <w:rFonts w:hint="eastAsia" w:ascii="宋体" w:hAnsi="宋体"/>
                <w:b/>
                <w:bCs/>
                <w:color w:val="auto"/>
                <w:sz w:val="22"/>
                <w:szCs w:val="22"/>
              </w:rPr>
            </w:pPr>
          </w:p>
        </w:tc>
        <w:tc>
          <w:tcPr>
            <w:tcW w:w="1123" w:type="dxa"/>
            <w:vAlign w:val="center"/>
          </w:tcPr>
          <w:p w14:paraId="1D68C9E5">
            <w:pPr>
              <w:spacing w:line="380" w:lineRule="exact"/>
              <w:jc w:val="center"/>
              <w:rPr>
                <w:rFonts w:hint="eastAsia" w:ascii="宋体" w:hAnsi="宋体"/>
                <w:b/>
                <w:bCs/>
                <w:color w:val="auto"/>
                <w:sz w:val="22"/>
                <w:szCs w:val="22"/>
              </w:rPr>
            </w:pPr>
          </w:p>
        </w:tc>
        <w:tc>
          <w:tcPr>
            <w:tcW w:w="1134" w:type="dxa"/>
            <w:vAlign w:val="center"/>
          </w:tcPr>
          <w:p w14:paraId="15BE4F9F">
            <w:pPr>
              <w:spacing w:line="380" w:lineRule="exact"/>
              <w:jc w:val="center"/>
              <w:rPr>
                <w:rFonts w:hint="eastAsia" w:ascii="宋体" w:hAnsi="宋体"/>
                <w:b/>
                <w:bCs/>
                <w:color w:val="auto"/>
                <w:sz w:val="22"/>
                <w:szCs w:val="22"/>
              </w:rPr>
            </w:pPr>
          </w:p>
        </w:tc>
        <w:tc>
          <w:tcPr>
            <w:tcW w:w="1727" w:type="dxa"/>
            <w:vAlign w:val="center"/>
          </w:tcPr>
          <w:p w14:paraId="45252E87">
            <w:pPr>
              <w:spacing w:line="380" w:lineRule="exact"/>
              <w:jc w:val="center"/>
              <w:rPr>
                <w:rFonts w:hint="eastAsia" w:ascii="宋体" w:hAnsi="宋体"/>
                <w:b/>
                <w:bCs/>
                <w:color w:val="auto"/>
                <w:sz w:val="22"/>
                <w:szCs w:val="22"/>
              </w:rPr>
            </w:pPr>
          </w:p>
        </w:tc>
      </w:tr>
      <w:tr w14:paraId="2ACA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6354D6A">
            <w:pPr>
              <w:spacing w:line="380" w:lineRule="exact"/>
              <w:jc w:val="center"/>
              <w:rPr>
                <w:rFonts w:hint="eastAsia" w:ascii="宋体" w:hAnsi="宋体"/>
                <w:b/>
                <w:bCs/>
                <w:color w:val="auto"/>
                <w:sz w:val="22"/>
                <w:szCs w:val="22"/>
              </w:rPr>
            </w:pPr>
          </w:p>
        </w:tc>
        <w:tc>
          <w:tcPr>
            <w:tcW w:w="2192" w:type="dxa"/>
            <w:vAlign w:val="center"/>
          </w:tcPr>
          <w:p w14:paraId="1A8A663E">
            <w:pPr>
              <w:spacing w:line="380" w:lineRule="exact"/>
              <w:jc w:val="center"/>
              <w:rPr>
                <w:rFonts w:hint="eastAsia" w:ascii="宋体" w:hAnsi="宋体"/>
                <w:b/>
                <w:bCs/>
                <w:color w:val="auto"/>
                <w:sz w:val="22"/>
                <w:szCs w:val="22"/>
              </w:rPr>
            </w:pPr>
          </w:p>
        </w:tc>
        <w:tc>
          <w:tcPr>
            <w:tcW w:w="1984" w:type="dxa"/>
            <w:vAlign w:val="center"/>
          </w:tcPr>
          <w:p w14:paraId="2DF3F590">
            <w:pPr>
              <w:spacing w:line="380" w:lineRule="exact"/>
              <w:jc w:val="center"/>
              <w:rPr>
                <w:rFonts w:hint="eastAsia" w:ascii="宋体" w:hAnsi="宋体"/>
                <w:b/>
                <w:bCs/>
                <w:color w:val="auto"/>
                <w:sz w:val="22"/>
                <w:szCs w:val="22"/>
              </w:rPr>
            </w:pPr>
          </w:p>
        </w:tc>
        <w:tc>
          <w:tcPr>
            <w:tcW w:w="720" w:type="dxa"/>
            <w:vAlign w:val="center"/>
          </w:tcPr>
          <w:p w14:paraId="3FDBE241">
            <w:pPr>
              <w:spacing w:line="380" w:lineRule="exact"/>
              <w:jc w:val="center"/>
              <w:rPr>
                <w:rFonts w:hint="eastAsia" w:ascii="宋体" w:hAnsi="宋体"/>
                <w:b/>
                <w:bCs/>
                <w:color w:val="auto"/>
                <w:sz w:val="22"/>
                <w:szCs w:val="22"/>
              </w:rPr>
            </w:pPr>
          </w:p>
        </w:tc>
        <w:tc>
          <w:tcPr>
            <w:tcW w:w="1123" w:type="dxa"/>
            <w:vAlign w:val="center"/>
          </w:tcPr>
          <w:p w14:paraId="69FE98AB">
            <w:pPr>
              <w:spacing w:line="380" w:lineRule="exact"/>
              <w:jc w:val="center"/>
              <w:rPr>
                <w:rFonts w:hint="eastAsia" w:ascii="宋体" w:hAnsi="宋体"/>
                <w:b/>
                <w:bCs/>
                <w:color w:val="auto"/>
                <w:sz w:val="22"/>
                <w:szCs w:val="22"/>
              </w:rPr>
            </w:pPr>
          </w:p>
        </w:tc>
        <w:tc>
          <w:tcPr>
            <w:tcW w:w="1134" w:type="dxa"/>
            <w:vAlign w:val="center"/>
          </w:tcPr>
          <w:p w14:paraId="164C1197">
            <w:pPr>
              <w:spacing w:line="380" w:lineRule="exact"/>
              <w:jc w:val="center"/>
              <w:rPr>
                <w:rFonts w:hint="eastAsia" w:ascii="宋体" w:hAnsi="宋体"/>
                <w:b/>
                <w:bCs/>
                <w:color w:val="auto"/>
                <w:sz w:val="22"/>
                <w:szCs w:val="22"/>
              </w:rPr>
            </w:pPr>
          </w:p>
        </w:tc>
        <w:tc>
          <w:tcPr>
            <w:tcW w:w="1727" w:type="dxa"/>
            <w:vAlign w:val="center"/>
          </w:tcPr>
          <w:p w14:paraId="4849F7B8">
            <w:pPr>
              <w:spacing w:line="380" w:lineRule="exact"/>
              <w:jc w:val="center"/>
              <w:rPr>
                <w:rFonts w:hint="eastAsia" w:ascii="宋体" w:hAnsi="宋体"/>
                <w:b/>
                <w:bCs/>
                <w:color w:val="auto"/>
                <w:sz w:val="22"/>
                <w:szCs w:val="22"/>
              </w:rPr>
            </w:pPr>
          </w:p>
        </w:tc>
      </w:tr>
      <w:tr w14:paraId="1336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E305401">
            <w:pPr>
              <w:spacing w:line="380" w:lineRule="exact"/>
              <w:jc w:val="center"/>
              <w:rPr>
                <w:rFonts w:hint="eastAsia" w:ascii="宋体" w:hAnsi="宋体"/>
                <w:b/>
                <w:bCs/>
                <w:color w:val="auto"/>
                <w:sz w:val="22"/>
                <w:szCs w:val="22"/>
              </w:rPr>
            </w:pPr>
          </w:p>
        </w:tc>
        <w:tc>
          <w:tcPr>
            <w:tcW w:w="2192" w:type="dxa"/>
            <w:vAlign w:val="center"/>
          </w:tcPr>
          <w:p w14:paraId="734E5A62">
            <w:pPr>
              <w:spacing w:line="380" w:lineRule="exact"/>
              <w:jc w:val="center"/>
              <w:rPr>
                <w:rFonts w:hint="eastAsia" w:ascii="宋体" w:hAnsi="宋体"/>
                <w:b/>
                <w:bCs/>
                <w:color w:val="auto"/>
                <w:sz w:val="22"/>
                <w:szCs w:val="22"/>
              </w:rPr>
            </w:pPr>
          </w:p>
        </w:tc>
        <w:tc>
          <w:tcPr>
            <w:tcW w:w="1984" w:type="dxa"/>
            <w:vAlign w:val="center"/>
          </w:tcPr>
          <w:p w14:paraId="19A6E13E">
            <w:pPr>
              <w:spacing w:line="380" w:lineRule="exact"/>
              <w:jc w:val="center"/>
              <w:rPr>
                <w:rFonts w:hint="eastAsia" w:ascii="宋体" w:hAnsi="宋体"/>
                <w:b/>
                <w:bCs/>
                <w:color w:val="auto"/>
                <w:sz w:val="22"/>
                <w:szCs w:val="22"/>
              </w:rPr>
            </w:pPr>
          </w:p>
        </w:tc>
        <w:tc>
          <w:tcPr>
            <w:tcW w:w="720" w:type="dxa"/>
            <w:vAlign w:val="center"/>
          </w:tcPr>
          <w:p w14:paraId="466873D9">
            <w:pPr>
              <w:spacing w:line="380" w:lineRule="exact"/>
              <w:jc w:val="center"/>
              <w:rPr>
                <w:rFonts w:hint="eastAsia" w:ascii="宋体" w:hAnsi="宋体"/>
                <w:b/>
                <w:bCs/>
                <w:color w:val="auto"/>
                <w:sz w:val="22"/>
                <w:szCs w:val="22"/>
              </w:rPr>
            </w:pPr>
          </w:p>
        </w:tc>
        <w:tc>
          <w:tcPr>
            <w:tcW w:w="1123" w:type="dxa"/>
            <w:vAlign w:val="center"/>
          </w:tcPr>
          <w:p w14:paraId="69F46274">
            <w:pPr>
              <w:spacing w:line="380" w:lineRule="exact"/>
              <w:jc w:val="center"/>
              <w:rPr>
                <w:rFonts w:hint="eastAsia" w:ascii="宋体" w:hAnsi="宋体"/>
                <w:b/>
                <w:bCs/>
                <w:color w:val="auto"/>
                <w:sz w:val="22"/>
                <w:szCs w:val="22"/>
              </w:rPr>
            </w:pPr>
          </w:p>
        </w:tc>
        <w:tc>
          <w:tcPr>
            <w:tcW w:w="1134" w:type="dxa"/>
            <w:vAlign w:val="center"/>
          </w:tcPr>
          <w:p w14:paraId="587C800B">
            <w:pPr>
              <w:spacing w:line="380" w:lineRule="exact"/>
              <w:jc w:val="center"/>
              <w:rPr>
                <w:rFonts w:hint="eastAsia" w:ascii="宋体" w:hAnsi="宋体"/>
                <w:b/>
                <w:bCs/>
                <w:color w:val="auto"/>
                <w:sz w:val="22"/>
                <w:szCs w:val="22"/>
              </w:rPr>
            </w:pPr>
          </w:p>
        </w:tc>
        <w:tc>
          <w:tcPr>
            <w:tcW w:w="1727" w:type="dxa"/>
            <w:vAlign w:val="center"/>
          </w:tcPr>
          <w:p w14:paraId="5616A1BF">
            <w:pPr>
              <w:spacing w:line="380" w:lineRule="exact"/>
              <w:jc w:val="center"/>
              <w:rPr>
                <w:rFonts w:hint="eastAsia" w:ascii="宋体" w:hAnsi="宋体"/>
                <w:b/>
                <w:bCs/>
                <w:color w:val="auto"/>
                <w:sz w:val="22"/>
                <w:szCs w:val="22"/>
              </w:rPr>
            </w:pPr>
          </w:p>
        </w:tc>
      </w:tr>
      <w:tr w14:paraId="494C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FD6798F">
            <w:pPr>
              <w:spacing w:line="380" w:lineRule="exact"/>
              <w:jc w:val="center"/>
              <w:rPr>
                <w:rFonts w:hint="eastAsia" w:ascii="宋体" w:hAnsi="宋体"/>
                <w:b/>
                <w:bCs/>
                <w:color w:val="auto"/>
                <w:sz w:val="22"/>
                <w:szCs w:val="22"/>
              </w:rPr>
            </w:pPr>
          </w:p>
        </w:tc>
        <w:tc>
          <w:tcPr>
            <w:tcW w:w="2192" w:type="dxa"/>
            <w:vAlign w:val="center"/>
          </w:tcPr>
          <w:p w14:paraId="346C2236">
            <w:pPr>
              <w:spacing w:line="380" w:lineRule="exact"/>
              <w:jc w:val="center"/>
              <w:rPr>
                <w:rFonts w:hint="eastAsia" w:ascii="宋体" w:hAnsi="宋体"/>
                <w:b/>
                <w:bCs/>
                <w:color w:val="auto"/>
                <w:sz w:val="22"/>
                <w:szCs w:val="22"/>
              </w:rPr>
            </w:pPr>
          </w:p>
        </w:tc>
        <w:tc>
          <w:tcPr>
            <w:tcW w:w="1984" w:type="dxa"/>
            <w:vAlign w:val="center"/>
          </w:tcPr>
          <w:p w14:paraId="77DB5E20">
            <w:pPr>
              <w:spacing w:line="380" w:lineRule="exact"/>
              <w:jc w:val="center"/>
              <w:rPr>
                <w:rFonts w:hint="eastAsia" w:ascii="宋体" w:hAnsi="宋体"/>
                <w:b/>
                <w:bCs/>
                <w:color w:val="auto"/>
                <w:sz w:val="22"/>
                <w:szCs w:val="22"/>
              </w:rPr>
            </w:pPr>
          </w:p>
        </w:tc>
        <w:tc>
          <w:tcPr>
            <w:tcW w:w="720" w:type="dxa"/>
            <w:vAlign w:val="center"/>
          </w:tcPr>
          <w:p w14:paraId="12E521F1">
            <w:pPr>
              <w:spacing w:line="380" w:lineRule="exact"/>
              <w:jc w:val="center"/>
              <w:rPr>
                <w:rFonts w:hint="eastAsia" w:ascii="宋体" w:hAnsi="宋体"/>
                <w:b/>
                <w:bCs/>
                <w:color w:val="auto"/>
                <w:sz w:val="22"/>
                <w:szCs w:val="22"/>
              </w:rPr>
            </w:pPr>
          </w:p>
        </w:tc>
        <w:tc>
          <w:tcPr>
            <w:tcW w:w="1123" w:type="dxa"/>
            <w:vAlign w:val="center"/>
          </w:tcPr>
          <w:p w14:paraId="0250487D">
            <w:pPr>
              <w:spacing w:line="380" w:lineRule="exact"/>
              <w:jc w:val="center"/>
              <w:rPr>
                <w:rFonts w:hint="eastAsia" w:ascii="宋体" w:hAnsi="宋体"/>
                <w:b/>
                <w:bCs/>
                <w:color w:val="auto"/>
                <w:sz w:val="22"/>
                <w:szCs w:val="22"/>
              </w:rPr>
            </w:pPr>
          </w:p>
        </w:tc>
        <w:tc>
          <w:tcPr>
            <w:tcW w:w="1134" w:type="dxa"/>
            <w:vAlign w:val="center"/>
          </w:tcPr>
          <w:p w14:paraId="07852EED">
            <w:pPr>
              <w:spacing w:line="380" w:lineRule="exact"/>
              <w:jc w:val="center"/>
              <w:rPr>
                <w:rFonts w:hint="eastAsia" w:ascii="宋体" w:hAnsi="宋体"/>
                <w:b/>
                <w:bCs/>
                <w:color w:val="auto"/>
                <w:sz w:val="22"/>
                <w:szCs w:val="22"/>
              </w:rPr>
            </w:pPr>
          </w:p>
        </w:tc>
        <w:tc>
          <w:tcPr>
            <w:tcW w:w="1727" w:type="dxa"/>
            <w:vAlign w:val="center"/>
          </w:tcPr>
          <w:p w14:paraId="7E356A99">
            <w:pPr>
              <w:spacing w:line="380" w:lineRule="exact"/>
              <w:jc w:val="center"/>
              <w:rPr>
                <w:rFonts w:hint="eastAsia" w:ascii="宋体" w:hAnsi="宋体"/>
                <w:b/>
                <w:bCs/>
                <w:color w:val="auto"/>
                <w:sz w:val="22"/>
                <w:szCs w:val="22"/>
              </w:rPr>
            </w:pPr>
          </w:p>
        </w:tc>
      </w:tr>
      <w:tr w14:paraId="5443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B64BA9B">
            <w:pPr>
              <w:spacing w:line="380" w:lineRule="exact"/>
              <w:jc w:val="center"/>
              <w:rPr>
                <w:rFonts w:hint="eastAsia" w:ascii="宋体" w:hAnsi="宋体"/>
                <w:b/>
                <w:bCs/>
                <w:color w:val="auto"/>
                <w:sz w:val="22"/>
                <w:szCs w:val="22"/>
              </w:rPr>
            </w:pPr>
          </w:p>
        </w:tc>
        <w:tc>
          <w:tcPr>
            <w:tcW w:w="2192" w:type="dxa"/>
            <w:vAlign w:val="center"/>
          </w:tcPr>
          <w:p w14:paraId="05B7BA67">
            <w:pPr>
              <w:spacing w:line="380" w:lineRule="exact"/>
              <w:jc w:val="center"/>
              <w:rPr>
                <w:rFonts w:hint="eastAsia" w:ascii="宋体" w:hAnsi="宋体"/>
                <w:b/>
                <w:bCs/>
                <w:color w:val="auto"/>
                <w:sz w:val="22"/>
                <w:szCs w:val="22"/>
              </w:rPr>
            </w:pPr>
          </w:p>
        </w:tc>
        <w:tc>
          <w:tcPr>
            <w:tcW w:w="1984" w:type="dxa"/>
            <w:vAlign w:val="center"/>
          </w:tcPr>
          <w:p w14:paraId="1CA9AEE1">
            <w:pPr>
              <w:spacing w:line="380" w:lineRule="exact"/>
              <w:jc w:val="center"/>
              <w:rPr>
                <w:rFonts w:hint="eastAsia" w:ascii="宋体" w:hAnsi="宋体"/>
                <w:b/>
                <w:bCs/>
                <w:color w:val="auto"/>
                <w:sz w:val="22"/>
                <w:szCs w:val="22"/>
              </w:rPr>
            </w:pPr>
          </w:p>
        </w:tc>
        <w:tc>
          <w:tcPr>
            <w:tcW w:w="720" w:type="dxa"/>
            <w:vAlign w:val="center"/>
          </w:tcPr>
          <w:p w14:paraId="2A2A31D7">
            <w:pPr>
              <w:spacing w:line="380" w:lineRule="exact"/>
              <w:jc w:val="center"/>
              <w:rPr>
                <w:rFonts w:hint="eastAsia" w:ascii="宋体" w:hAnsi="宋体"/>
                <w:b/>
                <w:bCs/>
                <w:color w:val="auto"/>
                <w:sz w:val="22"/>
                <w:szCs w:val="22"/>
              </w:rPr>
            </w:pPr>
          </w:p>
        </w:tc>
        <w:tc>
          <w:tcPr>
            <w:tcW w:w="1123" w:type="dxa"/>
            <w:vAlign w:val="center"/>
          </w:tcPr>
          <w:p w14:paraId="213E87D8">
            <w:pPr>
              <w:spacing w:line="380" w:lineRule="exact"/>
              <w:jc w:val="center"/>
              <w:rPr>
                <w:rFonts w:hint="eastAsia" w:ascii="宋体" w:hAnsi="宋体"/>
                <w:b/>
                <w:bCs/>
                <w:color w:val="auto"/>
                <w:sz w:val="22"/>
                <w:szCs w:val="22"/>
              </w:rPr>
            </w:pPr>
          </w:p>
        </w:tc>
        <w:tc>
          <w:tcPr>
            <w:tcW w:w="1134" w:type="dxa"/>
            <w:vAlign w:val="center"/>
          </w:tcPr>
          <w:p w14:paraId="171BD2B2">
            <w:pPr>
              <w:spacing w:line="380" w:lineRule="exact"/>
              <w:jc w:val="center"/>
              <w:rPr>
                <w:rFonts w:hint="eastAsia" w:ascii="宋体" w:hAnsi="宋体"/>
                <w:b/>
                <w:bCs/>
                <w:color w:val="auto"/>
                <w:sz w:val="22"/>
                <w:szCs w:val="22"/>
              </w:rPr>
            </w:pPr>
          </w:p>
        </w:tc>
        <w:tc>
          <w:tcPr>
            <w:tcW w:w="1727" w:type="dxa"/>
            <w:vAlign w:val="center"/>
          </w:tcPr>
          <w:p w14:paraId="355A8385">
            <w:pPr>
              <w:spacing w:line="380" w:lineRule="exact"/>
              <w:jc w:val="center"/>
              <w:rPr>
                <w:rFonts w:hint="eastAsia" w:ascii="宋体" w:hAnsi="宋体"/>
                <w:b/>
                <w:bCs/>
                <w:color w:val="auto"/>
                <w:sz w:val="22"/>
                <w:szCs w:val="22"/>
              </w:rPr>
            </w:pPr>
          </w:p>
        </w:tc>
      </w:tr>
      <w:tr w14:paraId="44A7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FFE0CE2">
            <w:pPr>
              <w:spacing w:line="380" w:lineRule="exact"/>
              <w:jc w:val="center"/>
              <w:rPr>
                <w:rFonts w:hint="eastAsia" w:ascii="宋体" w:hAnsi="宋体"/>
                <w:b/>
                <w:bCs/>
                <w:color w:val="auto"/>
                <w:sz w:val="22"/>
                <w:szCs w:val="22"/>
              </w:rPr>
            </w:pPr>
          </w:p>
        </w:tc>
        <w:tc>
          <w:tcPr>
            <w:tcW w:w="2192" w:type="dxa"/>
            <w:vAlign w:val="center"/>
          </w:tcPr>
          <w:p w14:paraId="13A3E373">
            <w:pPr>
              <w:spacing w:line="380" w:lineRule="exact"/>
              <w:jc w:val="center"/>
              <w:rPr>
                <w:rFonts w:hint="eastAsia" w:ascii="宋体" w:hAnsi="宋体"/>
                <w:b/>
                <w:bCs/>
                <w:color w:val="auto"/>
                <w:sz w:val="22"/>
                <w:szCs w:val="22"/>
              </w:rPr>
            </w:pPr>
          </w:p>
        </w:tc>
        <w:tc>
          <w:tcPr>
            <w:tcW w:w="1984" w:type="dxa"/>
            <w:vAlign w:val="center"/>
          </w:tcPr>
          <w:p w14:paraId="6C6D08C4">
            <w:pPr>
              <w:spacing w:line="380" w:lineRule="exact"/>
              <w:jc w:val="center"/>
              <w:rPr>
                <w:rFonts w:hint="eastAsia" w:ascii="宋体" w:hAnsi="宋体"/>
                <w:b/>
                <w:bCs/>
                <w:color w:val="auto"/>
                <w:sz w:val="22"/>
                <w:szCs w:val="22"/>
              </w:rPr>
            </w:pPr>
          </w:p>
        </w:tc>
        <w:tc>
          <w:tcPr>
            <w:tcW w:w="720" w:type="dxa"/>
            <w:vAlign w:val="center"/>
          </w:tcPr>
          <w:p w14:paraId="2177B869">
            <w:pPr>
              <w:spacing w:line="380" w:lineRule="exact"/>
              <w:jc w:val="center"/>
              <w:rPr>
                <w:rFonts w:hint="eastAsia" w:ascii="宋体" w:hAnsi="宋体"/>
                <w:b/>
                <w:bCs/>
                <w:color w:val="auto"/>
                <w:sz w:val="22"/>
                <w:szCs w:val="22"/>
              </w:rPr>
            </w:pPr>
          </w:p>
        </w:tc>
        <w:tc>
          <w:tcPr>
            <w:tcW w:w="1123" w:type="dxa"/>
            <w:vAlign w:val="center"/>
          </w:tcPr>
          <w:p w14:paraId="05AC7F56">
            <w:pPr>
              <w:spacing w:line="380" w:lineRule="exact"/>
              <w:jc w:val="center"/>
              <w:rPr>
                <w:rFonts w:hint="eastAsia" w:ascii="宋体" w:hAnsi="宋体"/>
                <w:b/>
                <w:bCs/>
                <w:color w:val="auto"/>
                <w:sz w:val="22"/>
                <w:szCs w:val="22"/>
              </w:rPr>
            </w:pPr>
          </w:p>
        </w:tc>
        <w:tc>
          <w:tcPr>
            <w:tcW w:w="1134" w:type="dxa"/>
            <w:vAlign w:val="center"/>
          </w:tcPr>
          <w:p w14:paraId="1C3B03BD">
            <w:pPr>
              <w:spacing w:line="380" w:lineRule="exact"/>
              <w:jc w:val="center"/>
              <w:rPr>
                <w:rFonts w:hint="eastAsia" w:ascii="宋体" w:hAnsi="宋体"/>
                <w:b/>
                <w:bCs/>
                <w:color w:val="auto"/>
                <w:sz w:val="22"/>
                <w:szCs w:val="22"/>
              </w:rPr>
            </w:pPr>
          </w:p>
        </w:tc>
        <w:tc>
          <w:tcPr>
            <w:tcW w:w="1727" w:type="dxa"/>
            <w:vAlign w:val="center"/>
          </w:tcPr>
          <w:p w14:paraId="2FCB5057">
            <w:pPr>
              <w:spacing w:line="380" w:lineRule="exact"/>
              <w:jc w:val="center"/>
              <w:rPr>
                <w:rFonts w:hint="eastAsia" w:ascii="宋体" w:hAnsi="宋体"/>
                <w:b/>
                <w:bCs/>
                <w:color w:val="auto"/>
                <w:sz w:val="22"/>
                <w:szCs w:val="22"/>
              </w:rPr>
            </w:pPr>
          </w:p>
        </w:tc>
      </w:tr>
      <w:tr w14:paraId="6661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CC7A802">
            <w:pPr>
              <w:spacing w:line="380" w:lineRule="exact"/>
              <w:jc w:val="center"/>
              <w:rPr>
                <w:rFonts w:hint="eastAsia" w:ascii="宋体" w:hAnsi="宋体"/>
                <w:b/>
                <w:bCs/>
                <w:color w:val="auto"/>
                <w:sz w:val="22"/>
                <w:szCs w:val="22"/>
              </w:rPr>
            </w:pPr>
          </w:p>
        </w:tc>
        <w:tc>
          <w:tcPr>
            <w:tcW w:w="2192" w:type="dxa"/>
            <w:vAlign w:val="center"/>
          </w:tcPr>
          <w:p w14:paraId="0BF90C86">
            <w:pPr>
              <w:spacing w:line="380" w:lineRule="exact"/>
              <w:jc w:val="center"/>
              <w:rPr>
                <w:rFonts w:hint="eastAsia" w:ascii="宋体" w:hAnsi="宋体"/>
                <w:b/>
                <w:bCs/>
                <w:color w:val="auto"/>
                <w:sz w:val="22"/>
                <w:szCs w:val="22"/>
              </w:rPr>
            </w:pPr>
          </w:p>
        </w:tc>
        <w:tc>
          <w:tcPr>
            <w:tcW w:w="1984" w:type="dxa"/>
            <w:vAlign w:val="center"/>
          </w:tcPr>
          <w:p w14:paraId="5870E34B">
            <w:pPr>
              <w:spacing w:line="380" w:lineRule="exact"/>
              <w:jc w:val="center"/>
              <w:rPr>
                <w:rFonts w:hint="eastAsia" w:ascii="宋体" w:hAnsi="宋体"/>
                <w:b/>
                <w:bCs/>
                <w:color w:val="auto"/>
                <w:sz w:val="22"/>
                <w:szCs w:val="22"/>
              </w:rPr>
            </w:pPr>
          </w:p>
        </w:tc>
        <w:tc>
          <w:tcPr>
            <w:tcW w:w="720" w:type="dxa"/>
            <w:vAlign w:val="center"/>
          </w:tcPr>
          <w:p w14:paraId="493A7C5E">
            <w:pPr>
              <w:spacing w:line="380" w:lineRule="exact"/>
              <w:jc w:val="center"/>
              <w:rPr>
                <w:rFonts w:hint="eastAsia" w:ascii="宋体" w:hAnsi="宋体"/>
                <w:b/>
                <w:bCs/>
                <w:color w:val="auto"/>
                <w:sz w:val="22"/>
                <w:szCs w:val="22"/>
              </w:rPr>
            </w:pPr>
          </w:p>
        </w:tc>
        <w:tc>
          <w:tcPr>
            <w:tcW w:w="1123" w:type="dxa"/>
            <w:vAlign w:val="center"/>
          </w:tcPr>
          <w:p w14:paraId="18292843">
            <w:pPr>
              <w:spacing w:line="380" w:lineRule="exact"/>
              <w:jc w:val="center"/>
              <w:rPr>
                <w:rFonts w:hint="eastAsia" w:ascii="宋体" w:hAnsi="宋体"/>
                <w:b/>
                <w:bCs/>
                <w:color w:val="auto"/>
                <w:sz w:val="22"/>
                <w:szCs w:val="22"/>
              </w:rPr>
            </w:pPr>
          </w:p>
        </w:tc>
        <w:tc>
          <w:tcPr>
            <w:tcW w:w="1134" w:type="dxa"/>
            <w:vAlign w:val="center"/>
          </w:tcPr>
          <w:p w14:paraId="394E750C">
            <w:pPr>
              <w:spacing w:line="380" w:lineRule="exact"/>
              <w:jc w:val="center"/>
              <w:rPr>
                <w:rFonts w:hint="eastAsia" w:ascii="宋体" w:hAnsi="宋体"/>
                <w:b/>
                <w:bCs/>
                <w:color w:val="auto"/>
                <w:sz w:val="22"/>
                <w:szCs w:val="22"/>
              </w:rPr>
            </w:pPr>
          </w:p>
        </w:tc>
        <w:tc>
          <w:tcPr>
            <w:tcW w:w="1727" w:type="dxa"/>
            <w:vAlign w:val="center"/>
          </w:tcPr>
          <w:p w14:paraId="23742A98">
            <w:pPr>
              <w:spacing w:line="380" w:lineRule="exact"/>
              <w:jc w:val="center"/>
              <w:rPr>
                <w:rFonts w:hint="eastAsia" w:ascii="宋体" w:hAnsi="宋体"/>
                <w:b/>
                <w:bCs/>
                <w:color w:val="auto"/>
                <w:sz w:val="22"/>
                <w:szCs w:val="22"/>
              </w:rPr>
            </w:pPr>
          </w:p>
        </w:tc>
      </w:tr>
      <w:tr w14:paraId="3492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FC6AEB6">
            <w:pPr>
              <w:spacing w:line="380" w:lineRule="exact"/>
              <w:jc w:val="center"/>
              <w:rPr>
                <w:rFonts w:hint="eastAsia" w:ascii="宋体" w:hAnsi="宋体"/>
                <w:b/>
                <w:bCs/>
                <w:color w:val="auto"/>
                <w:sz w:val="22"/>
                <w:szCs w:val="22"/>
              </w:rPr>
            </w:pPr>
          </w:p>
        </w:tc>
        <w:tc>
          <w:tcPr>
            <w:tcW w:w="2192" w:type="dxa"/>
            <w:vAlign w:val="center"/>
          </w:tcPr>
          <w:p w14:paraId="0B0AAD21">
            <w:pPr>
              <w:spacing w:line="380" w:lineRule="exact"/>
              <w:jc w:val="center"/>
              <w:rPr>
                <w:rFonts w:hint="eastAsia" w:ascii="宋体" w:hAnsi="宋体"/>
                <w:b/>
                <w:bCs/>
                <w:color w:val="auto"/>
                <w:sz w:val="22"/>
                <w:szCs w:val="22"/>
              </w:rPr>
            </w:pPr>
          </w:p>
        </w:tc>
        <w:tc>
          <w:tcPr>
            <w:tcW w:w="1984" w:type="dxa"/>
            <w:vAlign w:val="center"/>
          </w:tcPr>
          <w:p w14:paraId="05141411">
            <w:pPr>
              <w:spacing w:line="380" w:lineRule="exact"/>
              <w:jc w:val="center"/>
              <w:rPr>
                <w:rFonts w:hint="eastAsia" w:ascii="宋体" w:hAnsi="宋体"/>
                <w:b/>
                <w:bCs/>
                <w:color w:val="auto"/>
                <w:sz w:val="22"/>
                <w:szCs w:val="22"/>
              </w:rPr>
            </w:pPr>
          </w:p>
        </w:tc>
        <w:tc>
          <w:tcPr>
            <w:tcW w:w="720" w:type="dxa"/>
            <w:vAlign w:val="center"/>
          </w:tcPr>
          <w:p w14:paraId="5B2B7B59">
            <w:pPr>
              <w:spacing w:line="380" w:lineRule="exact"/>
              <w:jc w:val="center"/>
              <w:rPr>
                <w:rFonts w:hint="eastAsia" w:ascii="宋体" w:hAnsi="宋体"/>
                <w:b/>
                <w:bCs/>
                <w:color w:val="auto"/>
                <w:sz w:val="22"/>
                <w:szCs w:val="22"/>
              </w:rPr>
            </w:pPr>
          </w:p>
        </w:tc>
        <w:tc>
          <w:tcPr>
            <w:tcW w:w="1123" w:type="dxa"/>
            <w:vAlign w:val="center"/>
          </w:tcPr>
          <w:p w14:paraId="6B9BF97C">
            <w:pPr>
              <w:spacing w:line="380" w:lineRule="exact"/>
              <w:jc w:val="center"/>
              <w:rPr>
                <w:rFonts w:hint="eastAsia" w:ascii="宋体" w:hAnsi="宋体"/>
                <w:b/>
                <w:bCs/>
                <w:color w:val="auto"/>
                <w:sz w:val="22"/>
                <w:szCs w:val="22"/>
              </w:rPr>
            </w:pPr>
          </w:p>
        </w:tc>
        <w:tc>
          <w:tcPr>
            <w:tcW w:w="1134" w:type="dxa"/>
            <w:vAlign w:val="center"/>
          </w:tcPr>
          <w:p w14:paraId="7E1F9498">
            <w:pPr>
              <w:spacing w:line="380" w:lineRule="exact"/>
              <w:jc w:val="center"/>
              <w:rPr>
                <w:rFonts w:hint="eastAsia" w:ascii="宋体" w:hAnsi="宋体"/>
                <w:b/>
                <w:bCs/>
                <w:color w:val="auto"/>
                <w:sz w:val="22"/>
                <w:szCs w:val="22"/>
              </w:rPr>
            </w:pPr>
          </w:p>
        </w:tc>
        <w:tc>
          <w:tcPr>
            <w:tcW w:w="1727" w:type="dxa"/>
            <w:vAlign w:val="center"/>
          </w:tcPr>
          <w:p w14:paraId="51BEBF7D">
            <w:pPr>
              <w:spacing w:line="380" w:lineRule="exact"/>
              <w:jc w:val="center"/>
              <w:rPr>
                <w:rFonts w:hint="eastAsia" w:ascii="宋体" w:hAnsi="宋体"/>
                <w:b/>
                <w:bCs/>
                <w:color w:val="auto"/>
                <w:sz w:val="22"/>
                <w:szCs w:val="22"/>
              </w:rPr>
            </w:pPr>
          </w:p>
        </w:tc>
      </w:tr>
    </w:tbl>
    <w:p w14:paraId="4F3560B5">
      <w:pPr>
        <w:spacing w:line="440" w:lineRule="exact"/>
        <w:ind w:left="866" w:hanging="866" w:hangingChars="392"/>
        <w:rPr>
          <w:rFonts w:hint="eastAsia" w:ascii="宋体" w:hAnsi="宋体"/>
          <w:b/>
          <w:color w:val="auto"/>
          <w:sz w:val="22"/>
          <w:szCs w:val="22"/>
        </w:rPr>
      </w:pPr>
      <w:r>
        <w:rPr>
          <w:rFonts w:hint="eastAsia" w:ascii="宋体" w:hAnsi="宋体"/>
          <w:b/>
          <w:bCs/>
          <w:color w:val="auto"/>
          <w:sz w:val="22"/>
          <w:szCs w:val="22"/>
        </w:rPr>
        <w:t>注：</w:t>
      </w:r>
      <w:r>
        <w:rPr>
          <w:rFonts w:hint="eastAsia" w:ascii="宋体" w:hAnsi="宋体"/>
          <w:b/>
          <w:color w:val="auto"/>
          <w:sz w:val="22"/>
          <w:szCs w:val="22"/>
        </w:rPr>
        <w:t>根据评分细则的要求提供相关材料。</w:t>
      </w:r>
    </w:p>
    <w:p w14:paraId="0E910066">
      <w:pPr>
        <w:spacing w:line="440" w:lineRule="exact"/>
        <w:rPr>
          <w:rFonts w:hint="eastAsia" w:ascii="宋体" w:hAnsi="宋体"/>
          <w:color w:val="auto"/>
          <w:sz w:val="22"/>
          <w:szCs w:val="22"/>
        </w:rPr>
      </w:pPr>
    </w:p>
    <w:p w14:paraId="1A3BB228">
      <w:pPr>
        <w:spacing w:line="440" w:lineRule="exact"/>
        <w:rPr>
          <w:rFonts w:hint="eastAsia" w:ascii="宋体" w:hAnsi="宋体"/>
          <w:color w:val="auto"/>
          <w:sz w:val="22"/>
          <w:szCs w:val="22"/>
        </w:rPr>
      </w:pPr>
    </w:p>
    <w:p w14:paraId="746FBB73">
      <w:pPr>
        <w:spacing w:line="440" w:lineRule="exact"/>
        <w:ind w:firstLine="4400" w:firstLineChars="2000"/>
        <w:rPr>
          <w:rFonts w:hint="eastAsia"/>
          <w:color w:val="auto"/>
          <w:sz w:val="22"/>
          <w:szCs w:val="22"/>
        </w:rPr>
      </w:pPr>
      <w:r>
        <w:rPr>
          <w:rFonts w:hint="eastAsia"/>
          <w:color w:val="auto"/>
          <w:sz w:val="22"/>
          <w:szCs w:val="22"/>
        </w:rPr>
        <w:t>磋商供应商全称</w:t>
      </w:r>
      <w:r>
        <w:rPr>
          <w:rFonts w:hint="eastAsia" w:ascii="宋体" w:hAnsi="宋体" w:cs="宋体"/>
          <w:color w:val="auto"/>
          <w:sz w:val="22"/>
          <w:szCs w:val="22"/>
        </w:rPr>
        <w:t>（电子签名/公章）</w:t>
      </w:r>
      <w:r>
        <w:rPr>
          <w:rFonts w:hint="eastAsia"/>
          <w:color w:val="auto"/>
          <w:sz w:val="22"/>
          <w:szCs w:val="22"/>
        </w:rPr>
        <w:t>：</w:t>
      </w:r>
    </w:p>
    <w:p w14:paraId="57595256">
      <w:pPr>
        <w:spacing w:line="440" w:lineRule="exact"/>
        <w:ind w:firstLine="4400" w:firstLineChars="2000"/>
        <w:rPr>
          <w:rFonts w:hint="eastAsia"/>
          <w:color w:val="auto"/>
          <w:sz w:val="22"/>
          <w:szCs w:val="22"/>
        </w:rPr>
      </w:pPr>
      <w:r>
        <w:rPr>
          <w:rFonts w:hint="eastAsia"/>
          <w:color w:val="auto"/>
          <w:sz w:val="22"/>
          <w:szCs w:val="22"/>
        </w:rPr>
        <w:t xml:space="preserve">日期：     年    月    日  </w:t>
      </w:r>
    </w:p>
    <w:p w14:paraId="337F4615">
      <w:pPr>
        <w:spacing w:line="440" w:lineRule="exact"/>
        <w:rPr>
          <w:rFonts w:ascii="宋体" w:hAnsi="宋体"/>
          <w:color w:val="auto"/>
        </w:rPr>
      </w:pPr>
    </w:p>
    <w:p w14:paraId="6E452AA9">
      <w:pPr>
        <w:spacing w:line="440" w:lineRule="exact"/>
        <w:rPr>
          <w:rFonts w:ascii="宋体" w:hAnsi="宋体"/>
          <w:color w:val="auto"/>
        </w:rPr>
      </w:pPr>
    </w:p>
    <w:p w14:paraId="1D8180E2">
      <w:pPr>
        <w:spacing w:line="440" w:lineRule="exact"/>
        <w:rPr>
          <w:rFonts w:hint="eastAsia" w:ascii="宋体" w:hAnsi="宋体"/>
          <w:color w:val="auto"/>
        </w:rPr>
      </w:pPr>
    </w:p>
    <w:p w14:paraId="46DE1249">
      <w:pPr>
        <w:spacing w:line="440" w:lineRule="exact"/>
        <w:rPr>
          <w:rFonts w:ascii="宋体" w:hAnsi="宋体"/>
          <w:color w:val="auto"/>
        </w:rPr>
      </w:pPr>
    </w:p>
    <w:p w14:paraId="2037620B">
      <w:pPr>
        <w:pStyle w:val="3"/>
        <w:spacing w:line="440" w:lineRule="exact"/>
        <w:rPr>
          <w:rFonts w:ascii="黑体" w:hAnsi="宋体"/>
          <w:color w:val="auto"/>
          <w:sz w:val="24"/>
          <w:szCs w:val="24"/>
        </w:rPr>
      </w:pPr>
      <w:bookmarkStart w:id="108" w:name="_Toc10560"/>
      <w:bookmarkStart w:id="109" w:name="_Toc524273184"/>
      <w:bookmarkStart w:id="110" w:name="_Toc20456"/>
      <w:bookmarkStart w:id="111" w:name="_Toc37343483"/>
      <w:bookmarkStart w:id="112" w:name="_Toc1390"/>
      <w:r>
        <w:rPr>
          <w:rFonts w:ascii="黑体" w:hAnsi="宋体"/>
          <w:color w:val="auto"/>
          <w:sz w:val="24"/>
          <w:szCs w:val="24"/>
        </w:rPr>
        <w:t>附件</w:t>
      </w:r>
      <w:r>
        <w:rPr>
          <w:rFonts w:hint="eastAsia" w:ascii="黑体" w:hAnsi="宋体"/>
          <w:color w:val="auto"/>
          <w:sz w:val="24"/>
          <w:szCs w:val="24"/>
        </w:rPr>
        <w:t>1</w:t>
      </w:r>
      <w:r>
        <w:rPr>
          <w:rFonts w:hint="eastAsia" w:ascii="黑体" w:hAnsi="宋体"/>
          <w:color w:val="auto"/>
          <w:sz w:val="24"/>
          <w:szCs w:val="24"/>
          <w:lang w:val="en-US" w:eastAsia="zh-CN"/>
        </w:rPr>
        <w:t>4</w:t>
      </w:r>
      <w:r>
        <w:rPr>
          <w:rFonts w:hint="eastAsia" w:ascii="黑体" w:hAnsi="宋体"/>
          <w:color w:val="auto"/>
          <w:sz w:val="24"/>
          <w:szCs w:val="24"/>
        </w:rPr>
        <w:t xml:space="preserve"> 政府采购政策功能相关说明</w:t>
      </w:r>
      <w:bookmarkEnd w:id="108"/>
      <w:bookmarkEnd w:id="109"/>
      <w:bookmarkEnd w:id="110"/>
      <w:bookmarkEnd w:id="111"/>
      <w:bookmarkEnd w:id="112"/>
    </w:p>
    <w:p w14:paraId="57240E50">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14:paraId="73EEABDC">
      <w:pPr>
        <w:spacing w:line="440" w:lineRule="atLeast"/>
        <w:jc w:val="left"/>
        <w:rPr>
          <w:rFonts w:ascii="宋体" w:hAnsi="宋体"/>
          <w:color w:val="auto"/>
          <w:kern w:val="0"/>
          <w:sz w:val="22"/>
        </w:rPr>
      </w:pPr>
      <w:r>
        <w:rPr>
          <w:rFonts w:ascii="宋体" w:hAnsi="宋体"/>
          <w:color w:val="auto"/>
          <w:kern w:val="0"/>
          <w:sz w:val="22"/>
        </w:rPr>
        <w:t xml:space="preserve">1.   </w:t>
      </w:r>
      <w:r>
        <w:rPr>
          <w:rFonts w:hint="eastAsia" w:ascii="宋体" w:hAnsi="宋体"/>
          <w:color w:val="auto"/>
          <w:kern w:val="0"/>
          <w:sz w:val="22"/>
        </w:rPr>
        <w:t>文件依据</w:t>
      </w:r>
    </w:p>
    <w:p w14:paraId="25DF6381">
      <w:pPr>
        <w:spacing w:line="440" w:lineRule="atLeast"/>
        <w:jc w:val="left"/>
        <w:rPr>
          <w:rFonts w:hint="eastAsia" w:ascii="宋体" w:hAnsi="宋体"/>
          <w:color w:val="auto"/>
          <w:kern w:val="0"/>
          <w:sz w:val="22"/>
        </w:rPr>
      </w:pPr>
      <w:r>
        <w:rPr>
          <w:rFonts w:hint="eastAsia" w:ascii="宋体" w:hAnsi="宋体"/>
          <w:color w:val="auto"/>
          <w:kern w:val="0"/>
          <w:sz w:val="22"/>
        </w:rPr>
        <w:t>（1）关于印发《政府采购促进中小企业发展暂行办法》的通知（财库〔2020〕46号）</w:t>
      </w:r>
    </w:p>
    <w:p w14:paraId="3073EB92">
      <w:pPr>
        <w:spacing w:line="440" w:lineRule="atLeast"/>
        <w:jc w:val="left"/>
        <w:rPr>
          <w:rFonts w:ascii="宋体" w:hAnsi="宋体"/>
          <w:color w:val="auto"/>
          <w:kern w:val="0"/>
          <w:sz w:val="22"/>
        </w:rPr>
      </w:pPr>
      <w:r>
        <w:rPr>
          <w:rFonts w:hint="eastAsia" w:ascii="宋体" w:hAnsi="宋体"/>
          <w:color w:val="auto"/>
          <w:kern w:val="0"/>
          <w:sz w:val="22"/>
        </w:rPr>
        <w:t>（4）《工业和信息化部、国家统计局、国家发展和改革委员会、财政部关于印发中小企业划型标准规定的通知》（</w:t>
      </w:r>
      <w:r>
        <w:rPr>
          <w:rFonts w:ascii="宋体" w:hAnsi="宋体"/>
          <w:color w:val="auto"/>
          <w:kern w:val="0"/>
          <w:sz w:val="22"/>
        </w:rPr>
        <w:t>工信部联企业[2011]300号</w:t>
      </w:r>
      <w:r>
        <w:rPr>
          <w:rFonts w:hint="eastAsia" w:ascii="宋体" w:hAnsi="宋体"/>
          <w:color w:val="auto"/>
          <w:kern w:val="0"/>
          <w:sz w:val="22"/>
        </w:rPr>
        <w:t>）</w:t>
      </w:r>
    </w:p>
    <w:p w14:paraId="6DEEB2AA">
      <w:pPr>
        <w:spacing w:line="440" w:lineRule="atLeast"/>
        <w:jc w:val="lef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）财政部、司法部《关于政府采购支持监狱企业发展有关问题的通知》（财库〔2014〕68号）</w:t>
      </w:r>
    </w:p>
    <w:p w14:paraId="47617DBF">
      <w:pPr>
        <w:spacing w:line="440" w:lineRule="atLeast"/>
        <w:jc w:val="lef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4</w:t>
      </w:r>
      <w:r>
        <w:rPr>
          <w:rFonts w:hint="eastAsia" w:ascii="宋体" w:hAnsi="宋体"/>
          <w:color w:val="auto"/>
          <w:kern w:val="0"/>
          <w:sz w:val="22"/>
        </w:rPr>
        <w:t>）《财政部 民政部 中国残疾人联合会关于促进残疾人就业政府采购政策的通知》（财库〔2017〕 141号）</w:t>
      </w:r>
    </w:p>
    <w:p w14:paraId="2C985A6B">
      <w:pPr>
        <w:spacing w:line="440" w:lineRule="atLeast"/>
        <w:jc w:val="left"/>
        <w:rPr>
          <w:rFonts w:ascii="宋体" w:hAnsi="宋体"/>
          <w:color w:val="auto"/>
          <w:kern w:val="0"/>
          <w:sz w:val="22"/>
        </w:rPr>
      </w:pPr>
      <w:r>
        <w:rPr>
          <w:rFonts w:ascii="宋体" w:hAnsi="宋体"/>
          <w:color w:val="auto"/>
          <w:kern w:val="0"/>
          <w:sz w:val="22"/>
        </w:rPr>
        <w:t xml:space="preserve">2.   </w:t>
      </w:r>
      <w:r>
        <w:rPr>
          <w:rFonts w:hint="eastAsia" w:ascii="宋体" w:hAnsi="宋体"/>
          <w:color w:val="auto"/>
          <w:kern w:val="0"/>
          <w:sz w:val="22"/>
        </w:rPr>
        <w:t>享受小微企业价格折扣应具备的条件与价格折扣比例：</w:t>
      </w:r>
    </w:p>
    <w:p w14:paraId="0D0053FA">
      <w:pPr>
        <w:spacing w:line="440" w:lineRule="atLeast"/>
        <w:jc w:val="left"/>
        <w:rPr>
          <w:rFonts w:ascii="宋体" w:hAnsi="宋体"/>
          <w:b/>
          <w:color w:val="auto"/>
          <w:kern w:val="0"/>
          <w:sz w:val="22"/>
        </w:rPr>
      </w:pPr>
      <w:r>
        <w:rPr>
          <w:rFonts w:hint="eastAsia" w:ascii="宋体" w:hAnsi="宋体"/>
          <w:b/>
          <w:color w:val="auto"/>
          <w:kern w:val="0"/>
          <w:sz w:val="22"/>
        </w:rPr>
        <w:t>（1）符合中小企业划分标准；</w:t>
      </w:r>
    </w:p>
    <w:p w14:paraId="486C5566">
      <w:pPr>
        <w:spacing w:line="440" w:lineRule="atLeast"/>
        <w:jc w:val="left"/>
        <w:rPr>
          <w:rFonts w:ascii="宋体" w:hAnsi="宋体"/>
          <w:b/>
          <w:color w:val="auto"/>
          <w:kern w:val="0"/>
          <w:sz w:val="22"/>
        </w:rPr>
      </w:pPr>
      <w:r>
        <w:rPr>
          <w:rFonts w:ascii="宋体" w:hAnsi="宋体"/>
          <w:b/>
          <w:color w:val="auto"/>
          <w:kern w:val="0"/>
          <w:sz w:val="22"/>
        </w:rPr>
        <w:t>（</w:t>
      </w:r>
      <w:r>
        <w:rPr>
          <w:rFonts w:hint="eastAsia" w:ascii="宋体" w:hAnsi="宋体"/>
          <w:b/>
          <w:color w:val="auto"/>
          <w:kern w:val="0"/>
          <w:sz w:val="22"/>
        </w:rPr>
        <w:t>2</w:t>
      </w:r>
      <w:r>
        <w:rPr>
          <w:rFonts w:ascii="宋体" w:hAnsi="宋体"/>
          <w:b/>
          <w:color w:val="auto"/>
          <w:kern w:val="0"/>
          <w:sz w:val="22"/>
        </w:rPr>
        <w:t>）在货物采购项目中，货物由中小企业制造，即货物由中小企业生产且使用该中小企业商号或者注册商标；</w:t>
      </w:r>
    </w:p>
    <w:p w14:paraId="60446686">
      <w:pPr>
        <w:spacing w:line="440" w:lineRule="atLeast"/>
        <w:jc w:val="left"/>
        <w:rPr>
          <w:rFonts w:ascii="宋体" w:hAnsi="宋体"/>
          <w:b/>
          <w:color w:val="auto"/>
          <w:kern w:val="0"/>
          <w:sz w:val="22"/>
        </w:rPr>
      </w:pPr>
      <w:r>
        <w:rPr>
          <w:rFonts w:ascii="宋体" w:hAnsi="宋体"/>
          <w:b/>
          <w:color w:val="auto"/>
          <w:kern w:val="0"/>
          <w:sz w:val="22"/>
        </w:rPr>
        <w:t>（</w:t>
      </w:r>
      <w:r>
        <w:rPr>
          <w:rFonts w:hint="eastAsia" w:ascii="宋体" w:hAnsi="宋体"/>
          <w:b/>
          <w:color w:val="auto"/>
          <w:kern w:val="0"/>
          <w:sz w:val="22"/>
        </w:rPr>
        <w:t>3</w:t>
      </w:r>
      <w:r>
        <w:rPr>
          <w:rFonts w:ascii="宋体" w:hAnsi="宋体"/>
          <w:b/>
          <w:color w:val="auto"/>
          <w:kern w:val="0"/>
          <w:sz w:val="22"/>
        </w:rPr>
        <w:t>）在工程采购项目中，工程由中小企业承建，即工程施工单位为中小企业；</w:t>
      </w:r>
    </w:p>
    <w:p w14:paraId="42D805A2">
      <w:pPr>
        <w:spacing w:line="440" w:lineRule="atLeast"/>
        <w:jc w:val="left"/>
        <w:rPr>
          <w:rFonts w:ascii="宋体" w:hAnsi="宋体"/>
          <w:b/>
          <w:color w:val="auto"/>
          <w:kern w:val="0"/>
          <w:sz w:val="22"/>
        </w:rPr>
      </w:pPr>
      <w:r>
        <w:rPr>
          <w:rFonts w:ascii="宋体" w:hAnsi="宋体"/>
          <w:b/>
          <w:color w:val="auto"/>
          <w:kern w:val="0"/>
          <w:sz w:val="22"/>
        </w:rPr>
        <w:t>（</w:t>
      </w:r>
      <w:r>
        <w:rPr>
          <w:rFonts w:hint="eastAsia" w:ascii="宋体" w:hAnsi="宋体"/>
          <w:b/>
          <w:color w:val="auto"/>
          <w:kern w:val="0"/>
          <w:sz w:val="22"/>
        </w:rPr>
        <w:t>4</w:t>
      </w:r>
      <w:r>
        <w:rPr>
          <w:rFonts w:ascii="宋体" w:hAnsi="宋体"/>
          <w:b/>
          <w:color w:val="auto"/>
          <w:kern w:val="0"/>
          <w:sz w:val="22"/>
        </w:rPr>
        <w:t>）在服务采购项目中，服务由中小企业承接，即</w:t>
      </w:r>
      <w:r>
        <w:rPr>
          <w:rFonts w:hint="eastAsia" w:ascii="宋体" w:hAnsi="宋体"/>
          <w:b/>
          <w:color w:val="auto"/>
          <w:kern w:val="0"/>
          <w:sz w:val="22"/>
        </w:rPr>
        <w:t>提供</w:t>
      </w:r>
      <w:r>
        <w:rPr>
          <w:rFonts w:ascii="宋体" w:hAnsi="宋体"/>
          <w:b/>
          <w:color w:val="auto"/>
          <w:kern w:val="0"/>
          <w:sz w:val="22"/>
        </w:rPr>
        <w:t>服务的人员为中小企业依照《中华人民共和国劳动合同法》订立劳动合同的从业人员。</w:t>
      </w:r>
    </w:p>
    <w:p w14:paraId="180C1EEF">
      <w:pPr>
        <w:spacing w:line="440" w:lineRule="atLeast"/>
        <w:jc w:val="left"/>
        <w:rPr>
          <w:rFonts w:ascii="宋体" w:hAnsi="宋体"/>
          <w:b/>
          <w:color w:val="auto"/>
          <w:kern w:val="0"/>
          <w:sz w:val="22"/>
        </w:rPr>
      </w:pPr>
      <w:r>
        <w:rPr>
          <w:rFonts w:hint="eastAsia" w:ascii="宋体" w:hAnsi="宋体"/>
          <w:b/>
          <w:color w:val="auto"/>
          <w:kern w:val="0"/>
          <w:sz w:val="22"/>
        </w:rPr>
        <w:t>（5）</w:t>
      </w:r>
      <w:r>
        <w:rPr>
          <w:rFonts w:ascii="宋体" w:hAnsi="宋体"/>
          <w:b/>
          <w:color w:val="auto"/>
          <w:kern w:val="0"/>
          <w:sz w:val="22"/>
        </w:rPr>
        <w:t>在货物采购项目中，供应商提供的货物既有中小企业制造货物，也有大型企业制造货物的，不享受本办法规定的中小企业扶持政策。</w:t>
      </w:r>
    </w:p>
    <w:p w14:paraId="7190A379">
      <w:pPr>
        <w:spacing w:line="440" w:lineRule="atLeast"/>
        <w:jc w:val="left"/>
        <w:rPr>
          <w:rFonts w:ascii="宋体" w:hAnsi="宋体"/>
          <w:b/>
          <w:color w:val="auto"/>
          <w:kern w:val="0"/>
          <w:sz w:val="22"/>
        </w:rPr>
      </w:pPr>
      <w:r>
        <w:rPr>
          <w:rFonts w:hint="eastAsia" w:ascii="宋体" w:hAnsi="宋体"/>
          <w:b/>
          <w:color w:val="auto"/>
          <w:kern w:val="0"/>
          <w:sz w:val="22"/>
        </w:rPr>
        <w:t>（6）</w:t>
      </w:r>
      <w:r>
        <w:rPr>
          <w:rFonts w:ascii="宋体" w:hAnsi="宋体"/>
          <w:b/>
          <w:color w:val="auto"/>
          <w:kern w:val="0"/>
          <w:sz w:val="22"/>
        </w:rPr>
        <w:t>以联合体形式参加政府采购活动，联合体各方均为中小企业的，联合体视同中小企业。其中，联合体各方均为小微企业的，联合体视同小微企业。</w:t>
      </w:r>
    </w:p>
    <w:p w14:paraId="2A3FFA4A">
      <w:pPr>
        <w:spacing w:line="440" w:lineRule="atLeast"/>
        <w:jc w:val="left"/>
        <w:rPr>
          <w:rFonts w:ascii="宋体" w:hAnsi="宋体"/>
          <w:color w:val="auto"/>
          <w:kern w:val="0"/>
          <w:sz w:val="22"/>
        </w:rPr>
      </w:pPr>
      <w:r>
        <w:rPr>
          <w:rFonts w:ascii="宋体" w:hAnsi="宋体"/>
          <w:color w:val="auto"/>
          <w:kern w:val="0"/>
          <w:sz w:val="22"/>
        </w:rPr>
        <w:t xml:space="preserve">3.   </w:t>
      </w:r>
      <w:r>
        <w:rPr>
          <w:rFonts w:hint="eastAsia" w:ascii="宋体" w:hAnsi="宋体"/>
          <w:color w:val="auto"/>
          <w:kern w:val="0"/>
          <w:sz w:val="22"/>
          <w:u w:val="single"/>
        </w:rPr>
        <w:t>享受小微企业价格折扣应提供以下证明材料（资格文件中）</w:t>
      </w:r>
      <w:r>
        <w:rPr>
          <w:rFonts w:hint="eastAsia" w:ascii="宋体" w:hAnsi="宋体"/>
          <w:color w:val="auto"/>
          <w:kern w:val="0"/>
          <w:sz w:val="22"/>
        </w:rPr>
        <w:t>：</w:t>
      </w:r>
    </w:p>
    <w:p w14:paraId="53379F1E">
      <w:pPr>
        <w:spacing w:line="440" w:lineRule="exact"/>
        <w:ind w:firstLine="440" w:firstLineChars="200"/>
        <w:jc w:val="left"/>
        <w:rPr>
          <w:rFonts w:hint="eastAsia" w:ascii="宋体" w:hAnsi="宋体"/>
          <w:color w:val="auto"/>
          <w:kern w:val="0"/>
          <w:sz w:val="22"/>
        </w:rPr>
      </w:pPr>
      <w:r>
        <w:rPr>
          <w:rFonts w:hint="eastAsia" w:ascii="宋体" w:hAnsi="宋体"/>
          <w:color w:val="auto"/>
          <w:kern w:val="0"/>
          <w:sz w:val="22"/>
        </w:rPr>
        <w:t>《中小企业声明函》（加盖供应商公章，格式见附件1）</w:t>
      </w:r>
    </w:p>
    <w:p w14:paraId="048792CA">
      <w:pPr>
        <w:spacing w:line="440" w:lineRule="atLeast"/>
        <w:ind w:left="550" w:hanging="550" w:hangingChars="250"/>
        <w:jc w:val="lef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   享受监狱企业价格折扣应提供以下证明材料（</w:t>
      </w:r>
      <w:r>
        <w:rPr>
          <w:rFonts w:hint="eastAsia" w:ascii="宋体" w:hAnsi="宋体"/>
          <w:color w:val="auto"/>
          <w:kern w:val="0"/>
          <w:sz w:val="22"/>
          <w:u w:val="single"/>
        </w:rPr>
        <w:t>资格文件中，不提供的不享受价格折扣）</w:t>
      </w:r>
      <w:r>
        <w:rPr>
          <w:rFonts w:hint="eastAsia" w:ascii="宋体" w:hAnsi="宋体"/>
          <w:color w:val="auto"/>
          <w:kern w:val="0"/>
          <w:sz w:val="22"/>
        </w:rPr>
        <w:t>：</w:t>
      </w:r>
    </w:p>
    <w:p w14:paraId="669AA294">
      <w:pPr>
        <w:spacing w:line="440" w:lineRule="atLeast"/>
        <w:ind w:left="550" w:hanging="550" w:hangingChars="250"/>
        <w:jc w:val="lef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w:t>
      </w:r>
      <w:r>
        <w:rPr>
          <w:rFonts w:ascii="宋体" w:hAnsi="宋体"/>
          <w:color w:val="auto"/>
          <w:kern w:val="0"/>
          <w:sz w:val="22"/>
        </w:rPr>
        <w:t>监狱企业参加政府采购活动时，应当提供由省级以上监狱管理局、戒毒管理局(含新疆生产建设兵团)出具的属于监狱企业的证明文件</w:t>
      </w:r>
      <w:r>
        <w:rPr>
          <w:rFonts w:hint="eastAsia" w:ascii="宋体" w:hAnsi="宋体"/>
          <w:color w:val="auto"/>
          <w:kern w:val="0"/>
          <w:sz w:val="22"/>
        </w:rPr>
        <w:t>（加盖供应商公章）</w:t>
      </w:r>
      <w:r>
        <w:rPr>
          <w:rFonts w:ascii="宋体" w:hAnsi="宋体"/>
          <w:color w:val="auto"/>
          <w:kern w:val="0"/>
          <w:sz w:val="22"/>
        </w:rPr>
        <w:t>。在政府采购活动中，监狱企业视同小型、微型企业，享受评审中价格扣除政策</w:t>
      </w:r>
      <w:r>
        <w:rPr>
          <w:rFonts w:hint="eastAsia" w:ascii="宋体" w:hAnsi="宋体"/>
          <w:color w:val="auto"/>
          <w:kern w:val="0"/>
          <w:sz w:val="22"/>
        </w:rPr>
        <w:t>。</w:t>
      </w:r>
    </w:p>
    <w:p w14:paraId="524B8FF4">
      <w:pPr>
        <w:spacing w:line="440" w:lineRule="atLeast"/>
        <w:ind w:left="550" w:hanging="550" w:hangingChars="250"/>
        <w:jc w:val="left"/>
        <w:rPr>
          <w:rFonts w:ascii="宋体" w:hAnsi="宋体"/>
          <w:color w:val="auto"/>
          <w:kern w:val="0"/>
          <w:sz w:val="22"/>
        </w:rPr>
      </w:pPr>
      <w:r>
        <w:rPr>
          <w:rFonts w:ascii="宋体" w:hAnsi="宋体"/>
          <w:color w:val="auto"/>
          <w:kern w:val="0"/>
          <w:sz w:val="22"/>
        </w:rPr>
        <w:t xml:space="preserve">5.   </w:t>
      </w:r>
      <w:r>
        <w:rPr>
          <w:rFonts w:hint="eastAsia" w:ascii="宋体" w:hAnsi="宋体"/>
          <w:color w:val="auto"/>
          <w:kern w:val="0"/>
          <w:sz w:val="22"/>
          <w:u w:val="single"/>
        </w:rPr>
        <w:t>享受残疾人福利性单位格折扣应提供以下证明材料（资格文件中，不提供的不享受价格折扣）</w:t>
      </w:r>
      <w:r>
        <w:rPr>
          <w:rFonts w:hint="eastAsia" w:ascii="宋体" w:hAnsi="宋体"/>
          <w:color w:val="auto"/>
          <w:kern w:val="0"/>
          <w:sz w:val="22"/>
        </w:rPr>
        <w:t>：</w:t>
      </w:r>
    </w:p>
    <w:p w14:paraId="3B0B1D3D">
      <w:pPr>
        <w:spacing w:line="440" w:lineRule="atLeast"/>
        <w:jc w:val="left"/>
        <w:rPr>
          <w:rFonts w:hint="eastAsia"/>
          <w:color w:val="auto"/>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）残疾人福利性单位声明函（加盖供应商公章，格式见附件2）。</w:t>
      </w:r>
    </w:p>
    <w:p w14:paraId="3A6669F1">
      <w:pPr>
        <w:spacing w:line="440" w:lineRule="atLeast"/>
        <w:rPr>
          <w:rFonts w:ascii="宋体" w:hAnsi="宋体"/>
          <w:color w:val="auto"/>
          <w:kern w:val="0"/>
          <w:sz w:val="22"/>
        </w:rPr>
      </w:pPr>
      <w:r>
        <w:rPr>
          <w:rFonts w:ascii="宋体" w:hAnsi="宋体"/>
          <w:color w:val="auto"/>
          <w:kern w:val="0"/>
          <w:sz w:val="22"/>
        </w:rPr>
        <w:br w:type="page"/>
      </w:r>
      <w:r>
        <w:rPr>
          <w:rFonts w:hint="eastAsia" w:ascii="宋体" w:hAnsi="宋体"/>
          <w:color w:val="auto"/>
          <w:kern w:val="0"/>
          <w:sz w:val="22"/>
        </w:rPr>
        <w:t>附件1：</w:t>
      </w:r>
    </w:p>
    <w:p w14:paraId="58224EC3">
      <w:pPr>
        <w:pStyle w:val="15"/>
        <w:spacing w:line="440" w:lineRule="exact"/>
        <w:jc w:val="center"/>
        <w:rPr>
          <w:rFonts w:ascii="宋体" w:hAnsi="宋体"/>
          <w:b/>
          <w:bCs/>
          <w:color w:val="auto"/>
          <w:sz w:val="24"/>
        </w:rPr>
      </w:pPr>
      <w:r>
        <w:rPr>
          <w:rFonts w:ascii="宋体" w:hAnsi="宋体"/>
          <w:b/>
          <w:bCs/>
          <w:color w:val="auto"/>
          <w:sz w:val="24"/>
        </w:rPr>
        <w:t>中小企业声明函（工程、服务）</w:t>
      </w:r>
    </w:p>
    <w:p w14:paraId="1DC0478C">
      <w:pPr>
        <w:pStyle w:val="15"/>
        <w:spacing w:before="5" w:line="440" w:lineRule="exact"/>
        <w:rPr>
          <w:rFonts w:ascii="宋体" w:hAnsi="宋体"/>
          <w:b/>
          <w:color w:val="auto"/>
          <w:sz w:val="22"/>
          <w:szCs w:val="22"/>
        </w:rPr>
      </w:pPr>
    </w:p>
    <w:p w14:paraId="0F7AD867">
      <w:pPr>
        <w:pStyle w:val="15"/>
        <w:spacing w:line="480" w:lineRule="exact"/>
        <w:ind w:right="-1" w:firstLine="440" w:firstLineChars="2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3C8C09B7">
      <w:pPr>
        <w:pStyle w:val="66"/>
        <w:tabs>
          <w:tab w:val="left" w:pos="1025"/>
        </w:tabs>
        <w:spacing w:line="480" w:lineRule="exact"/>
        <w:ind w:firstLine="440"/>
        <w:rPr>
          <w:rFonts w:ascii="宋体" w:hAnsi="宋体"/>
          <w:color w:val="auto"/>
          <w:sz w:val="22"/>
        </w:rPr>
      </w:pPr>
      <w:r>
        <w:rPr>
          <w:rFonts w:hint="eastAsia" w:ascii="宋体" w:hAnsi="宋体"/>
          <w:color w:val="auto"/>
          <w:sz w:val="22"/>
        </w:rPr>
        <w:t>1</w:t>
      </w:r>
      <w:r>
        <w:rPr>
          <w:rFonts w:ascii="宋体" w:hAnsi="宋体"/>
          <w:color w:val="auto"/>
          <w:sz w:val="22"/>
        </w:rPr>
        <w:t>.</w:t>
      </w:r>
      <w:r>
        <w:rPr>
          <w:rFonts w:ascii="宋体" w:hAnsi="宋体"/>
          <w:color w:val="auto"/>
          <w:sz w:val="22"/>
          <w:u w:val="single"/>
        </w:rPr>
        <w:t>（</w:t>
      </w:r>
      <w:r>
        <w:rPr>
          <w:rFonts w:hint="eastAsia" w:ascii="宋体" w:hAnsi="宋体"/>
          <w:color w:val="auto"/>
          <w:sz w:val="22"/>
          <w:u w:val="single"/>
          <w:lang w:eastAsia="zh-CN"/>
        </w:rPr>
        <w:t>学校配电房提升改造（2x630KVA配电工程（单电源））</w:t>
      </w:r>
      <w:r>
        <w:rPr>
          <w:rFonts w:ascii="宋体" w:hAnsi="宋体"/>
          <w:color w:val="auto"/>
          <w:sz w:val="22"/>
          <w:u w:val="single"/>
        </w:rPr>
        <w:t>）</w:t>
      </w:r>
      <w:r>
        <w:rPr>
          <w:rFonts w:ascii="宋体" w:hAnsi="宋体"/>
          <w:color w:val="auto"/>
          <w:sz w:val="22"/>
        </w:rPr>
        <w:t>，属于（</w:t>
      </w:r>
      <w:r>
        <w:rPr>
          <w:rFonts w:hint="eastAsia" w:ascii="宋体" w:hAnsi="宋体"/>
          <w:color w:val="auto"/>
          <w:sz w:val="22"/>
          <w:u w:val="single"/>
        </w:rPr>
        <w:t>建筑业</w:t>
      </w:r>
      <w:r>
        <w:rPr>
          <w:rFonts w:ascii="宋体" w:hAnsi="宋体"/>
          <w:color w:val="auto"/>
          <w:sz w:val="22"/>
        </w:rPr>
        <w:t>）；承建（承接）企业为</w:t>
      </w:r>
      <w:r>
        <w:rPr>
          <w:rFonts w:ascii="宋体" w:hAnsi="宋体"/>
          <w:color w:val="auto"/>
          <w:sz w:val="22"/>
          <w:u w:val="single"/>
        </w:rPr>
        <w:t>（企业名称）</w:t>
      </w:r>
      <w:r>
        <w:rPr>
          <w:rFonts w:ascii="宋体" w:hAnsi="宋体"/>
          <w:color w:val="auto"/>
          <w:sz w:val="22"/>
        </w:rPr>
        <w:t>，从业人员</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人，营业收入为</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万元，资产总额为</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万元，属于</w:t>
      </w:r>
      <w:r>
        <w:rPr>
          <w:rFonts w:ascii="宋体" w:hAnsi="宋体"/>
          <w:color w:val="auto"/>
          <w:sz w:val="22"/>
          <w:u w:val="single"/>
        </w:rPr>
        <w:t>（中型企业、小型企业、微型企业）</w:t>
      </w:r>
      <w:r>
        <w:rPr>
          <w:rFonts w:ascii="宋体" w:hAnsi="宋体"/>
          <w:color w:val="auto"/>
          <w:sz w:val="22"/>
        </w:rPr>
        <w:t>；</w:t>
      </w:r>
    </w:p>
    <w:p w14:paraId="45A6CDF6">
      <w:pPr>
        <w:pStyle w:val="66"/>
        <w:tabs>
          <w:tab w:val="left" w:pos="1243"/>
          <w:tab w:val="left" w:pos="1806"/>
          <w:tab w:val="left" w:pos="5005"/>
          <w:tab w:val="left" w:pos="7213"/>
        </w:tabs>
        <w:spacing w:line="480" w:lineRule="exact"/>
        <w:ind w:right="258" w:firstLine="440"/>
        <w:rPr>
          <w:rFonts w:ascii="宋体" w:hAnsi="宋体"/>
          <w:color w:val="auto"/>
          <w:sz w:val="22"/>
        </w:rPr>
      </w:pPr>
      <w:r>
        <w:rPr>
          <w:rFonts w:hint="eastAsia" w:ascii="宋体" w:hAnsi="宋体"/>
          <w:color w:val="auto"/>
          <w:sz w:val="22"/>
        </w:rPr>
        <w:t>2</w:t>
      </w:r>
      <w:r>
        <w:rPr>
          <w:rFonts w:ascii="宋体" w:hAnsi="宋体"/>
          <w:color w:val="auto"/>
          <w:sz w:val="22"/>
        </w:rPr>
        <w:t>.</w:t>
      </w:r>
      <w:r>
        <w:rPr>
          <w:rFonts w:ascii="宋体" w:hAnsi="宋体"/>
          <w:color w:val="auto"/>
          <w:sz w:val="22"/>
          <w:u w:val="single"/>
        </w:rPr>
        <w:t>（标的名称）</w:t>
      </w:r>
      <w:r>
        <w:rPr>
          <w:rFonts w:ascii="宋体" w:hAnsi="宋体"/>
          <w:color w:val="auto"/>
          <w:sz w:val="22"/>
        </w:rPr>
        <w:t>，属于</w:t>
      </w:r>
      <w:r>
        <w:rPr>
          <w:rFonts w:ascii="宋体" w:hAnsi="宋体"/>
          <w:color w:val="auto"/>
          <w:sz w:val="22"/>
          <w:u w:val="single"/>
        </w:rPr>
        <w:t>（采购文件中明确的所属行业）</w:t>
      </w:r>
      <w:r>
        <w:rPr>
          <w:rFonts w:ascii="宋体" w:hAnsi="宋体"/>
          <w:color w:val="auto"/>
          <w:sz w:val="22"/>
        </w:rPr>
        <w:t>；承建（承接）企业为</w:t>
      </w:r>
      <w:r>
        <w:rPr>
          <w:rFonts w:ascii="宋体" w:hAnsi="宋体"/>
          <w:color w:val="auto"/>
          <w:sz w:val="22"/>
          <w:u w:val="single"/>
        </w:rPr>
        <w:t>（企业名称）</w:t>
      </w:r>
      <w:r>
        <w:rPr>
          <w:rFonts w:ascii="宋体" w:hAnsi="宋体"/>
          <w:color w:val="auto"/>
          <w:sz w:val="22"/>
        </w:rPr>
        <w:t>，从业人员</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人，营业收入为</w:t>
      </w:r>
      <w:r>
        <w:rPr>
          <w:rFonts w:ascii="宋体" w:hAnsi="宋体"/>
          <w:color w:val="auto"/>
          <w:sz w:val="22"/>
          <w:u w:val="single"/>
        </w:rPr>
        <w:t xml:space="preserve"> </w:t>
      </w:r>
      <w:r>
        <w:rPr>
          <w:rFonts w:hint="eastAsia" w:ascii="宋体" w:hAnsi="宋体"/>
          <w:color w:val="auto"/>
          <w:sz w:val="22"/>
          <w:u w:val="single"/>
        </w:rPr>
        <w:t xml:space="preserve">  </w:t>
      </w:r>
      <w:r>
        <w:rPr>
          <w:rFonts w:ascii="宋体" w:hAnsi="宋体"/>
          <w:color w:val="auto"/>
          <w:sz w:val="22"/>
        </w:rPr>
        <w:t>万元，资产总额为</w:t>
      </w:r>
      <w:r>
        <w:rPr>
          <w:rFonts w:ascii="宋体" w:hAnsi="宋体"/>
          <w:color w:val="auto"/>
          <w:sz w:val="22"/>
          <w:u w:val="single"/>
        </w:rPr>
        <w:t xml:space="preserve">    </w:t>
      </w:r>
      <w:r>
        <w:rPr>
          <w:rFonts w:ascii="宋体" w:hAnsi="宋体"/>
          <w:color w:val="auto"/>
          <w:sz w:val="22"/>
        </w:rPr>
        <w:t>万元，属于</w:t>
      </w:r>
      <w:r>
        <w:rPr>
          <w:rFonts w:ascii="宋体" w:hAnsi="宋体"/>
          <w:color w:val="auto"/>
          <w:sz w:val="22"/>
          <w:u w:val="single"/>
        </w:rPr>
        <w:t>（中型企业、小型企业、微型企业）</w:t>
      </w:r>
      <w:r>
        <w:rPr>
          <w:rFonts w:ascii="宋体" w:hAnsi="宋体"/>
          <w:color w:val="auto"/>
          <w:sz w:val="22"/>
        </w:rPr>
        <w:t>；</w:t>
      </w:r>
    </w:p>
    <w:p w14:paraId="7761104E">
      <w:pPr>
        <w:pStyle w:val="15"/>
        <w:spacing w:before="11" w:line="480" w:lineRule="exact"/>
        <w:ind w:left="860"/>
        <w:rPr>
          <w:rFonts w:ascii="宋体" w:hAnsi="宋体"/>
          <w:color w:val="auto"/>
          <w:sz w:val="22"/>
          <w:szCs w:val="22"/>
        </w:rPr>
      </w:pPr>
      <w:r>
        <w:rPr>
          <w:rFonts w:ascii="宋体" w:hAnsi="宋体"/>
          <w:color w:val="auto"/>
          <w:sz w:val="22"/>
          <w:szCs w:val="22"/>
        </w:rPr>
        <w:t>……</w:t>
      </w:r>
    </w:p>
    <w:p w14:paraId="5B74F2B3">
      <w:pPr>
        <w:pStyle w:val="15"/>
        <w:spacing w:before="108"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14:paraId="1B9FE9C9">
      <w:pPr>
        <w:pStyle w:val="15"/>
        <w:spacing w:line="480" w:lineRule="exact"/>
        <w:ind w:right="375" w:firstLine="860"/>
        <w:rPr>
          <w:rFonts w:ascii="宋体" w:hAnsi="宋体"/>
          <w:color w:val="auto"/>
          <w:sz w:val="22"/>
          <w:szCs w:val="22"/>
        </w:rPr>
      </w:pPr>
      <w:r>
        <w:rPr>
          <w:rFonts w:ascii="宋体" w:hAnsi="宋体"/>
          <w:color w:val="auto"/>
          <w:sz w:val="22"/>
          <w:szCs w:val="22"/>
        </w:rPr>
        <w:t>本企业对上述声明内容的真实性负责。如有虚假，将依法承担相应责任。</w:t>
      </w:r>
    </w:p>
    <w:p w14:paraId="3CD76481">
      <w:pPr>
        <w:pStyle w:val="15"/>
        <w:spacing w:before="29" w:line="480" w:lineRule="exact"/>
        <w:ind w:left="4060" w:right="2166"/>
        <w:rPr>
          <w:rFonts w:ascii="宋体" w:hAnsi="宋体"/>
          <w:color w:val="auto"/>
          <w:sz w:val="22"/>
          <w:szCs w:val="22"/>
        </w:rPr>
      </w:pPr>
    </w:p>
    <w:p w14:paraId="2237C498">
      <w:pPr>
        <w:pStyle w:val="15"/>
        <w:spacing w:before="29" w:line="480" w:lineRule="exact"/>
        <w:ind w:left="4060" w:right="2166"/>
        <w:rPr>
          <w:rFonts w:ascii="宋体" w:hAnsi="宋体"/>
          <w:color w:val="auto"/>
          <w:sz w:val="22"/>
          <w:szCs w:val="22"/>
        </w:rPr>
      </w:pPr>
      <w:r>
        <w:rPr>
          <w:rFonts w:ascii="宋体" w:hAnsi="宋体"/>
          <w:color w:val="auto"/>
          <w:sz w:val="22"/>
          <w:szCs w:val="22"/>
        </w:rPr>
        <w:t>企业名称（盖章）：</w:t>
      </w:r>
    </w:p>
    <w:p w14:paraId="548C9641">
      <w:pPr>
        <w:pStyle w:val="15"/>
        <w:spacing w:before="29" w:line="480" w:lineRule="exact"/>
        <w:ind w:left="4060" w:right="2166"/>
        <w:rPr>
          <w:rFonts w:ascii="宋体" w:hAnsi="宋体"/>
          <w:color w:val="auto"/>
          <w:sz w:val="22"/>
          <w:szCs w:val="22"/>
        </w:rPr>
      </w:pPr>
      <w:r>
        <w:rPr>
          <w:rFonts w:ascii="宋体" w:hAnsi="宋体"/>
          <w:color w:val="auto"/>
          <w:sz w:val="22"/>
          <w:szCs w:val="22"/>
        </w:rPr>
        <w:t>日期：</w:t>
      </w:r>
    </w:p>
    <w:p w14:paraId="6381E09C">
      <w:pPr>
        <w:pStyle w:val="32"/>
        <w:shd w:val="clear" w:color="auto" w:fill="FFFFFF"/>
        <w:spacing w:before="0" w:after="240" w:line="480" w:lineRule="exact"/>
        <w:rPr>
          <w:rFonts w:ascii="Arial" w:hAnsi="Arial" w:cs="Arial"/>
          <w:color w:val="auto"/>
          <w:sz w:val="22"/>
          <w:szCs w:val="22"/>
        </w:rPr>
      </w:pPr>
    </w:p>
    <w:p w14:paraId="162A7A8A">
      <w:pPr>
        <w:pStyle w:val="32"/>
        <w:shd w:val="clear" w:color="auto" w:fill="FFFFFF"/>
        <w:spacing w:before="0" w:after="240" w:line="480" w:lineRule="exact"/>
        <w:rPr>
          <w:rFonts w:ascii="Arial" w:hAnsi="Arial" w:cs="Arial"/>
          <w:color w:val="auto"/>
          <w:szCs w:val="21"/>
        </w:rPr>
      </w:pPr>
    </w:p>
    <w:p w14:paraId="6A669BC3">
      <w:pPr>
        <w:pStyle w:val="32"/>
        <w:shd w:val="clear" w:color="auto" w:fill="FFFFFF"/>
        <w:spacing w:before="0" w:after="240" w:line="480" w:lineRule="exact"/>
        <w:rPr>
          <w:rFonts w:ascii="Arial" w:hAnsi="Arial" w:cs="Arial"/>
          <w:color w:val="auto"/>
          <w:szCs w:val="21"/>
        </w:rPr>
      </w:pPr>
    </w:p>
    <w:p w14:paraId="45115959">
      <w:pPr>
        <w:pStyle w:val="32"/>
        <w:shd w:val="clear" w:color="auto" w:fill="FFFFFF"/>
        <w:spacing w:before="0" w:after="240" w:line="480" w:lineRule="exact"/>
        <w:rPr>
          <w:rFonts w:ascii="Arial" w:hAnsi="Arial" w:cs="Arial"/>
          <w:color w:val="auto"/>
          <w:szCs w:val="21"/>
        </w:rPr>
      </w:pPr>
    </w:p>
    <w:p w14:paraId="3A734F4E">
      <w:pPr>
        <w:spacing w:line="440" w:lineRule="exact"/>
        <w:rPr>
          <w:rFonts w:hint="eastAsia" w:ascii="宋体" w:hAnsi="宋体"/>
          <w:color w:val="auto"/>
        </w:rPr>
      </w:pPr>
      <w:r>
        <w:rPr>
          <w:rFonts w:hint="eastAsia" w:ascii="宋体" w:hAnsi="宋体"/>
          <w:color w:val="auto"/>
        </w:rPr>
        <w:t>说明：</w:t>
      </w:r>
    </w:p>
    <w:p w14:paraId="59CE3C02">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14:paraId="7882FFC8">
      <w:pPr>
        <w:spacing w:line="440" w:lineRule="exact"/>
        <w:rPr>
          <w:rFonts w:hint="eastAsia" w:ascii="宋体" w:hAnsi="宋体"/>
          <w:color w:val="auto"/>
          <w:kern w:val="0"/>
          <w:sz w:val="22"/>
        </w:rPr>
      </w:pPr>
    </w:p>
    <w:p w14:paraId="77EEFE3D">
      <w:pPr>
        <w:spacing w:line="440" w:lineRule="exact"/>
        <w:rPr>
          <w:rFonts w:hint="eastAsia" w:ascii="宋体" w:hAnsi="宋体"/>
          <w:color w:val="auto"/>
          <w:kern w:val="0"/>
          <w:sz w:val="22"/>
        </w:rPr>
      </w:pPr>
    </w:p>
    <w:p w14:paraId="52FBF86A">
      <w:pPr>
        <w:spacing w:line="440" w:lineRule="exact"/>
        <w:rPr>
          <w:rFonts w:ascii="宋体" w:hAnsi="宋体"/>
          <w:color w:val="auto"/>
          <w:kern w:val="0"/>
          <w:sz w:val="22"/>
        </w:rPr>
      </w:pPr>
      <w:r>
        <w:rPr>
          <w:rFonts w:hint="eastAsia" w:ascii="宋体" w:hAnsi="宋体"/>
          <w:color w:val="auto"/>
          <w:kern w:val="0"/>
          <w:sz w:val="22"/>
        </w:rPr>
        <w:t>附件2：</w:t>
      </w:r>
    </w:p>
    <w:p w14:paraId="52C80016">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14:paraId="7CDA5729">
      <w:pPr>
        <w:spacing w:line="588" w:lineRule="exact"/>
        <w:rPr>
          <w:rFonts w:ascii="新宋体" w:hAnsi="新宋体" w:eastAsia="新宋体"/>
          <w:b/>
          <w:color w:val="auto"/>
          <w:spacing w:val="6"/>
          <w:sz w:val="30"/>
          <w:szCs w:val="30"/>
        </w:rPr>
      </w:pPr>
    </w:p>
    <w:p w14:paraId="5839D5F8">
      <w:pPr>
        <w:spacing w:line="588"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单位的</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项目（编号：</w:t>
      </w:r>
      <w:r>
        <w:rPr>
          <w:rFonts w:ascii="宋体" w:hAnsi="宋体"/>
          <w:color w:val="auto"/>
          <w:u w:val="single"/>
        </w:rPr>
        <w:t xml:space="preserve"> </w:t>
      </w:r>
      <w:r>
        <w:rPr>
          <w:rFonts w:ascii="宋体" w:hAnsi="宋体"/>
          <w:color w:val="auto"/>
          <w:u w:val="single"/>
        </w:rPr>
        <w:tab/>
      </w:r>
      <w:r>
        <w:rPr>
          <w:rFonts w:hint="eastAsia" w:ascii="宋体" w:hAnsi="宋体"/>
          <w:color w:val="auto"/>
          <w:u w:val="single"/>
        </w:rPr>
        <w:t xml:space="preserve">     </w:t>
      </w:r>
      <w:r>
        <w:rPr>
          <w:rFonts w:hint="eastAsia" w:ascii="宋体" w:hAnsi="宋体" w:cs="宋体"/>
          <w:color w:val="auto"/>
          <w:kern w:val="0"/>
          <w:sz w:val="22"/>
          <w:szCs w:val="22"/>
        </w:rPr>
        <w:t>）采购活动提供本单位制造的货物，或者提供其他残疾人福利性单位制造的货物（不包括使用非残疾人福利性单位注册商标的货物）。</w:t>
      </w:r>
    </w:p>
    <w:p w14:paraId="401FCFB9">
      <w:pPr>
        <w:spacing w:line="588"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本单位对上述声明的真实性负责。如有虚假，将依法承担相应责任。</w:t>
      </w:r>
    </w:p>
    <w:p w14:paraId="7204C617">
      <w:pPr>
        <w:spacing w:line="588" w:lineRule="exact"/>
        <w:ind w:firstLine="440" w:firstLineChars="200"/>
        <w:rPr>
          <w:rFonts w:ascii="宋体" w:hAnsi="宋体" w:cs="宋体"/>
          <w:color w:val="auto"/>
          <w:kern w:val="0"/>
          <w:sz w:val="22"/>
          <w:szCs w:val="22"/>
        </w:rPr>
      </w:pPr>
    </w:p>
    <w:p w14:paraId="11DC5B69">
      <w:pPr>
        <w:spacing w:line="588" w:lineRule="exact"/>
        <w:ind w:firstLine="440" w:firstLineChars="200"/>
        <w:rPr>
          <w:rFonts w:ascii="宋体" w:hAnsi="宋体" w:cs="宋体"/>
          <w:color w:val="auto"/>
          <w:kern w:val="0"/>
          <w:sz w:val="22"/>
          <w:szCs w:val="22"/>
        </w:rPr>
      </w:pPr>
    </w:p>
    <w:p w14:paraId="3F652329">
      <w:pPr>
        <w:tabs>
          <w:tab w:val="left" w:pos="4860"/>
        </w:tabs>
        <w:spacing w:line="588" w:lineRule="exact"/>
        <w:ind w:right="1560" w:firstLine="440" w:firstLineChars="200"/>
        <w:jc w:val="center"/>
        <w:rPr>
          <w:rFonts w:ascii="宋体" w:hAnsi="宋体" w:cs="宋体"/>
          <w:color w:val="auto"/>
          <w:kern w:val="0"/>
          <w:sz w:val="22"/>
          <w:szCs w:val="22"/>
        </w:rPr>
      </w:pPr>
      <w:r>
        <w:rPr>
          <w:rFonts w:hint="eastAsia" w:ascii="宋体" w:hAnsi="宋体" w:cs="宋体"/>
          <w:color w:val="auto"/>
          <w:kern w:val="0"/>
          <w:sz w:val="22"/>
          <w:szCs w:val="22"/>
        </w:rPr>
        <w:t xml:space="preserve">                                  供应商名称（盖章）：</w:t>
      </w:r>
    </w:p>
    <w:p w14:paraId="0EBB37F5">
      <w:pPr>
        <w:widowControl/>
        <w:adjustRightInd w:val="0"/>
        <w:snapToGrid w:val="0"/>
        <w:spacing w:line="40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 xml:space="preserve">                                    </w:t>
      </w:r>
      <w:r>
        <w:rPr>
          <w:rFonts w:ascii="宋体" w:hAnsi="宋体" w:cs="宋体"/>
          <w:color w:val="auto"/>
          <w:kern w:val="0"/>
          <w:sz w:val="22"/>
          <w:szCs w:val="22"/>
        </w:rPr>
        <w:t xml:space="preserve"> </w:t>
      </w:r>
      <w:r>
        <w:rPr>
          <w:rFonts w:hint="eastAsia" w:ascii="宋体" w:hAnsi="宋体" w:cs="宋体"/>
          <w:color w:val="auto"/>
          <w:kern w:val="0"/>
          <w:sz w:val="22"/>
          <w:szCs w:val="22"/>
        </w:rPr>
        <w:t xml:space="preserve">        日  期：  </w:t>
      </w:r>
      <w:r>
        <w:rPr>
          <w:rFonts w:ascii="宋体" w:hAnsi="宋体" w:cs="宋体"/>
          <w:color w:val="auto"/>
          <w:kern w:val="0"/>
          <w:sz w:val="22"/>
          <w:szCs w:val="22"/>
        </w:rPr>
        <w:t xml:space="preserve">  </w:t>
      </w:r>
      <w:r>
        <w:rPr>
          <w:rFonts w:hint="eastAsia" w:ascii="宋体" w:hAnsi="宋体" w:cs="宋体"/>
          <w:color w:val="auto"/>
          <w:kern w:val="0"/>
          <w:sz w:val="22"/>
          <w:szCs w:val="22"/>
        </w:rPr>
        <w:t xml:space="preserve">  年 </w:t>
      </w:r>
      <w:r>
        <w:rPr>
          <w:rFonts w:ascii="宋体" w:hAnsi="宋体" w:cs="宋体"/>
          <w:color w:val="auto"/>
          <w:kern w:val="0"/>
          <w:sz w:val="22"/>
          <w:szCs w:val="22"/>
        </w:rPr>
        <w:t xml:space="preserve">  </w:t>
      </w:r>
      <w:r>
        <w:rPr>
          <w:rFonts w:hint="eastAsia" w:ascii="宋体" w:hAnsi="宋体" w:cs="宋体"/>
          <w:color w:val="auto"/>
          <w:kern w:val="0"/>
          <w:sz w:val="22"/>
          <w:szCs w:val="22"/>
        </w:rPr>
        <w:t xml:space="preserve"> 月 </w:t>
      </w:r>
      <w:r>
        <w:rPr>
          <w:rFonts w:ascii="宋体" w:hAnsi="宋体" w:cs="宋体"/>
          <w:color w:val="auto"/>
          <w:kern w:val="0"/>
          <w:sz w:val="22"/>
          <w:szCs w:val="22"/>
        </w:rPr>
        <w:t xml:space="preserve">   </w:t>
      </w:r>
      <w:r>
        <w:rPr>
          <w:rFonts w:hint="eastAsia" w:ascii="宋体" w:hAnsi="宋体" w:cs="宋体"/>
          <w:color w:val="auto"/>
          <w:kern w:val="0"/>
          <w:sz w:val="22"/>
          <w:szCs w:val="22"/>
        </w:rPr>
        <w:t xml:space="preserve"> 日</w:t>
      </w:r>
    </w:p>
    <w:p w14:paraId="21C0FC28">
      <w:pPr>
        <w:pStyle w:val="15"/>
        <w:rPr>
          <w:color w:val="auto"/>
        </w:rPr>
      </w:pPr>
    </w:p>
    <w:p w14:paraId="1B36BEA4">
      <w:pPr>
        <w:pStyle w:val="15"/>
        <w:rPr>
          <w:rFonts w:hint="eastAsia"/>
          <w:color w:val="auto"/>
        </w:rPr>
      </w:pPr>
    </w:p>
    <w:p w14:paraId="14D67413">
      <w:pPr>
        <w:spacing w:line="588" w:lineRule="exact"/>
        <w:rPr>
          <w:rFonts w:ascii="宋体" w:hAnsi="宋体" w:cs="宋体"/>
          <w:color w:val="auto"/>
          <w:kern w:val="0"/>
          <w:sz w:val="22"/>
          <w:szCs w:val="22"/>
        </w:rPr>
      </w:pPr>
      <w:r>
        <w:rPr>
          <w:rFonts w:hint="eastAsia" w:ascii="宋体" w:hAnsi="宋体" w:cs="宋体"/>
          <w:color w:val="auto"/>
          <w:kern w:val="0"/>
          <w:sz w:val="22"/>
          <w:szCs w:val="22"/>
        </w:rPr>
        <w:t>备注说明：</w:t>
      </w:r>
    </w:p>
    <w:p w14:paraId="7E22AEF4">
      <w:pPr>
        <w:spacing w:line="588"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1、如中标，将在中标公告中将此残疾人福利性单位声明函予以公示，接受社会监督；</w:t>
      </w:r>
    </w:p>
    <w:p w14:paraId="508C0AB9">
      <w:pPr>
        <w:spacing w:line="588" w:lineRule="exact"/>
        <w:ind w:firstLine="440" w:firstLineChars="200"/>
        <w:rPr>
          <w:rFonts w:ascii="宋体" w:hAnsi="宋体" w:cs="宋体"/>
          <w:color w:val="auto"/>
          <w:kern w:val="0"/>
          <w:sz w:val="22"/>
          <w:szCs w:val="22"/>
        </w:rPr>
      </w:pPr>
      <w:r>
        <w:rPr>
          <w:rFonts w:ascii="宋体" w:hAnsi="宋体" w:cs="宋体"/>
          <w:color w:val="auto"/>
          <w:kern w:val="0"/>
          <w:sz w:val="22"/>
          <w:szCs w:val="22"/>
        </w:rPr>
        <w:t>2</w:t>
      </w:r>
      <w:r>
        <w:rPr>
          <w:rFonts w:hint="eastAsia" w:ascii="宋体" w:hAnsi="宋体" w:cs="宋体"/>
          <w:color w:val="auto"/>
          <w:kern w:val="0"/>
          <w:sz w:val="22"/>
          <w:szCs w:val="22"/>
        </w:rPr>
        <w:t>、供应商提供的《残疾人福利性单位声明函》与事实不符的，依照《政府采购法》第七十七条第一款的规定追究法律责任。</w:t>
      </w:r>
    </w:p>
    <w:p w14:paraId="1365B7D1">
      <w:pPr>
        <w:pStyle w:val="15"/>
        <w:rPr>
          <w:color w:val="auto"/>
        </w:rPr>
      </w:pPr>
    </w:p>
    <w:p w14:paraId="7CAA2327">
      <w:pPr>
        <w:pStyle w:val="15"/>
        <w:rPr>
          <w:color w:val="auto"/>
        </w:rPr>
      </w:pPr>
    </w:p>
    <w:p w14:paraId="79720592">
      <w:pPr>
        <w:pStyle w:val="15"/>
        <w:rPr>
          <w:rFonts w:hint="eastAsia"/>
          <w:color w:val="auto"/>
        </w:rPr>
      </w:pPr>
    </w:p>
    <w:p w14:paraId="4A3E5BC5">
      <w:pPr>
        <w:spacing w:line="440" w:lineRule="exact"/>
        <w:ind w:left="708" w:hanging="708" w:hangingChars="294"/>
        <w:jc w:val="center"/>
        <w:rPr>
          <w:rFonts w:hint="eastAsia"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14:paraId="1F6ADC80">
      <w:pPr>
        <w:spacing w:line="440" w:lineRule="exact"/>
        <w:rPr>
          <w:rFonts w:hint="eastAsia" w:ascii="宋体" w:hAnsi="宋体" w:cs="宋体"/>
          <w:color w:val="auto"/>
          <w:sz w:val="22"/>
          <w:szCs w:val="22"/>
        </w:rPr>
      </w:pPr>
      <w:r>
        <w:rPr>
          <w:rFonts w:hint="eastAsia" w:ascii="宋体" w:hAnsi="宋体" w:cs="宋体"/>
          <w:color w:val="auto"/>
          <w:sz w:val="22"/>
          <w:szCs w:val="22"/>
        </w:rPr>
        <w:t>1、政策依据</w:t>
      </w:r>
    </w:p>
    <w:p w14:paraId="67D5914D">
      <w:pPr>
        <w:spacing w:line="440" w:lineRule="exact"/>
        <w:rPr>
          <w:rFonts w:hint="eastAsia"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14:paraId="5D6593C3">
      <w:pPr>
        <w:spacing w:line="440" w:lineRule="exact"/>
        <w:rPr>
          <w:rFonts w:hint="eastAsia"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14:paraId="12C27686">
      <w:pPr>
        <w:spacing w:line="440" w:lineRule="exact"/>
        <w:rPr>
          <w:rFonts w:hint="eastAsia"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14:paraId="64D58EE2">
      <w:pPr>
        <w:spacing w:line="440" w:lineRule="exact"/>
        <w:rPr>
          <w:rFonts w:hint="eastAsia"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14:paraId="5F03ADC6">
      <w:pPr>
        <w:spacing w:line="440" w:lineRule="exact"/>
        <w:rPr>
          <w:rFonts w:hint="eastAsia"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14:paraId="31D431CA">
      <w:pPr>
        <w:spacing w:line="440" w:lineRule="exact"/>
        <w:rPr>
          <w:rFonts w:hint="eastAsia"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14:paraId="21D6AB82">
      <w:pPr>
        <w:spacing w:line="440" w:lineRule="exact"/>
        <w:rPr>
          <w:rFonts w:hint="eastAsia"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14:paraId="717D036A">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14:paraId="2E2F753A">
      <w:pPr>
        <w:pStyle w:val="15"/>
        <w:rPr>
          <w:color w:val="auto"/>
        </w:rPr>
      </w:pPr>
    </w:p>
    <w:p w14:paraId="187C682D">
      <w:pPr>
        <w:spacing w:line="380" w:lineRule="exact"/>
        <w:jc w:val="left"/>
        <w:rPr>
          <w:rFonts w:ascii="宋体" w:hAnsi="宋体"/>
          <w:color w:val="auto"/>
          <w:kern w:val="0"/>
          <w:sz w:val="22"/>
        </w:rPr>
      </w:pPr>
      <w:r>
        <w:rPr>
          <w:color w:val="auto"/>
        </w:rPr>
        <w:br w:type="page"/>
      </w:r>
      <w:r>
        <w:rPr>
          <w:rFonts w:hint="eastAsia" w:ascii="宋体" w:hAnsi="宋体"/>
          <w:color w:val="auto"/>
          <w:kern w:val="0"/>
          <w:sz w:val="22"/>
        </w:rPr>
        <w:t>附件2：</w:t>
      </w:r>
    </w:p>
    <w:p w14:paraId="4509C4F5">
      <w:pPr>
        <w:spacing w:line="360" w:lineRule="auto"/>
        <w:jc w:val="center"/>
        <w:rPr>
          <w:rFonts w:ascii="宋体" w:hAnsi="宋体"/>
          <w:b/>
          <w:bCs/>
          <w:color w:val="auto"/>
          <w:kern w:val="0"/>
          <w:sz w:val="24"/>
        </w:rPr>
      </w:pPr>
      <w:r>
        <w:rPr>
          <w:rFonts w:hint="eastAsia" w:ascii="宋体" w:hAnsi="宋体"/>
          <w:b/>
          <w:bCs/>
          <w:color w:val="auto"/>
          <w:kern w:val="0"/>
          <w:sz w:val="24"/>
        </w:rPr>
        <w:t>节能环保产品声明函</w:t>
      </w:r>
    </w:p>
    <w:p w14:paraId="0E72894F">
      <w:pPr>
        <w:autoSpaceDE w:val="0"/>
        <w:autoSpaceDN w:val="0"/>
        <w:adjustRightInd w:val="0"/>
        <w:spacing w:line="460" w:lineRule="atLeast"/>
        <w:jc w:val="center"/>
        <w:rPr>
          <w:rFonts w:ascii="宋体" w:hAnsi="宋体"/>
          <w:color w:val="auto"/>
          <w:kern w:val="0"/>
          <w:sz w:val="36"/>
          <w:szCs w:val="20"/>
          <w:lang w:val="zh-CN"/>
        </w:rPr>
      </w:pPr>
      <w:r>
        <w:rPr>
          <w:rFonts w:hint="eastAsia" w:ascii="宋体" w:hAnsi="宋体"/>
          <w:color w:val="auto"/>
          <w:kern w:val="0"/>
          <w:sz w:val="22"/>
        </w:rPr>
        <w:t>（如有则提供）</w:t>
      </w:r>
    </w:p>
    <w:p w14:paraId="09B48D63">
      <w:pPr>
        <w:spacing w:line="460" w:lineRule="atLeast"/>
        <w:ind w:firstLine="440" w:firstLineChars="200"/>
        <w:rPr>
          <w:rFonts w:ascii="宋体" w:hAnsi="宋体"/>
          <w:color w:val="auto"/>
          <w:kern w:val="0"/>
          <w:sz w:val="22"/>
        </w:rPr>
      </w:pPr>
      <w:r>
        <w:rPr>
          <w:rFonts w:hint="eastAsia" w:ascii="宋体" w:hAnsi="宋体"/>
          <w:color w:val="auto"/>
          <w:kern w:val="0"/>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kern w:val="0"/>
          <w:sz w:val="22"/>
        </w:rPr>
        <w:t>2019〕9号）</w:t>
      </w:r>
      <w:r>
        <w:rPr>
          <w:rFonts w:hint="eastAsia" w:ascii="宋体" w:hAnsi="宋体"/>
          <w:color w:val="auto"/>
          <w:kern w:val="0"/>
          <w:sz w:val="22"/>
        </w:rPr>
        <w:t>、《关于印发节能产品政府采购品目清单的通知》（财库〔</w:t>
      </w:r>
      <w:r>
        <w:rPr>
          <w:rFonts w:ascii="宋体" w:hAnsi="宋体"/>
          <w:color w:val="auto"/>
          <w:kern w:val="0"/>
          <w:sz w:val="22"/>
        </w:rPr>
        <w:t>2019〕19号）</w:t>
      </w:r>
      <w:r>
        <w:rPr>
          <w:rFonts w:hint="eastAsia" w:ascii="宋体" w:hAnsi="宋体"/>
          <w:color w:val="auto"/>
          <w:kern w:val="0"/>
          <w:sz w:val="22"/>
        </w:rPr>
        <w:t>、《关于印发环境标志产品政府采购品目清单的通知》（财库〔</w:t>
      </w:r>
      <w:r>
        <w:rPr>
          <w:rFonts w:ascii="宋体" w:hAnsi="宋体"/>
          <w:color w:val="auto"/>
          <w:kern w:val="0"/>
          <w:sz w:val="22"/>
        </w:rPr>
        <w:t>2019〕18号）</w:t>
      </w:r>
      <w:r>
        <w:rPr>
          <w:rFonts w:hint="eastAsia" w:ascii="宋体" w:hAnsi="宋体"/>
          <w:color w:val="auto"/>
          <w:kern w:val="0"/>
          <w:sz w:val="22"/>
        </w:rPr>
        <w:t>的规定，本公司声明如下：</w:t>
      </w:r>
    </w:p>
    <w:p w14:paraId="5FE4F1F6">
      <w:pPr>
        <w:spacing w:line="460" w:lineRule="atLeast"/>
        <w:ind w:firstLine="440" w:firstLineChars="200"/>
        <w:rPr>
          <w:rFonts w:ascii="宋体" w:hAnsi="宋体"/>
          <w:color w:val="auto"/>
          <w:kern w:val="0"/>
          <w:sz w:val="22"/>
        </w:rPr>
      </w:pPr>
      <w:r>
        <w:rPr>
          <w:rFonts w:hint="eastAsia" w:ascii="宋体" w:hAnsi="宋体"/>
          <w:color w:val="auto"/>
          <w:kern w:val="0"/>
          <w:sz w:val="22"/>
        </w:rPr>
        <w:t>1.本公司参加</w:t>
      </w:r>
      <w:r>
        <w:rPr>
          <w:rFonts w:hint="eastAsia" w:ascii="宋体" w:hAnsi="宋体"/>
          <w:color w:val="auto"/>
          <w:kern w:val="0"/>
          <w:sz w:val="22"/>
          <w:u w:val="single"/>
        </w:rPr>
        <w:t>（采购项目名称，项目编号）</w:t>
      </w:r>
      <w:r>
        <w:rPr>
          <w:rFonts w:hint="eastAsia" w:ascii="宋体" w:hAnsi="宋体"/>
          <w:color w:val="auto"/>
          <w:kern w:val="0"/>
          <w:sz w:val="22"/>
        </w:rPr>
        <w:t>的采购活动提供的产品已列入《节能产品政府采购品目清单》。</w:t>
      </w:r>
    </w:p>
    <w:p w14:paraId="0FB697FC">
      <w:pPr>
        <w:spacing w:line="460" w:lineRule="atLeast"/>
        <w:ind w:firstLine="440" w:firstLineChars="200"/>
        <w:rPr>
          <w:rFonts w:ascii="宋体" w:hAnsi="宋体"/>
          <w:color w:val="auto"/>
          <w:kern w:val="0"/>
          <w:sz w:val="22"/>
        </w:rPr>
      </w:pPr>
      <w:r>
        <w:rPr>
          <w:rFonts w:hint="eastAsia" w:ascii="宋体" w:hAnsi="宋体"/>
          <w:color w:val="auto"/>
          <w:kern w:val="0"/>
          <w:sz w:val="22"/>
        </w:rPr>
        <w:t>2.本公司参加</w:t>
      </w:r>
      <w:r>
        <w:rPr>
          <w:rFonts w:hint="eastAsia" w:ascii="宋体" w:hAnsi="宋体"/>
          <w:color w:val="auto"/>
          <w:kern w:val="0"/>
          <w:sz w:val="22"/>
          <w:u w:val="single"/>
        </w:rPr>
        <w:t>（采购项目名称，项目编号）</w:t>
      </w:r>
      <w:r>
        <w:rPr>
          <w:rFonts w:hint="eastAsia" w:ascii="宋体" w:hAnsi="宋体"/>
          <w:color w:val="auto"/>
          <w:kern w:val="0"/>
          <w:sz w:val="22"/>
        </w:rPr>
        <w:t>的采购活动提供的产品已列入《环境标志产品政府采购品目清单》。</w:t>
      </w:r>
    </w:p>
    <w:p w14:paraId="241CE045">
      <w:pPr>
        <w:spacing w:line="460" w:lineRule="atLeast"/>
        <w:ind w:firstLine="440" w:firstLineChars="200"/>
        <w:rPr>
          <w:rFonts w:ascii="宋体" w:hAnsi="宋体"/>
          <w:color w:val="auto"/>
          <w:kern w:val="0"/>
          <w:sz w:val="22"/>
        </w:rPr>
      </w:pPr>
      <w:r>
        <w:rPr>
          <w:rFonts w:hint="eastAsia" w:ascii="宋体" w:hAnsi="宋体"/>
          <w:color w:val="auto"/>
          <w:kern w:val="0"/>
          <w:sz w:val="22"/>
        </w:rPr>
        <w:t>本公司对上述声明的真实性负责。如有虚假，将依法承担相应法律责任。</w:t>
      </w:r>
    </w:p>
    <w:p w14:paraId="7E0425C1">
      <w:pPr>
        <w:spacing w:line="460" w:lineRule="atLeast"/>
        <w:rPr>
          <w:rFonts w:ascii="宋体" w:hAnsi="宋体"/>
          <w:color w:val="auto"/>
          <w:kern w:val="0"/>
          <w:sz w:val="22"/>
        </w:rPr>
      </w:pPr>
    </w:p>
    <w:p w14:paraId="6740F210">
      <w:pPr>
        <w:pStyle w:val="15"/>
        <w:rPr>
          <w:rFonts w:hint="eastAsia"/>
          <w:color w:val="auto"/>
        </w:rPr>
      </w:pPr>
    </w:p>
    <w:p w14:paraId="30E1E770">
      <w:pPr>
        <w:autoSpaceDE w:val="0"/>
        <w:autoSpaceDN w:val="0"/>
        <w:adjustRightInd w:val="0"/>
        <w:spacing w:line="460" w:lineRule="atLeast"/>
        <w:rPr>
          <w:rFonts w:ascii="宋体" w:hAnsi="宋体" w:cs="Arial"/>
          <w:color w:val="auto"/>
          <w:kern w:val="0"/>
          <w:sz w:val="22"/>
          <w:szCs w:val="20"/>
          <w:lang w:val="zh-CN"/>
        </w:rPr>
      </w:pPr>
      <w:r>
        <w:rPr>
          <w:rFonts w:hint="eastAsia" w:ascii="宋体" w:hAnsi="宋体" w:cs="Arial"/>
          <w:color w:val="auto"/>
          <w:kern w:val="0"/>
          <w:sz w:val="22"/>
          <w:szCs w:val="20"/>
        </w:rPr>
        <w:t>磋商</w:t>
      </w:r>
      <w:r>
        <w:rPr>
          <w:rFonts w:hint="eastAsia" w:ascii="宋体" w:hAnsi="宋体" w:cs="Arial"/>
          <w:color w:val="auto"/>
          <w:kern w:val="0"/>
          <w:sz w:val="22"/>
          <w:szCs w:val="20"/>
          <w:lang w:val="zh-CN"/>
        </w:rPr>
        <w:t xml:space="preserve">供应商盖章：        </w:t>
      </w:r>
    </w:p>
    <w:p w14:paraId="77B3D6C6">
      <w:pPr>
        <w:spacing w:line="460" w:lineRule="atLeast"/>
        <w:rPr>
          <w:rFonts w:ascii="宋体" w:hAnsi="宋体"/>
          <w:color w:val="auto"/>
          <w:kern w:val="0"/>
          <w:sz w:val="28"/>
          <w:szCs w:val="28"/>
        </w:rPr>
      </w:pPr>
      <w:r>
        <w:rPr>
          <w:rFonts w:hint="eastAsia" w:ascii="宋体" w:hAnsi="宋体"/>
          <w:color w:val="auto"/>
          <w:kern w:val="0"/>
          <w:sz w:val="22"/>
        </w:rPr>
        <w:t xml:space="preserve">日 期：                  </w:t>
      </w:r>
    </w:p>
    <w:p w14:paraId="237FEBEB">
      <w:pPr>
        <w:spacing w:line="380" w:lineRule="exact"/>
        <w:jc w:val="left"/>
        <w:rPr>
          <w:rFonts w:ascii="宋体" w:hAnsi="宋体"/>
          <w:color w:val="auto"/>
          <w:kern w:val="0"/>
          <w:sz w:val="22"/>
        </w:rPr>
      </w:pPr>
      <w:r>
        <w:rPr>
          <w:rFonts w:ascii="宋体" w:hAnsi="宋体"/>
          <w:color w:val="auto"/>
          <w:kern w:val="0"/>
          <w:sz w:val="28"/>
          <w:szCs w:val="28"/>
        </w:rPr>
        <w:br w:type="page"/>
      </w:r>
      <w:r>
        <w:rPr>
          <w:rFonts w:hint="eastAsia" w:ascii="宋体" w:hAnsi="宋体"/>
          <w:color w:val="auto"/>
          <w:kern w:val="0"/>
          <w:sz w:val="22"/>
        </w:rPr>
        <w:t>附件</w:t>
      </w:r>
      <w:r>
        <w:rPr>
          <w:rFonts w:ascii="宋体" w:hAnsi="宋体"/>
          <w:color w:val="auto"/>
          <w:kern w:val="0"/>
          <w:sz w:val="22"/>
        </w:rPr>
        <w:t>2</w:t>
      </w:r>
      <w:r>
        <w:rPr>
          <w:rFonts w:hint="eastAsia" w:ascii="宋体" w:hAnsi="宋体"/>
          <w:color w:val="auto"/>
          <w:kern w:val="0"/>
          <w:sz w:val="22"/>
        </w:rPr>
        <w:t>：</w:t>
      </w:r>
    </w:p>
    <w:p w14:paraId="2FFA8DC0">
      <w:pPr>
        <w:spacing w:line="360" w:lineRule="auto"/>
        <w:jc w:val="center"/>
        <w:rPr>
          <w:rFonts w:ascii="宋体" w:hAnsi="宋体"/>
          <w:b/>
          <w:bCs/>
          <w:color w:val="auto"/>
          <w:kern w:val="0"/>
          <w:sz w:val="24"/>
        </w:rPr>
      </w:pPr>
      <w:r>
        <w:rPr>
          <w:rFonts w:hint="eastAsia" w:ascii="宋体" w:hAnsi="宋体"/>
          <w:b/>
          <w:bCs/>
          <w:color w:val="auto"/>
          <w:kern w:val="0"/>
          <w:sz w:val="24"/>
        </w:rPr>
        <w:t>节能（环保）产品清单</w:t>
      </w:r>
    </w:p>
    <w:p w14:paraId="637C7097">
      <w:pPr>
        <w:autoSpaceDE w:val="0"/>
        <w:autoSpaceDN w:val="0"/>
        <w:adjustRightInd w:val="0"/>
        <w:spacing w:line="460" w:lineRule="atLeast"/>
        <w:jc w:val="center"/>
        <w:rPr>
          <w:rFonts w:ascii="宋体" w:hAnsi="宋体"/>
          <w:color w:val="auto"/>
          <w:kern w:val="0"/>
          <w:sz w:val="22"/>
        </w:rPr>
      </w:pPr>
      <w:r>
        <w:rPr>
          <w:rFonts w:hint="eastAsia" w:ascii="宋体" w:hAnsi="宋体"/>
          <w:color w:val="auto"/>
          <w:kern w:val="0"/>
          <w:sz w:val="22"/>
        </w:rPr>
        <w:t>（如有则提供）</w:t>
      </w:r>
    </w:p>
    <w:p w14:paraId="2E6A0D33">
      <w:pPr>
        <w:pStyle w:val="15"/>
        <w:rPr>
          <w:rFonts w:hint="eastAsia"/>
          <w:color w:val="auto"/>
        </w:rPr>
      </w:pPr>
    </w:p>
    <w:p w14:paraId="035D3A6D">
      <w:pPr>
        <w:rPr>
          <w:rFonts w:ascii="宋体" w:hAnsi="宋体"/>
          <w:color w:val="auto"/>
          <w:kern w:val="0"/>
          <w:sz w:val="22"/>
        </w:rPr>
      </w:pPr>
      <w:r>
        <w:rPr>
          <w:rFonts w:hint="eastAsia" w:ascii="宋体" w:hAnsi="宋体"/>
          <w:color w:val="auto"/>
          <w:kern w:val="0"/>
          <w:sz w:val="22"/>
        </w:rPr>
        <w:t>（1）投标产品中已列入《节能产品政府采购品目清单》明细</w:t>
      </w:r>
    </w:p>
    <w:tbl>
      <w:tblPr>
        <w:tblStyle w:val="37"/>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D51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DDCE4E5">
            <w:pPr>
              <w:spacing w:line="460" w:lineRule="exact"/>
              <w:jc w:val="center"/>
              <w:rPr>
                <w:rFonts w:ascii="宋体" w:hAnsi="宋体"/>
                <w:color w:val="auto"/>
                <w:kern w:val="0"/>
                <w:sz w:val="22"/>
                <w:szCs w:val="20"/>
              </w:rPr>
            </w:pPr>
            <w:r>
              <w:rPr>
                <w:rFonts w:hint="eastAsia" w:ascii="宋体" w:hAnsi="宋体"/>
                <w:color w:val="auto"/>
                <w:kern w:val="0"/>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9D9FF01">
            <w:pPr>
              <w:spacing w:line="460" w:lineRule="exact"/>
              <w:jc w:val="center"/>
              <w:rPr>
                <w:rFonts w:ascii="宋体" w:hAnsi="宋体"/>
                <w:color w:val="auto"/>
                <w:kern w:val="0"/>
                <w:sz w:val="22"/>
                <w:szCs w:val="20"/>
              </w:rPr>
            </w:pPr>
            <w:r>
              <w:rPr>
                <w:rFonts w:hint="eastAsia" w:ascii="宋体" w:hAnsi="宋体"/>
                <w:color w:val="auto"/>
                <w:kern w:val="0"/>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9AF10BF">
            <w:pPr>
              <w:spacing w:line="460" w:lineRule="exact"/>
              <w:jc w:val="center"/>
              <w:rPr>
                <w:rFonts w:ascii="宋体" w:hAnsi="宋体"/>
                <w:color w:val="auto"/>
                <w:kern w:val="0"/>
                <w:sz w:val="22"/>
                <w:szCs w:val="20"/>
              </w:rPr>
            </w:pPr>
            <w:r>
              <w:rPr>
                <w:rFonts w:hint="eastAsia" w:ascii="宋体" w:hAnsi="宋体"/>
                <w:color w:val="auto"/>
                <w:kern w:val="0"/>
                <w:sz w:val="22"/>
                <w:szCs w:val="20"/>
              </w:rPr>
              <w:t>产品名称、</w:t>
            </w:r>
          </w:p>
          <w:p w14:paraId="63E5318D">
            <w:pPr>
              <w:spacing w:line="460" w:lineRule="exact"/>
              <w:jc w:val="center"/>
              <w:rPr>
                <w:rFonts w:ascii="宋体" w:hAnsi="宋体"/>
                <w:color w:val="auto"/>
                <w:kern w:val="0"/>
                <w:sz w:val="22"/>
                <w:szCs w:val="20"/>
              </w:rPr>
            </w:pPr>
            <w:r>
              <w:rPr>
                <w:rFonts w:hint="eastAsia" w:ascii="宋体" w:hAnsi="宋体"/>
                <w:color w:val="auto"/>
                <w:kern w:val="0"/>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F9B2BDC">
            <w:pPr>
              <w:spacing w:line="460" w:lineRule="exact"/>
              <w:jc w:val="center"/>
              <w:rPr>
                <w:rFonts w:ascii="宋体" w:hAnsi="宋体"/>
                <w:color w:val="auto"/>
                <w:kern w:val="0"/>
                <w:sz w:val="22"/>
                <w:szCs w:val="20"/>
              </w:rPr>
            </w:pPr>
            <w:r>
              <w:rPr>
                <w:rFonts w:hint="eastAsia" w:ascii="宋体" w:hAnsi="宋体"/>
                <w:color w:val="auto"/>
                <w:kern w:val="0"/>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37D2A6E">
            <w:pPr>
              <w:spacing w:line="460" w:lineRule="exact"/>
              <w:jc w:val="center"/>
              <w:rPr>
                <w:rFonts w:ascii="宋体" w:hAnsi="宋体"/>
                <w:color w:val="auto"/>
                <w:kern w:val="0"/>
                <w:sz w:val="22"/>
                <w:szCs w:val="20"/>
              </w:rPr>
            </w:pPr>
            <w:r>
              <w:rPr>
                <w:rFonts w:hint="eastAsia" w:ascii="宋体" w:hAnsi="宋体"/>
                <w:color w:val="auto"/>
                <w:kern w:val="0"/>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E1584DA">
            <w:pPr>
              <w:spacing w:line="460" w:lineRule="exact"/>
              <w:jc w:val="center"/>
              <w:rPr>
                <w:rFonts w:ascii="宋体" w:hAnsi="宋体"/>
                <w:color w:val="auto"/>
                <w:kern w:val="0"/>
                <w:sz w:val="22"/>
                <w:szCs w:val="20"/>
              </w:rPr>
            </w:pPr>
            <w:r>
              <w:rPr>
                <w:rFonts w:hint="eastAsia" w:ascii="宋体" w:hAnsi="宋体"/>
                <w:color w:val="auto"/>
                <w:kern w:val="0"/>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7F05A10C">
            <w:pPr>
              <w:spacing w:line="460" w:lineRule="exact"/>
              <w:jc w:val="center"/>
              <w:rPr>
                <w:rFonts w:ascii="宋体" w:hAnsi="宋体"/>
                <w:color w:val="auto"/>
                <w:kern w:val="0"/>
                <w:sz w:val="22"/>
                <w:szCs w:val="20"/>
              </w:rPr>
            </w:pPr>
            <w:r>
              <w:rPr>
                <w:rFonts w:ascii="宋体" w:hAnsi="宋体"/>
                <w:color w:val="auto"/>
                <w:kern w:val="0"/>
                <w:sz w:val="22"/>
                <w:szCs w:val="20"/>
              </w:rPr>
              <w:t>认证机构名称</w:t>
            </w:r>
          </w:p>
        </w:tc>
      </w:tr>
      <w:tr w14:paraId="6476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F3053F">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09600CB0">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4544384C">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E519FA9">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22E8F457">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A9FE15E">
            <w:pPr>
              <w:spacing w:line="460" w:lineRule="exact"/>
              <w:rPr>
                <w:rFonts w:ascii="宋体" w:hAnsi="宋体"/>
                <w:color w:val="auto"/>
                <w:kern w:val="0"/>
                <w:sz w:val="22"/>
                <w:szCs w:val="20"/>
              </w:rPr>
            </w:pPr>
          </w:p>
        </w:tc>
        <w:tc>
          <w:tcPr>
            <w:tcW w:w="1937" w:type="dxa"/>
            <w:tcBorders>
              <w:top w:val="single" w:color="auto" w:sz="4" w:space="0"/>
              <w:left w:val="single" w:color="auto" w:sz="4" w:space="0"/>
              <w:bottom w:val="single" w:color="auto" w:sz="4" w:space="0"/>
              <w:right w:val="single" w:color="auto" w:sz="4" w:space="0"/>
            </w:tcBorders>
          </w:tcPr>
          <w:p w14:paraId="27CE8C9E">
            <w:pPr>
              <w:spacing w:line="460" w:lineRule="exact"/>
              <w:rPr>
                <w:rFonts w:ascii="宋体" w:hAnsi="宋体"/>
                <w:color w:val="auto"/>
                <w:kern w:val="0"/>
                <w:sz w:val="22"/>
                <w:szCs w:val="20"/>
              </w:rPr>
            </w:pPr>
          </w:p>
        </w:tc>
      </w:tr>
      <w:tr w14:paraId="1800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46191C6">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442D3500">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5EF662A3">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197EFDC0">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63FE137F">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612D77F5">
            <w:pPr>
              <w:spacing w:line="460" w:lineRule="exact"/>
              <w:rPr>
                <w:rFonts w:ascii="宋体" w:hAnsi="宋体"/>
                <w:color w:val="auto"/>
                <w:kern w:val="0"/>
                <w:sz w:val="22"/>
                <w:szCs w:val="20"/>
              </w:rPr>
            </w:pPr>
          </w:p>
        </w:tc>
        <w:tc>
          <w:tcPr>
            <w:tcW w:w="1937" w:type="dxa"/>
            <w:tcBorders>
              <w:top w:val="single" w:color="auto" w:sz="4" w:space="0"/>
              <w:left w:val="single" w:color="auto" w:sz="4" w:space="0"/>
              <w:bottom w:val="single" w:color="auto" w:sz="4" w:space="0"/>
              <w:right w:val="single" w:color="auto" w:sz="4" w:space="0"/>
            </w:tcBorders>
          </w:tcPr>
          <w:p w14:paraId="0B32A9B7">
            <w:pPr>
              <w:spacing w:line="460" w:lineRule="exact"/>
              <w:rPr>
                <w:rFonts w:ascii="宋体" w:hAnsi="宋体"/>
                <w:color w:val="auto"/>
                <w:kern w:val="0"/>
                <w:sz w:val="22"/>
                <w:szCs w:val="20"/>
              </w:rPr>
            </w:pPr>
          </w:p>
        </w:tc>
      </w:tr>
      <w:tr w14:paraId="1E1D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CD42AE9">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2235AC7C">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63A893E0">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EF9CEBC">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D0733C6">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43AE1FBD">
            <w:pPr>
              <w:spacing w:line="460" w:lineRule="exact"/>
              <w:rPr>
                <w:rFonts w:ascii="宋体" w:hAnsi="宋体"/>
                <w:color w:val="auto"/>
                <w:kern w:val="0"/>
                <w:sz w:val="22"/>
                <w:szCs w:val="20"/>
              </w:rPr>
            </w:pPr>
          </w:p>
        </w:tc>
        <w:tc>
          <w:tcPr>
            <w:tcW w:w="1937" w:type="dxa"/>
            <w:tcBorders>
              <w:top w:val="single" w:color="auto" w:sz="4" w:space="0"/>
              <w:left w:val="single" w:color="auto" w:sz="4" w:space="0"/>
              <w:bottom w:val="single" w:color="auto" w:sz="4" w:space="0"/>
              <w:right w:val="single" w:color="auto" w:sz="4" w:space="0"/>
            </w:tcBorders>
          </w:tcPr>
          <w:p w14:paraId="47D61160">
            <w:pPr>
              <w:spacing w:line="460" w:lineRule="exact"/>
              <w:rPr>
                <w:rFonts w:ascii="宋体" w:hAnsi="宋体"/>
                <w:color w:val="auto"/>
                <w:kern w:val="0"/>
                <w:sz w:val="22"/>
                <w:szCs w:val="20"/>
              </w:rPr>
            </w:pPr>
          </w:p>
        </w:tc>
      </w:tr>
      <w:tr w14:paraId="16D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FFD3BD5">
            <w:pPr>
              <w:spacing w:line="460" w:lineRule="exact"/>
              <w:rPr>
                <w:rFonts w:ascii="宋体" w:hAnsi="宋体"/>
                <w:color w:val="auto"/>
                <w:kern w:val="0"/>
                <w:sz w:val="22"/>
                <w:szCs w:val="20"/>
              </w:rPr>
            </w:pPr>
          </w:p>
          <w:p w14:paraId="52E82537">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2B804B37">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200C8E3E">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033A4E7">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65690E06">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532A34E3">
            <w:pPr>
              <w:spacing w:line="460" w:lineRule="exact"/>
              <w:rPr>
                <w:rFonts w:ascii="宋体" w:hAnsi="宋体"/>
                <w:color w:val="auto"/>
                <w:kern w:val="0"/>
                <w:sz w:val="22"/>
                <w:szCs w:val="20"/>
              </w:rPr>
            </w:pPr>
          </w:p>
        </w:tc>
        <w:tc>
          <w:tcPr>
            <w:tcW w:w="1937" w:type="dxa"/>
            <w:tcBorders>
              <w:top w:val="single" w:color="auto" w:sz="4" w:space="0"/>
              <w:left w:val="single" w:color="auto" w:sz="4" w:space="0"/>
              <w:bottom w:val="single" w:color="auto" w:sz="4" w:space="0"/>
              <w:right w:val="single" w:color="auto" w:sz="4" w:space="0"/>
            </w:tcBorders>
          </w:tcPr>
          <w:p w14:paraId="69370DFE">
            <w:pPr>
              <w:spacing w:line="460" w:lineRule="exact"/>
              <w:rPr>
                <w:rFonts w:ascii="宋体" w:hAnsi="宋体"/>
                <w:color w:val="auto"/>
                <w:kern w:val="0"/>
                <w:sz w:val="22"/>
                <w:szCs w:val="20"/>
              </w:rPr>
            </w:pPr>
          </w:p>
        </w:tc>
      </w:tr>
    </w:tbl>
    <w:p w14:paraId="5B31FB26">
      <w:pPr>
        <w:spacing w:line="460" w:lineRule="exact"/>
        <w:rPr>
          <w:rFonts w:ascii="宋体" w:hAnsi="宋体"/>
          <w:color w:val="auto"/>
          <w:kern w:val="0"/>
          <w:sz w:val="22"/>
        </w:rPr>
      </w:pPr>
      <w:r>
        <w:rPr>
          <w:rFonts w:hint="eastAsia" w:ascii="宋体" w:hAnsi="宋体"/>
          <w:color w:val="auto"/>
          <w:kern w:val="0"/>
          <w:sz w:val="22"/>
        </w:rPr>
        <w:t>（2）投标产品中已列入《环境标志产品政府采购品目清单》明细</w:t>
      </w:r>
    </w:p>
    <w:tbl>
      <w:tblPr>
        <w:tblStyle w:val="37"/>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2672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AAB226D">
            <w:pPr>
              <w:spacing w:line="460" w:lineRule="exact"/>
              <w:jc w:val="center"/>
              <w:rPr>
                <w:rFonts w:ascii="宋体" w:hAnsi="宋体"/>
                <w:color w:val="auto"/>
                <w:kern w:val="0"/>
                <w:sz w:val="22"/>
                <w:szCs w:val="20"/>
              </w:rPr>
            </w:pPr>
            <w:r>
              <w:rPr>
                <w:rFonts w:hint="eastAsia" w:ascii="宋体" w:hAnsi="宋体"/>
                <w:color w:val="auto"/>
                <w:kern w:val="0"/>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D63A5AC">
            <w:pPr>
              <w:spacing w:line="460" w:lineRule="exact"/>
              <w:jc w:val="center"/>
              <w:rPr>
                <w:rFonts w:ascii="宋体" w:hAnsi="宋体"/>
                <w:color w:val="auto"/>
                <w:kern w:val="0"/>
                <w:sz w:val="22"/>
                <w:szCs w:val="20"/>
              </w:rPr>
            </w:pPr>
            <w:r>
              <w:rPr>
                <w:rFonts w:hint="eastAsia" w:ascii="宋体" w:hAnsi="宋体"/>
                <w:color w:val="auto"/>
                <w:kern w:val="0"/>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B396D7E">
            <w:pPr>
              <w:spacing w:line="460" w:lineRule="exact"/>
              <w:jc w:val="center"/>
              <w:rPr>
                <w:rFonts w:ascii="宋体" w:hAnsi="宋体"/>
                <w:color w:val="auto"/>
                <w:kern w:val="0"/>
                <w:sz w:val="22"/>
                <w:szCs w:val="20"/>
              </w:rPr>
            </w:pPr>
            <w:r>
              <w:rPr>
                <w:rFonts w:hint="eastAsia" w:ascii="宋体" w:hAnsi="宋体"/>
                <w:color w:val="auto"/>
                <w:kern w:val="0"/>
                <w:sz w:val="22"/>
                <w:szCs w:val="20"/>
              </w:rPr>
              <w:t>产品名称、</w:t>
            </w:r>
          </w:p>
          <w:p w14:paraId="4755EB68">
            <w:pPr>
              <w:spacing w:line="460" w:lineRule="exact"/>
              <w:jc w:val="center"/>
              <w:rPr>
                <w:rFonts w:ascii="宋体" w:hAnsi="宋体"/>
                <w:color w:val="auto"/>
                <w:kern w:val="0"/>
                <w:sz w:val="22"/>
                <w:szCs w:val="20"/>
              </w:rPr>
            </w:pPr>
            <w:r>
              <w:rPr>
                <w:rFonts w:hint="eastAsia" w:ascii="宋体" w:hAnsi="宋体"/>
                <w:color w:val="auto"/>
                <w:kern w:val="0"/>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B2B2227">
            <w:pPr>
              <w:spacing w:line="460" w:lineRule="exact"/>
              <w:jc w:val="center"/>
              <w:rPr>
                <w:rFonts w:ascii="宋体" w:hAnsi="宋体"/>
                <w:color w:val="auto"/>
                <w:kern w:val="0"/>
                <w:sz w:val="22"/>
                <w:szCs w:val="20"/>
              </w:rPr>
            </w:pPr>
            <w:r>
              <w:rPr>
                <w:rFonts w:hint="eastAsia" w:ascii="宋体" w:hAnsi="宋体"/>
                <w:color w:val="auto"/>
                <w:kern w:val="0"/>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4071CAB0">
            <w:pPr>
              <w:spacing w:line="460" w:lineRule="exact"/>
              <w:jc w:val="center"/>
              <w:rPr>
                <w:rFonts w:ascii="宋体" w:hAnsi="宋体"/>
                <w:color w:val="auto"/>
                <w:kern w:val="0"/>
                <w:sz w:val="22"/>
                <w:szCs w:val="20"/>
              </w:rPr>
            </w:pPr>
            <w:r>
              <w:rPr>
                <w:rFonts w:hint="eastAsia" w:ascii="宋体" w:hAnsi="宋体"/>
                <w:color w:val="auto"/>
                <w:kern w:val="0"/>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49ACEB3">
            <w:pPr>
              <w:spacing w:line="460" w:lineRule="exact"/>
              <w:jc w:val="center"/>
              <w:rPr>
                <w:rFonts w:ascii="宋体" w:hAnsi="宋体"/>
                <w:color w:val="auto"/>
                <w:kern w:val="0"/>
                <w:sz w:val="22"/>
                <w:szCs w:val="20"/>
              </w:rPr>
            </w:pPr>
            <w:r>
              <w:rPr>
                <w:rFonts w:hint="eastAsia" w:ascii="宋体" w:hAnsi="宋体"/>
                <w:color w:val="auto"/>
                <w:kern w:val="0"/>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68CC931">
            <w:pPr>
              <w:spacing w:line="460" w:lineRule="exact"/>
              <w:jc w:val="center"/>
              <w:rPr>
                <w:rFonts w:ascii="宋体" w:hAnsi="宋体"/>
                <w:color w:val="auto"/>
                <w:kern w:val="0"/>
                <w:sz w:val="22"/>
                <w:szCs w:val="20"/>
              </w:rPr>
            </w:pPr>
            <w:r>
              <w:rPr>
                <w:rFonts w:ascii="宋体" w:hAnsi="宋体"/>
                <w:color w:val="auto"/>
                <w:kern w:val="0"/>
                <w:sz w:val="22"/>
                <w:szCs w:val="20"/>
              </w:rPr>
              <w:t>认证机构名称</w:t>
            </w:r>
          </w:p>
        </w:tc>
      </w:tr>
      <w:tr w14:paraId="730D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9A1AA14">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17C465D0">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720E1924">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7C90BD3F">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8AC1DF5">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51E0A0DD">
            <w:pPr>
              <w:spacing w:line="460" w:lineRule="exact"/>
              <w:rPr>
                <w:rFonts w:ascii="宋体" w:hAnsi="宋体"/>
                <w:color w:val="auto"/>
                <w:kern w:val="0"/>
                <w:sz w:val="22"/>
                <w:szCs w:val="20"/>
              </w:rPr>
            </w:pPr>
          </w:p>
        </w:tc>
        <w:tc>
          <w:tcPr>
            <w:tcW w:w="1948" w:type="dxa"/>
            <w:tcBorders>
              <w:top w:val="single" w:color="auto" w:sz="4" w:space="0"/>
              <w:left w:val="single" w:color="auto" w:sz="4" w:space="0"/>
              <w:bottom w:val="single" w:color="auto" w:sz="4" w:space="0"/>
              <w:right w:val="single" w:color="auto" w:sz="4" w:space="0"/>
            </w:tcBorders>
          </w:tcPr>
          <w:p w14:paraId="7C1FB5D3">
            <w:pPr>
              <w:spacing w:line="460" w:lineRule="exact"/>
              <w:rPr>
                <w:rFonts w:ascii="宋体" w:hAnsi="宋体"/>
                <w:color w:val="auto"/>
                <w:kern w:val="0"/>
                <w:sz w:val="22"/>
                <w:szCs w:val="20"/>
              </w:rPr>
            </w:pPr>
          </w:p>
        </w:tc>
      </w:tr>
      <w:tr w14:paraId="088C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C8FD80F">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0027064B">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5D125AC5">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B1A05A4">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6D4DA5D8">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44EA3123">
            <w:pPr>
              <w:spacing w:line="460" w:lineRule="exact"/>
              <w:rPr>
                <w:rFonts w:ascii="宋体" w:hAnsi="宋体"/>
                <w:color w:val="auto"/>
                <w:kern w:val="0"/>
                <w:sz w:val="22"/>
                <w:szCs w:val="20"/>
              </w:rPr>
            </w:pPr>
          </w:p>
        </w:tc>
        <w:tc>
          <w:tcPr>
            <w:tcW w:w="1948" w:type="dxa"/>
            <w:tcBorders>
              <w:top w:val="single" w:color="auto" w:sz="4" w:space="0"/>
              <w:left w:val="single" w:color="auto" w:sz="4" w:space="0"/>
              <w:bottom w:val="single" w:color="auto" w:sz="4" w:space="0"/>
              <w:right w:val="single" w:color="auto" w:sz="4" w:space="0"/>
            </w:tcBorders>
          </w:tcPr>
          <w:p w14:paraId="24B3C552">
            <w:pPr>
              <w:spacing w:line="460" w:lineRule="exact"/>
              <w:rPr>
                <w:rFonts w:ascii="宋体" w:hAnsi="宋体"/>
                <w:color w:val="auto"/>
                <w:kern w:val="0"/>
                <w:sz w:val="22"/>
                <w:szCs w:val="20"/>
              </w:rPr>
            </w:pPr>
          </w:p>
        </w:tc>
      </w:tr>
      <w:tr w14:paraId="029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64ECB03">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4927D1AC">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3348CA5C">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57FB709">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28F927E8">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380C42A2">
            <w:pPr>
              <w:spacing w:line="460" w:lineRule="exact"/>
              <w:rPr>
                <w:rFonts w:ascii="宋体" w:hAnsi="宋体"/>
                <w:color w:val="auto"/>
                <w:kern w:val="0"/>
                <w:sz w:val="22"/>
                <w:szCs w:val="20"/>
              </w:rPr>
            </w:pPr>
          </w:p>
        </w:tc>
        <w:tc>
          <w:tcPr>
            <w:tcW w:w="1948" w:type="dxa"/>
            <w:tcBorders>
              <w:top w:val="single" w:color="auto" w:sz="4" w:space="0"/>
              <w:left w:val="single" w:color="auto" w:sz="4" w:space="0"/>
              <w:bottom w:val="single" w:color="auto" w:sz="4" w:space="0"/>
              <w:right w:val="single" w:color="auto" w:sz="4" w:space="0"/>
            </w:tcBorders>
          </w:tcPr>
          <w:p w14:paraId="7C99D453">
            <w:pPr>
              <w:spacing w:line="460" w:lineRule="exact"/>
              <w:rPr>
                <w:rFonts w:ascii="宋体" w:hAnsi="宋体"/>
                <w:color w:val="auto"/>
                <w:kern w:val="0"/>
                <w:sz w:val="22"/>
                <w:szCs w:val="20"/>
              </w:rPr>
            </w:pPr>
          </w:p>
        </w:tc>
      </w:tr>
      <w:tr w14:paraId="4CAE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D09C08C">
            <w:pPr>
              <w:spacing w:line="460" w:lineRule="exact"/>
              <w:rPr>
                <w:rFonts w:ascii="宋体" w:hAnsi="宋体"/>
                <w:color w:val="auto"/>
                <w:kern w:val="0"/>
                <w:sz w:val="22"/>
                <w:szCs w:val="20"/>
              </w:rPr>
            </w:pPr>
          </w:p>
        </w:tc>
        <w:tc>
          <w:tcPr>
            <w:tcW w:w="993" w:type="dxa"/>
            <w:tcBorders>
              <w:top w:val="single" w:color="auto" w:sz="4" w:space="0"/>
              <w:left w:val="single" w:color="auto" w:sz="4" w:space="0"/>
              <w:bottom w:val="single" w:color="auto" w:sz="4" w:space="0"/>
              <w:right w:val="single" w:color="auto" w:sz="4" w:space="0"/>
            </w:tcBorders>
          </w:tcPr>
          <w:p w14:paraId="116286C1">
            <w:pPr>
              <w:spacing w:line="460" w:lineRule="exact"/>
              <w:rPr>
                <w:rFonts w:ascii="宋体" w:hAnsi="宋体"/>
                <w:color w:val="auto"/>
                <w:kern w:val="0"/>
                <w:sz w:val="22"/>
                <w:szCs w:val="20"/>
              </w:rPr>
            </w:pPr>
          </w:p>
        </w:tc>
        <w:tc>
          <w:tcPr>
            <w:tcW w:w="1417" w:type="dxa"/>
            <w:tcBorders>
              <w:top w:val="single" w:color="auto" w:sz="4" w:space="0"/>
              <w:left w:val="single" w:color="auto" w:sz="4" w:space="0"/>
              <w:bottom w:val="single" w:color="auto" w:sz="4" w:space="0"/>
              <w:right w:val="single" w:color="auto" w:sz="4" w:space="0"/>
            </w:tcBorders>
          </w:tcPr>
          <w:p w14:paraId="0A9B6466">
            <w:pPr>
              <w:spacing w:line="460" w:lineRule="exact"/>
              <w:rPr>
                <w:rFonts w:ascii="宋体" w:hAnsi="宋体"/>
                <w:color w:val="auto"/>
                <w:kern w:val="0"/>
                <w:sz w:val="22"/>
                <w:szCs w:val="20"/>
              </w:rPr>
            </w:pPr>
          </w:p>
        </w:tc>
        <w:tc>
          <w:tcPr>
            <w:tcW w:w="1418" w:type="dxa"/>
            <w:tcBorders>
              <w:top w:val="single" w:color="auto" w:sz="4" w:space="0"/>
              <w:left w:val="single" w:color="auto" w:sz="4" w:space="0"/>
              <w:bottom w:val="single" w:color="auto" w:sz="4" w:space="0"/>
              <w:right w:val="single" w:color="auto" w:sz="4" w:space="0"/>
            </w:tcBorders>
          </w:tcPr>
          <w:p w14:paraId="6A47CE65">
            <w:pPr>
              <w:spacing w:line="460" w:lineRule="exact"/>
              <w:rPr>
                <w:rFonts w:ascii="宋体" w:hAnsi="宋体"/>
                <w:color w:val="auto"/>
                <w:kern w:val="0"/>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BB27B65">
            <w:pPr>
              <w:spacing w:line="460" w:lineRule="exact"/>
              <w:rPr>
                <w:rFonts w:ascii="宋体" w:hAnsi="宋体"/>
                <w:color w:val="auto"/>
                <w:kern w:val="0"/>
                <w:sz w:val="22"/>
                <w:szCs w:val="20"/>
              </w:rPr>
            </w:pPr>
          </w:p>
        </w:tc>
        <w:tc>
          <w:tcPr>
            <w:tcW w:w="1134" w:type="dxa"/>
            <w:tcBorders>
              <w:top w:val="single" w:color="auto" w:sz="4" w:space="0"/>
              <w:left w:val="single" w:color="auto" w:sz="4" w:space="0"/>
              <w:bottom w:val="single" w:color="auto" w:sz="4" w:space="0"/>
              <w:right w:val="single" w:color="auto" w:sz="4" w:space="0"/>
            </w:tcBorders>
          </w:tcPr>
          <w:p w14:paraId="548DC89D">
            <w:pPr>
              <w:spacing w:line="460" w:lineRule="exact"/>
              <w:rPr>
                <w:rFonts w:ascii="宋体" w:hAnsi="宋体"/>
                <w:color w:val="auto"/>
                <w:kern w:val="0"/>
                <w:sz w:val="22"/>
                <w:szCs w:val="20"/>
              </w:rPr>
            </w:pPr>
          </w:p>
        </w:tc>
        <w:tc>
          <w:tcPr>
            <w:tcW w:w="1948" w:type="dxa"/>
            <w:tcBorders>
              <w:top w:val="single" w:color="auto" w:sz="4" w:space="0"/>
              <w:left w:val="single" w:color="auto" w:sz="4" w:space="0"/>
              <w:bottom w:val="single" w:color="auto" w:sz="4" w:space="0"/>
              <w:right w:val="single" w:color="auto" w:sz="4" w:space="0"/>
            </w:tcBorders>
          </w:tcPr>
          <w:p w14:paraId="2B282036">
            <w:pPr>
              <w:spacing w:line="460" w:lineRule="exact"/>
              <w:rPr>
                <w:rFonts w:ascii="宋体" w:hAnsi="宋体"/>
                <w:color w:val="auto"/>
                <w:kern w:val="0"/>
                <w:sz w:val="22"/>
                <w:szCs w:val="20"/>
              </w:rPr>
            </w:pPr>
          </w:p>
        </w:tc>
      </w:tr>
    </w:tbl>
    <w:p w14:paraId="26EDFB26">
      <w:pPr>
        <w:spacing w:line="460" w:lineRule="exact"/>
        <w:rPr>
          <w:rFonts w:ascii="宋体" w:hAnsi="宋体"/>
          <w:b/>
          <w:color w:val="auto"/>
          <w:kern w:val="0"/>
          <w:sz w:val="22"/>
        </w:rPr>
      </w:pPr>
      <w:r>
        <w:rPr>
          <w:rFonts w:hint="eastAsia" w:ascii="宋体" w:hAnsi="宋体"/>
          <w:b/>
          <w:color w:val="auto"/>
          <w:kern w:val="0"/>
          <w:sz w:val="22"/>
        </w:rPr>
        <w:t>说明：1、表后附所投相关产品对应的认证证书复印件（扫描件）；其中本次采购的产品属于政府强制采购节能产品范围的，磋商供应商必须选用符合要求的产品，否则按无效投标处理，具体品目见《关于印发节能产品政府采购品目清单的通知》（财库〔</w:t>
      </w:r>
      <w:r>
        <w:rPr>
          <w:rFonts w:ascii="宋体" w:hAnsi="宋体"/>
          <w:b/>
          <w:color w:val="auto"/>
          <w:kern w:val="0"/>
          <w:sz w:val="22"/>
        </w:rPr>
        <w:t>2019〕19号）</w:t>
      </w:r>
      <w:r>
        <w:rPr>
          <w:rFonts w:hint="eastAsia" w:ascii="宋体" w:hAnsi="宋体" w:cs="Arial"/>
          <w:b/>
          <w:color w:val="auto"/>
          <w:kern w:val="0"/>
          <w:sz w:val="22"/>
        </w:rPr>
        <w:t>。</w:t>
      </w:r>
      <w:r>
        <w:rPr>
          <w:rFonts w:hint="eastAsia" w:ascii="宋体" w:hAnsi="宋体" w:cs="Arial"/>
          <w:b/>
          <w:color w:val="auto"/>
          <w:kern w:val="0"/>
          <w:sz w:val="22"/>
          <w:szCs w:val="20"/>
        </w:rPr>
        <w:t>磋商响应文件中必须提供</w:t>
      </w:r>
      <w:r>
        <w:rPr>
          <w:rFonts w:ascii="宋体" w:hAnsi="宋体"/>
          <w:b/>
          <w:color w:val="auto"/>
          <w:kern w:val="0"/>
          <w:sz w:val="22"/>
        </w:rPr>
        <w:t>属于政府强制采购的节能产品</w:t>
      </w:r>
      <w:r>
        <w:rPr>
          <w:rFonts w:hint="eastAsia" w:ascii="宋体" w:hAnsi="宋体" w:cs="Arial"/>
          <w:b/>
          <w:color w:val="auto"/>
          <w:kern w:val="0"/>
          <w:sz w:val="22"/>
          <w:szCs w:val="20"/>
        </w:rPr>
        <w:t>的认证证书复印件或扫描件，否则不予认可。</w:t>
      </w:r>
    </w:p>
    <w:p w14:paraId="0E747B7D">
      <w:pPr>
        <w:spacing w:line="460" w:lineRule="exact"/>
        <w:rPr>
          <w:rFonts w:ascii="宋体" w:hAnsi="宋体"/>
          <w:b/>
          <w:color w:val="auto"/>
          <w:kern w:val="0"/>
          <w:sz w:val="22"/>
        </w:rPr>
      </w:pPr>
      <w:r>
        <w:rPr>
          <w:rFonts w:hint="eastAsia" w:ascii="宋体" w:hAnsi="宋体"/>
          <w:b/>
          <w:color w:val="auto"/>
          <w:kern w:val="0"/>
          <w:sz w:val="22"/>
        </w:rPr>
        <w:t>2、表格可以延续。</w:t>
      </w:r>
    </w:p>
    <w:p w14:paraId="12A95FD2">
      <w:pPr>
        <w:pStyle w:val="15"/>
        <w:rPr>
          <w:rFonts w:hint="eastAsia"/>
          <w:color w:val="auto"/>
        </w:rPr>
      </w:pPr>
    </w:p>
    <w:p w14:paraId="31721155">
      <w:pPr>
        <w:spacing w:line="440" w:lineRule="atLeast"/>
        <w:rPr>
          <w:rFonts w:ascii="宋体" w:hAnsi="宋体"/>
          <w:color w:val="auto"/>
          <w:kern w:val="0"/>
          <w:sz w:val="22"/>
        </w:rPr>
      </w:pPr>
      <w:r>
        <w:rPr>
          <w:rFonts w:hint="eastAsia" w:ascii="宋体" w:hAnsi="宋体"/>
          <w:color w:val="auto"/>
          <w:kern w:val="0"/>
          <w:sz w:val="22"/>
        </w:rPr>
        <w:t xml:space="preserve">供应商名称（盖章）：        </w:t>
      </w:r>
    </w:p>
    <w:p w14:paraId="519D8EC0">
      <w:pPr>
        <w:pStyle w:val="15"/>
        <w:rPr>
          <w:rFonts w:hint="eastAsia"/>
          <w:color w:val="auto"/>
        </w:rPr>
      </w:pPr>
      <w:r>
        <w:rPr>
          <w:rFonts w:hint="eastAsia" w:ascii="宋体" w:hAnsi="宋体"/>
          <w:color w:val="auto"/>
          <w:kern w:val="0"/>
          <w:sz w:val="22"/>
        </w:rPr>
        <w:t xml:space="preserve">日 期：     </w:t>
      </w:r>
    </w:p>
    <w:p w14:paraId="7F5D783E">
      <w:pPr>
        <w:pStyle w:val="2"/>
        <w:spacing w:line="560" w:lineRule="exact"/>
        <w:jc w:val="center"/>
        <w:rPr>
          <w:rFonts w:ascii="黑体" w:eastAsia="黑体"/>
          <w:color w:val="auto"/>
          <w:sz w:val="32"/>
          <w:szCs w:val="32"/>
        </w:rPr>
      </w:pPr>
      <w:r>
        <w:rPr>
          <w:rFonts w:hint="eastAsia" w:ascii="宋体" w:hAnsi="宋体" w:cs="宋体"/>
          <w:color w:val="auto"/>
          <w:sz w:val="22"/>
          <w:szCs w:val="22"/>
        </w:rPr>
        <w:br w:type="page"/>
      </w:r>
      <w:bookmarkStart w:id="113" w:name="_Toc13691"/>
      <w:bookmarkStart w:id="114" w:name="_Toc17928"/>
      <w:r>
        <w:rPr>
          <w:rFonts w:hint="eastAsia" w:ascii="黑体" w:eastAsia="黑体"/>
          <w:color w:val="auto"/>
          <w:sz w:val="32"/>
          <w:szCs w:val="32"/>
        </w:rPr>
        <w:t>第五部分  采购内容</w:t>
      </w:r>
      <w:bookmarkEnd w:id="113"/>
      <w:bookmarkEnd w:id="114"/>
    </w:p>
    <w:p w14:paraId="21FA23BF">
      <w:pPr>
        <w:pStyle w:val="62"/>
        <w:spacing w:line="440" w:lineRule="exact"/>
        <w:ind w:firstLine="0" w:firstLineChars="0"/>
        <w:rPr>
          <w:rFonts w:hint="eastAsia" w:ascii="宋体" w:hAnsi="宋体"/>
          <w:bCs/>
          <w:color w:val="auto"/>
          <w:sz w:val="22"/>
          <w:szCs w:val="22"/>
        </w:rPr>
      </w:pPr>
      <w:r>
        <w:rPr>
          <w:rFonts w:hint="eastAsia" w:ascii="宋体" w:hAnsi="宋体"/>
          <w:bCs/>
          <w:color w:val="auto"/>
          <w:sz w:val="22"/>
          <w:szCs w:val="22"/>
        </w:rPr>
        <w:t>一、项目概况</w:t>
      </w:r>
    </w:p>
    <w:p w14:paraId="4A119417">
      <w:pPr>
        <w:pStyle w:val="62"/>
        <w:spacing w:line="440" w:lineRule="exact"/>
        <w:ind w:firstLine="198" w:firstLineChars="90"/>
        <w:rPr>
          <w:rFonts w:hint="eastAsia" w:ascii="宋体" w:hAnsi="宋体"/>
          <w:b w:val="0"/>
          <w:color w:val="auto"/>
          <w:sz w:val="22"/>
          <w:szCs w:val="22"/>
        </w:rPr>
      </w:pPr>
      <w:r>
        <w:rPr>
          <w:rFonts w:hint="eastAsia" w:ascii="宋体" w:hAnsi="宋体"/>
          <w:b w:val="0"/>
          <w:color w:val="auto"/>
          <w:sz w:val="22"/>
          <w:szCs w:val="22"/>
        </w:rPr>
        <w:t>1、工程名称：</w:t>
      </w:r>
      <w:r>
        <w:rPr>
          <w:rFonts w:hint="eastAsia" w:ascii="宋体" w:hAnsi="宋体" w:cs="宋体"/>
          <w:b w:val="0"/>
          <w:color w:val="auto"/>
          <w:sz w:val="22"/>
          <w:szCs w:val="22"/>
          <w:lang w:eastAsia="zh-CN"/>
        </w:rPr>
        <w:t>学校配电房提升改造（2x630KVA配电工程（单电源））</w:t>
      </w:r>
      <w:r>
        <w:rPr>
          <w:rFonts w:hint="eastAsia" w:ascii="宋体" w:hAnsi="宋体"/>
          <w:b w:val="0"/>
          <w:color w:val="auto"/>
          <w:sz w:val="22"/>
          <w:szCs w:val="22"/>
        </w:rPr>
        <w:t>，具体以工程量清单及图纸为准。</w:t>
      </w:r>
    </w:p>
    <w:p w14:paraId="1EEE7A7D">
      <w:pPr>
        <w:pStyle w:val="62"/>
        <w:spacing w:line="440" w:lineRule="exact"/>
        <w:ind w:firstLine="198" w:firstLineChars="90"/>
        <w:rPr>
          <w:rFonts w:hint="eastAsia" w:ascii="宋体" w:hAnsi="宋体"/>
          <w:b w:val="0"/>
          <w:color w:val="auto"/>
          <w:sz w:val="22"/>
          <w:szCs w:val="22"/>
        </w:rPr>
      </w:pPr>
      <w:r>
        <w:rPr>
          <w:rFonts w:hint="eastAsia" w:ascii="宋体" w:hAnsi="宋体"/>
          <w:b w:val="0"/>
          <w:color w:val="auto"/>
          <w:sz w:val="22"/>
          <w:szCs w:val="22"/>
        </w:rPr>
        <w:t>2、工程地点：</w:t>
      </w:r>
      <w:r>
        <w:rPr>
          <w:rFonts w:hint="eastAsia" w:ascii="宋体" w:hAnsi="宋体"/>
          <w:b w:val="0"/>
          <w:color w:val="auto"/>
          <w:sz w:val="22"/>
          <w:szCs w:val="22"/>
          <w:lang w:eastAsia="zh-CN"/>
        </w:rPr>
        <w:t>浙江安防职业技术学院</w:t>
      </w:r>
      <w:r>
        <w:rPr>
          <w:rFonts w:hint="eastAsia" w:ascii="宋体" w:hAnsi="宋体"/>
          <w:b w:val="0"/>
          <w:color w:val="auto"/>
          <w:sz w:val="22"/>
          <w:szCs w:val="22"/>
        </w:rPr>
        <w:t>。</w:t>
      </w:r>
    </w:p>
    <w:p w14:paraId="1F317D8E">
      <w:pPr>
        <w:pStyle w:val="62"/>
        <w:spacing w:line="440" w:lineRule="exact"/>
        <w:ind w:firstLine="0" w:firstLineChars="0"/>
        <w:rPr>
          <w:rFonts w:ascii="宋体" w:hAnsi="宋体"/>
          <w:bCs/>
          <w:color w:val="auto"/>
          <w:sz w:val="22"/>
          <w:szCs w:val="22"/>
        </w:rPr>
      </w:pPr>
      <w:r>
        <w:rPr>
          <w:rFonts w:hint="eastAsia" w:ascii="宋体" w:hAnsi="宋体"/>
          <w:bCs/>
          <w:color w:val="auto"/>
          <w:sz w:val="22"/>
          <w:szCs w:val="22"/>
        </w:rPr>
        <w:t>二、工程技术规范</w:t>
      </w:r>
    </w:p>
    <w:p w14:paraId="62C6F5A0">
      <w:pPr>
        <w:pStyle w:val="62"/>
        <w:spacing w:line="440" w:lineRule="exact"/>
        <w:ind w:firstLine="440"/>
        <w:rPr>
          <w:rFonts w:ascii="宋体" w:hAnsi="宋体"/>
          <w:b w:val="0"/>
          <w:color w:val="auto"/>
          <w:sz w:val="22"/>
          <w:szCs w:val="22"/>
        </w:rPr>
      </w:pPr>
      <w:r>
        <w:rPr>
          <w:rFonts w:hint="eastAsia" w:ascii="宋体" w:hAnsi="宋体"/>
          <w:b w:val="0"/>
          <w:color w:val="auto"/>
          <w:sz w:val="22"/>
          <w:szCs w:val="22"/>
        </w:rPr>
        <w:t>依据设计施工图纸和技术文件要求，本工程项目的材料、设备、施工必须达到现行中华人民共和国及省、市、行业的一切有关法规、规范的要求。</w:t>
      </w:r>
    </w:p>
    <w:p w14:paraId="7509E73F">
      <w:pPr>
        <w:pStyle w:val="62"/>
        <w:spacing w:line="440" w:lineRule="exact"/>
        <w:ind w:firstLine="0" w:firstLineChars="0"/>
        <w:rPr>
          <w:rFonts w:hint="eastAsia" w:ascii="宋体" w:hAnsi="宋体"/>
          <w:bCs/>
          <w:color w:val="auto"/>
          <w:sz w:val="22"/>
          <w:szCs w:val="22"/>
        </w:rPr>
      </w:pPr>
      <w:bookmarkStart w:id="115" w:name="_Toc153951946"/>
      <w:r>
        <w:rPr>
          <w:rFonts w:hint="eastAsia" w:ascii="宋体" w:hAnsi="宋体"/>
          <w:bCs/>
          <w:color w:val="auto"/>
          <w:sz w:val="22"/>
          <w:szCs w:val="22"/>
        </w:rPr>
        <w:t>二、主要材料（设备）</w:t>
      </w:r>
      <w:r>
        <w:rPr>
          <w:rFonts w:hint="eastAsia" w:ascii="宋体" w:hAnsi="宋体"/>
          <w:bCs/>
          <w:color w:val="auto"/>
          <w:sz w:val="22"/>
          <w:szCs w:val="22"/>
          <w:lang w:eastAsia="zh-CN"/>
        </w:rPr>
        <w:t>技术参数、</w:t>
      </w:r>
      <w:r>
        <w:rPr>
          <w:rFonts w:hint="eastAsia" w:ascii="宋体" w:hAnsi="宋体"/>
          <w:bCs/>
          <w:color w:val="auto"/>
          <w:sz w:val="22"/>
          <w:szCs w:val="22"/>
        </w:rPr>
        <w:t>推荐品牌表</w:t>
      </w:r>
    </w:p>
    <w:p w14:paraId="3221815B">
      <w:pPr>
        <w:spacing w:line="360" w:lineRule="exact"/>
        <w:ind w:firstLine="420" w:firstLineChars="200"/>
        <w:rPr>
          <w:rFonts w:hint="eastAsia" w:ascii="宋体" w:hAnsi="宋体" w:eastAsia="宋体" w:cs="宋体"/>
          <w:vanish/>
          <w:color w:val="auto"/>
          <w:szCs w:val="21"/>
          <w:highlight w:val="none"/>
        </w:rPr>
      </w:pPr>
      <w:r>
        <w:rPr>
          <w:rFonts w:hint="eastAsia" w:ascii="宋体" w:hAnsi="宋体" w:eastAsia="宋体" w:cs="宋体"/>
          <w:vanish/>
          <w:color w:val="auto"/>
          <w:szCs w:val="21"/>
          <w:highlight w:val="none"/>
        </w:rPr>
        <w:t>详见工程量清单编制说明</w:t>
      </w:r>
    </w:p>
    <w:p w14:paraId="43924E9F">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1、采购人对材料设备无推荐品牌要求的，投标人必须在备注栏中明确品牌、型号。若投标人未列出，在施工期间，采购人可根据工程需要提出要求，投标人必须按照采购人的要求提供材料（设备），费用差价风险由投标人自行承担。未作特别要求的材料都必须采用中档以上品牌或国内外知名厂家生产，在采购前报采购人确认，未经采购人确认的，承包人不得使用，否则，中标人须按采购人要求返工并承担由此增加的费用和（或）延误的工期。</w:t>
      </w:r>
    </w:p>
    <w:p w14:paraId="335438DB">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2、如遇投标人自身的原因而更换的，须经发包人同意方可更换。在施工过程中，材料色泽必须事先经发包人确认，无论材料色泽如何变化，价格均不予调整，请投标人在报价时考虑此因素。</w:t>
      </w:r>
    </w:p>
    <w:p w14:paraId="740DDC5E">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3、设备、材料必须为全新的未使用过的正品，如发现使用假冒伪劣或已经使用过的的设备材料的，需无条件立即更换，并视作承包人违约，根据违约条款进行相应的处罚；给造成采购人损失的，承担全部赔偿责任。</w:t>
      </w:r>
    </w:p>
    <w:p w14:paraId="0C6D685C">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4、设备材料的质量保证</w:t>
      </w:r>
    </w:p>
    <w:p w14:paraId="1F6786C2">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（1）在施工期间内，承包人对有缺陷的部位必须无偿地给予修正，并承担一切由此引起的对发包人或第三者的直接损失，除非该缺陷是由于人为破坏或合同规定的不可抗因素造成的损坏。</w:t>
      </w:r>
    </w:p>
    <w:p w14:paraId="2A0919E2">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2）承包人应对所选用的设备材料的技术满足度和质量负全部责任，其责任不因该品牌是否为发包人推荐减轻或更改。当承包人选定的产品质量达不到设计要求和采购文件要求的技术指标时，发包人保留更换的权利，且中标价不予调整。</w:t>
      </w:r>
    </w:p>
    <w:tbl>
      <w:tblPr>
        <w:tblStyle w:val="37"/>
        <w:tblW w:w="4997" w:type="pct"/>
        <w:tblInd w:w="0" w:type="dxa"/>
        <w:tblLayout w:type="autofit"/>
        <w:tblCellMar>
          <w:top w:w="0" w:type="dxa"/>
          <w:left w:w="108" w:type="dxa"/>
          <w:bottom w:w="0" w:type="dxa"/>
          <w:right w:w="108" w:type="dxa"/>
        </w:tblCellMar>
      </w:tblPr>
      <w:tblGrid>
        <w:gridCol w:w="747"/>
        <w:gridCol w:w="1619"/>
        <w:gridCol w:w="6111"/>
        <w:gridCol w:w="1371"/>
      </w:tblGrid>
      <w:tr w14:paraId="75BEF6BD">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AE1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19CAB8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材料名称</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40A0C8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cs="宋体"/>
                <w:b/>
                <w:bCs/>
                <w:color w:val="auto"/>
                <w:kern w:val="0"/>
                <w:sz w:val="22"/>
                <w:szCs w:val="22"/>
                <w:lang w:val="en-US" w:eastAsia="zh-CN"/>
              </w:rPr>
              <w:t>推荐</w:t>
            </w:r>
            <w:r>
              <w:rPr>
                <w:rFonts w:hint="eastAsia" w:ascii="宋体" w:hAnsi="宋体" w:eastAsia="宋体" w:cs="宋体"/>
                <w:b/>
                <w:bCs/>
                <w:color w:val="auto"/>
                <w:kern w:val="0"/>
                <w:sz w:val="22"/>
                <w:szCs w:val="22"/>
              </w:rPr>
              <w:t>品牌/系列</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78709D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val="en-US" w:eastAsia="zh-CN"/>
              </w:rPr>
              <w:t>备注</w:t>
            </w:r>
          </w:p>
        </w:tc>
      </w:tr>
      <w:tr w14:paraId="2B3BA946">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03542">
            <w:pPr>
              <w:pStyle w:val="66"/>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1.</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58E39A8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高压</w:t>
            </w:r>
            <w:r>
              <w:rPr>
                <w:rFonts w:hint="eastAsia" w:ascii="宋体" w:hAnsi="宋体" w:eastAsia="宋体" w:cs="宋体"/>
                <w:color w:val="auto"/>
                <w:sz w:val="22"/>
                <w:szCs w:val="22"/>
                <w:lang w:val="en-US" w:eastAsia="zh-CN"/>
              </w:rPr>
              <w:t>环保</w:t>
            </w:r>
            <w:r>
              <w:rPr>
                <w:rFonts w:hint="eastAsia" w:ascii="宋体" w:hAnsi="宋体" w:eastAsia="宋体" w:cs="宋体"/>
                <w:color w:val="auto"/>
                <w:sz w:val="22"/>
                <w:szCs w:val="22"/>
              </w:rPr>
              <w:t>柜</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62387A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推荐选用品牌：浙江电力变压器有限公司(原昌泰电力开关)、浙江超荣力电器有限公司、宁波新胜中压电器</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5BF02C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p>
        </w:tc>
      </w:tr>
      <w:tr w14:paraId="0B380759">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CFF1B">
            <w:pPr>
              <w:pStyle w:val="66"/>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2.</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244628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微机保护</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112AF04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推荐选用品牌：大导电气（上海）有限公司、上海拓网电气有限公司、深圳南自智能系统有限公司</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0C26B7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p>
        </w:tc>
      </w:tr>
      <w:tr w14:paraId="382C36B7">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E155E">
            <w:pPr>
              <w:pStyle w:val="66"/>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3.</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5B3796A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低压柜</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2C9E16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推荐选用品牌：浙江电力变压器有限公司(原昌泰电力开关)、浙江超荣力电器有限公司、温州华电实业有限公司</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6539E0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p>
        </w:tc>
      </w:tr>
      <w:tr w14:paraId="2D2B525A">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B175E">
            <w:pPr>
              <w:pStyle w:val="66"/>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4.</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00DC21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低压断路器</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33CB632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推荐选用品牌：ABB HF2 EK2-LSI /UT系列、施耐德 MT 6.0H /NSX系列、西门子 3WL ETU76B /3VL系列</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55D3F1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p>
        </w:tc>
      </w:tr>
      <w:tr w14:paraId="46BDD6B3">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1CCCB">
            <w:pPr>
              <w:pStyle w:val="66"/>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5.</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34D536D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低压电容器</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295344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推荐选用品牌：指明集团、杭州浙泰、宁波新胜中压电器</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3F104E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p>
        </w:tc>
      </w:tr>
      <w:tr w14:paraId="58A8BD05">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769D6">
            <w:pPr>
              <w:pStyle w:val="66"/>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6.</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01EAE5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变压器</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6118811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推荐选用品牌：浙江电力变压器、三变科技、吴江变压器</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727CDF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2"/>
                <w:szCs w:val="22"/>
                <w:lang w:val="en-US" w:eastAsia="zh-CN"/>
              </w:rPr>
            </w:pPr>
            <w:r>
              <w:rPr>
                <w:rFonts w:hint="eastAsia" w:ascii="宋体" w:hAnsi="宋体" w:cs="宋体"/>
                <w:b/>
                <w:bCs/>
                <w:color w:val="auto"/>
                <w:kern w:val="0"/>
                <w:sz w:val="22"/>
                <w:szCs w:val="22"/>
                <w:lang w:val="en-US" w:eastAsia="zh-CN"/>
              </w:rPr>
              <w:t>提供产品必须为2级节能产品</w:t>
            </w:r>
          </w:p>
        </w:tc>
      </w:tr>
      <w:tr w14:paraId="7DCEFFC2">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1FC3B">
            <w:pPr>
              <w:pStyle w:val="66"/>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7.</w:t>
            </w:r>
          </w:p>
        </w:tc>
        <w:tc>
          <w:tcPr>
            <w:tcW w:w="822" w:type="pct"/>
            <w:tcBorders>
              <w:top w:val="single" w:color="000000" w:sz="4" w:space="0"/>
              <w:left w:val="nil"/>
              <w:bottom w:val="single" w:color="000000" w:sz="4" w:space="0"/>
              <w:right w:val="single" w:color="auto" w:sz="4" w:space="0"/>
            </w:tcBorders>
            <w:shd w:val="clear" w:color="auto" w:fill="FFFFFF"/>
            <w:vAlign w:val="center"/>
          </w:tcPr>
          <w:p w14:paraId="49D57EA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电力电缆</w:t>
            </w:r>
          </w:p>
        </w:tc>
        <w:tc>
          <w:tcPr>
            <w:tcW w:w="3102" w:type="pct"/>
            <w:tcBorders>
              <w:top w:val="single" w:color="000000" w:sz="4" w:space="0"/>
              <w:left w:val="nil"/>
              <w:bottom w:val="single" w:color="000000" w:sz="4" w:space="0"/>
              <w:right w:val="single" w:color="000000" w:sz="4" w:space="0"/>
            </w:tcBorders>
            <w:shd w:val="clear" w:color="auto" w:fill="FFFFFF"/>
            <w:vAlign w:val="center"/>
          </w:tcPr>
          <w:p w14:paraId="6AAFDD0F">
            <w:pPr>
              <w:pStyle w:val="14"/>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推荐选用品牌：宁波东方、宁波球冠、杭州中策</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2E8C5A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rPr>
            </w:pPr>
          </w:p>
        </w:tc>
      </w:tr>
    </w:tbl>
    <w:p w14:paraId="48379E0D">
      <w:pPr>
        <w:pStyle w:val="62"/>
        <w:spacing w:line="440" w:lineRule="exact"/>
        <w:ind w:firstLine="198" w:firstLineChars="90"/>
        <w:rPr>
          <w:rFonts w:hint="eastAsia" w:ascii="宋体" w:hAnsi="宋体"/>
          <w:b w:val="0"/>
          <w:color w:val="auto"/>
          <w:sz w:val="22"/>
          <w:szCs w:val="22"/>
          <w:u w:val="single"/>
          <w:lang w:val="en-US" w:eastAsia="zh-CN"/>
        </w:rPr>
      </w:pPr>
      <w:r>
        <w:rPr>
          <w:rFonts w:hint="eastAsia" w:ascii="宋体" w:hAnsi="宋体"/>
          <w:b w:val="0"/>
          <w:color w:val="auto"/>
          <w:sz w:val="22"/>
          <w:szCs w:val="22"/>
          <w:u w:val="single"/>
          <w:lang w:val="en-US" w:eastAsia="zh-CN"/>
        </w:rPr>
        <w:t>注：除采购文件明确的品牌外，欢迎其他能满足本项目技术需求且性能与所明确品牌相当的产品参加；投标时响应的品牌（包括未选或多选的）未达到所明确品牌技术需求、性能的，采购人将有权按照推荐品牌一览表中的品牌任选其一供施工使用，且投标报价不予调整。</w:t>
      </w:r>
    </w:p>
    <w:p w14:paraId="49A109B1">
      <w:pPr>
        <w:pStyle w:val="62"/>
        <w:spacing w:line="440" w:lineRule="exact"/>
        <w:ind w:firstLine="198" w:firstLineChars="90"/>
        <w:rPr>
          <w:rFonts w:hint="eastAsia" w:ascii="宋体" w:hAnsi="宋体"/>
          <w:b w:val="0"/>
          <w:color w:val="auto"/>
          <w:sz w:val="22"/>
          <w:szCs w:val="22"/>
          <w:u w:val="single"/>
          <w:lang w:val="en-US" w:eastAsia="zh-CN"/>
        </w:rPr>
      </w:pPr>
      <w:r>
        <w:rPr>
          <w:rFonts w:hint="eastAsia" w:ascii="宋体" w:hAnsi="宋体"/>
          <w:b w:val="0"/>
          <w:color w:val="auto"/>
          <w:sz w:val="22"/>
          <w:szCs w:val="22"/>
          <w:u w:val="single"/>
          <w:lang w:val="en-US" w:eastAsia="zh-CN"/>
        </w:rPr>
        <w:t>凡是招标文件注明规格、型号或相当于的厂家（品牌、产地）的材料，承包人必须按照招标文件要求优先采购和施工，若遇市场上已无备选品牌或相当于品牌产品销售时，必须经发包人同意后方可使用，否则由此引起的后果由承包人承担。若某设备材料的品牌与厂家存在同名时，以品牌为先。</w:t>
      </w:r>
    </w:p>
    <w:p w14:paraId="78689772">
      <w:pPr>
        <w:pStyle w:val="62"/>
        <w:spacing w:line="440" w:lineRule="exact"/>
        <w:ind w:firstLine="0" w:firstLineChars="0"/>
        <w:rPr>
          <w:rFonts w:hint="eastAsia" w:ascii="宋体" w:hAnsi="宋体"/>
          <w:bCs/>
          <w:color w:val="auto"/>
          <w:sz w:val="22"/>
          <w:szCs w:val="22"/>
          <w:lang w:val="en-US" w:eastAsia="zh-CN"/>
        </w:rPr>
      </w:pPr>
      <w:r>
        <w:rPr>
          <w:rFonts w:hint="eastAsia" w:ascii="宋体" w:hAnsi="宋体"/>
          <w:bCs/>
          <w:color w:val="auto"/>
          <w:sz w:val="22"/>
          <w:szCs w:val="22"/>
          <w:lang w:val="en-US" w:eastAsia="zh-CN"/>
        </w:rPr>
        <w:t>三、工程管理要求</w:t>
      </w:r>
    </w:p>
    <w:p w14:paraId="35AB311A">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1、 本工程发包范围内的工程项目，未经发包人同意一律不得分包。一经发现立即取消承包资格，作违约处理，并承担由此引起的一切经济损失。</w:t>
      </w:r>
    </w:p>
    <w:p w14:paraId="72540CEC">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2、 承包人应严格按已确认设计图纸和施工技术方案组织施工，并无条件地接受发包人对施工质量的监督和管理。</w:t>
      </w:r>
    </w:p>
    <w:p w14:paraId="6189B3DA">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3.供应商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25F5CE60">
      <w:pPr>
        <w:pStyle w:val="62"/>
        <w:spacing w:line="440" w:lineRule="exact"/>
        <w:ind w:firstLine="198" w:firstLineChars="90"/>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4.项目经理、技术负责人到位率应在80％以上，其它管理人员到位率应在100％。</w:t>
      </w:r>
    </w:p>
    <w:p w14:paraId="32047BCC">
      <w:pPr>
        <w:pStyle w:val="62"/>
        <w:spacing w:line="440" w:lineRule="exact"/>
        <w:ind w:firstLine="0" w:firstLineChars="0"/>
        <w:rPr>
          <w:rFonts w:hint="eastAsia" w:ascii="宋体" w:hAnsi="宋体"/>
          <w:bCs/>
          <w:color w:val="auto"/>
          <w:sz w:val="22"/>
          <w:szCs w:val="22"/>
          <w:lang w:val="en-US" w:eastAsia="zh-CN"/>
        </w:rPr>
      </w:pPr>
      <w:r>
        <w:rPr>
          <w:rFonts w:hint="eastAsia" w:ascii="宋体" w:hAnsi="宋体"/>
          <w:bCs/>
          <w:color w:val="auto"/>
          <w:sz w:val="22"/>
          <w:szCs w:val="22"/>
          <w:lang w:val="en-US" w:eastAsia="zh-CN"/>
        </w:rPr>
        <w:t>四、验收要求</w:t>
      </w:r>
    </w:p>
    <w:p w14:paraId="6762A451">
      <w:pPr>
        <w:pStyle w:val="62"/>
        <w:spacing w:line="440" w:lineRule="exact"/>
        <w:ind w:firstLine="415" w:firstLineChars="189"/>
        <w:rPr>
          <w:rFonts w:hint="eastAsia" w:ascii="宋体" w:hAnsi="宋体"/>
          <w:b w:val="0"/>
          <w:color w:val="auto"/>
          <w:sz w:val="22"/>
          <w:szCs w:val="22"/>
          <w:lang w:val="en-US" w:eastAsia="zh-CN"/>
        </w:rPr>
      </w:pPr>
      <w:r>
        <w:rPr>
          <w:rFonts w:hint="eastAsia" w:ascii="宋体" w:hAnsi="宋体"/>
          <w:b w:val="0"/>
          <w:color w:val="auto"/>
          <w:sz w:val="22"/>
          <w:szCs w:val="22"/>
          <w:lang w:val="en-US" w:eastAsia="zh-CN"/>
        </w:rPr>
        <w:t>供应商按设计图纸进行施工，满足设计图纸的要求直至通过采购人组织的验收，验收过程中，如有不满足设计图纸、磋商文件规定要求及不符合国家相关规范要求的，由供应商负责整改，费用自理。</w:t>
      </w:r>
    </w:p>
    <w:p w14:paraId="0A5319AD">
      <w:pPr>
        <w:pStyle w:val="62"/>
        <w:spacing w:line="440" w:lineRule="exact"/>
        <w:ind w:firstLine="0" w:firstLineChars="0"/>
        <w:rPr>
          <w:rFonts w:ascii="宋体" w:hAnsi="宋体"/>
          <w:bCs/>
          <w:color w:val="auto"/>
          <w:sz w:val="22"/>
          <w:szCs w:val="22"/>
        </w:rPr>
      </w:pPr>
      <w:r>
        <w:rPr>
          <w:rFonts w:hint="eastAsia" w:ascii="宋体" w:hAnsi="宋体"/>
          <w:bCs/>
          <w:color w:val="auto"/>
          <w:sz w:val="22"/>
          <w:szCs w:val="22"/>
          <w:lang w:val="en-US" w:eastAsia="zh-CN"/>
        </w:rPr>
        <w:t>五</w:t>
      </w:r>
      <w:r>
        <w:rPr>
          <w:rFonts w:hint="eastAsia" w:ascii="宋体" w:hAnsi="宋体"/>
          <w:bCs/>
          <w:color w:val="auto"/>
          <w:sz w:val="22"/>
          <w:szCs w:val="22"/>
        </w:rPr>
        <w:t>、工期要求</w:t>
      </w:r>
      <w:bookmarkEnd w:id="115"/>
    </w:p>
    <w:p w14:paraId="227639F1">
      <w:pPr>
        <w:pStyle w:val="62"/>
        <w:spacing w:line="440" w:lineRule="exact"/>
        <w:ind w:firstLine="432"/>
        <w:rPr>
          <w:rFonts w:ascii="宋体" w:hAnsi="宋体"/>
          <w:b w:val="0"/>
          <w:color w:val="auto"/>
          <w:spacing w:val="-2"/>
          <w:sz w:val="22"/>
          <w:szCs w:val="22"/>
        </w:rPr>
      </w:pPr>
      <w:r>
        <w:rPr>
          <w:rFonts w:hint="eastAsia" w:ascii="宋体" w:hAnsi="宋体"/>
          <w:b w:val="0"/>
          <w:color w:val="auto"/>
          <w:spacing w:val="-2"/>
          <w:sz w:val="22"/>
          <w:szCs w:val="22"/>
        </w:rPr>
        <w:t>本工程工期：</w:t>
      </w:r>
      <w:r>
        <w:rPr>
          <w:rFonts w:hint="eastAsia" w:ascii="宋体" w:hAnsi="宋体"/>
          <w:bCs/>
          <w:color w:val="auto"/>
          <w:spacing w:val="-2"/>
          <w:sz w:val="22"/>
          <w:szCs w:val="22"/>
          <w:u w:val="single"/>
          <w:lang w:val="en-US" w:eastAsia="zh-CN"/>
        </w:rPr>
        <w:t>40</w:t>
      </w:r>
      <w:r>
        <w:rPr>
          <w:rFonts w:hint="eastAsia" w:ascii="宋体" w:hAnsi="宋体"/>
          <w:bCs/>
          <w:color w:val="auto"/>
          <w:spacing w:val="-2"/>
          <w:sz w:val="22"/>
          <w:szCs w:val="22"/>
          <w:u w:val="single"/>
        </w:rPr>
        <w:t>个日历天内完工</w:t>
      </w:r>
      <w:r>
        <w:rPr>
          <w:rFonts w:hint="eastAsia" w:ascii="宋体" w:hAnsi="宋体"/>
          <w:bCs/>
          <w:color w:val="auto"/>
          <w:spacing w:val="-2"/>
          <w:sz w:val="22"/>
          <w:szCs w:val="22"/>
          <w:u w:val="single"/>
          <w:lang w:eastAsia="zh-CN"/>
        </w:rPr>
        <w:t>（材料备货25天，施工工期15天）</w:t>
      </w:r>
      <w:r>
        <w:rPr>
          <w:rFonts w:hint="eastAsia" w:ascii="宋体" w:hAnsi="宋体"/>
          <w:bCs/>
          <w:color w:val="auto"/>
          <w:spacing w:val="-2"/>
          <w:sz w:val="22"/>
          <w:szCs w:val="22"/>
        </w:rPr>
        <w:t>，</w:t>
      </w:r>
      <w:r>
        <w:rPr>
          <w:rFonts w:hint="eastAsia" w:ascii="宋体" w:hAnsi="宋体"/>
          <w:b w:val="0"/>
          <w:color w:val="auto"/>
          <w:spacing w:val="-2"/>
          <w:sz w:val="22"/>
          <w:szCs w:val="22"/>
        </w:rPr>
        <w:t>工期应包括完成全部施工承包范围的工作内容。供应商可根据工程特点，结合企业自身实力，确定投标工期并制定施工网络进度计划，一旦确定成交供应商，投标工期将作为合同工期。</w:t>
      </w:r>
    </w:p>
    <w:p w14:paraId="3A5E8A18">
      <w:pPr>
        <w:pStyle w:val="62"/>
        <w:spacing w:line="440" w:lineRule="exact"/>
        <w:ind w:firstLine="0" w:firstLineChars="0"/>
        <w:rPr>
          <w:rFonts w:ascii="宋体" w:hAnsi="宋体"/>
          <w:bCs/>
          <w:color w:val="auto"/>
          <w:sz w:val="22"/>
          <w:szCs w:val="22"/>
        </w:rPr>
      </w:pPr>
      <w:bookmarkStart w:id="116" w:name="_Toc153951947"/>
      <w:r>
        <w:rPr>
          <w:rFonts w:hint="eastAsia" w:ascii="宋体" w:hAnsi="宋体"/>
          <w:bCs/>
          <w:color w:val="auto"/>
          <w:sz w:val="22"/>
          <w:szCs w:val="22"/>
          <w:lang w:val="en-US" w:eastAsia="zh-CN"/>
        </w:rPr>
        <w:t>六</w:t>
      </w:r>
      <w:r>
        <w:rPr>
          <w:rFonts w:hint="eastAsia" w:ascii="宋体" w:hAnsi="宋体"/>
          <w:bCs/>
          <w:color w:val="auto"/>
          <w:sz w:val="22"/>
          <w:szCs w:val="22"/>
        </w:rPr>
        <w:t>、工程质量要求</w:t>
      </w:r>
      <w:bookmarkEnd w:id="116"/>
    </w:p>
    <w:p w14:paraId="183E2D83">
      <w:pPr>
        <w:pStyle w:val="62"/>
        <w:spacing w:line="440" w:lineRule="exact"/>
        <w:ind w:firstLine="440"/>
        <w:rPr>
          <w:rFonts w:ascii="宋体" w:hAnsi="宋体"/>
          <w:b w:val="0"/>
          <w:color w:val="auto"/>
          <w:sz w:val="22"/>
          <w:szCs w:val="22"/>
        </w:rPr>
      </w:pPr>
      <w:r>
        <w:rPr>
          <w:rFonts w:hint="eastAsia" w:ascii="宋体" w:hAnsi="宋体"/>
          <w:b w:val="0"/>
          <w:color w:val="auto"/>
          <w:sz w:val="22"/>
          <w:szCs w:val="22"/>
        </w:rPr>
        <w:t>1、本工程质量等级要求为</w:t>
      </w:r>
      <w:r>
        <w:rPr>
          <w:rFonts w:hint="eastAsia" w:ascii="宋体" w:hAnsi="宋体"/>
          <w:b/>
          <w:bCs/>
          <w:color w:val="auto"/>
          <w:sz w:val="22"/>
          <w:szCs w:val="22"/>
          <w:u w:val="single"/>
          <w:lang w:val="en-US" w:eastAsia="zh-CN"/>
        </w:rPr>
        <w:t>供电部门验收</w:t>
      </w:r>
      <w:r>
        <w:rPr>
          <w:rFonts w:hint="eastAsia" w:ascii="宋体" w:hAnsi="宋体"/>
          <w:b/>
          <w:bCs/>
          <w:color w:val="auto"/>
          <w:sz w:val="22"/>
          <w:szCs w:val="22"/>
          <w:u w:val="single"/>
        </w:rPr>
        <w:t>合格</w:t>
      </w:r>
      <w:r>
        <w:rPr>
          <w:rFonts w:hint="eastAsia" w:ascii="宋体" w:hAnsi="宋体"/>
          <w:b/>
          <w:bCs/>
          <w:color w:val="auto"/>
          <w:sz w:val="22"/>
          <w:szCs w:val="22"/>
          <w:u w:val="single"/>
          <w:lang w:val="en-US" w:eastAsia="zh-CN"/>
        </w:rPr>
        <w:t>并通电</w:t>
      </w:r>
      <w:r>
        <w:rPr>
          <w:rFonts w:hint="eastAsia" w:ascii="宋体" w:hAnsi="宋体"/>
          <w:b w:val="0"/>
          <w:color w:val="auto"/>
          <w:sz w:val="22"/>
          <w:szCs w:val="22"/>
        </w:rPr>
        <w:t>。</w:t>
      </w:r>
    </w:p>
    <w:p w14:paraId="3041BEEA">
      <w:pPr>
        <w:pStyle w:val="62"/>
        <w:spacing w:line="440" w:lineRule="exact"/>
        <w:ind w:firstLine="440"/>
        <w:rPr>
          <w:rFonts w:ascii="宋体" w:hAnsi="宋体"/>
          <w:b w:val="0"/>
          <w:color w:val="auto"/>
          <w:sz w:val="22"/>
          <w:szCs w:val="22"/>
        </w:rPr>
      </w:pPr>
      <w:r>
        <w:rPr>
          <w:rFonts w:hint="eastAsia" w:ascii="宋体" w:hAnsi="宋体"/>
          <w:b w:val="0"/>
          <w:color w:val="auto"/>
          <w:sz w:val="22"/>
          <w:szCs w:val="22"/>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67A8ADF6">
      <w:pPr>
        <w:pStyle w:val="62"/>
        <w:spacing w:line="440" w:lineRule="exact"/>
        <w:ind w:firstLine="440"/>
        <w:rPr>
          <w:rFonts w:hint="eastAsia" w:ascii="宋体" w:hAnsi="宋体"/>
          <w:b w:val="0"/>
          <w:color w:val="auto"/>
          <w:sz w:val="22"/>
          <w:szCs w:val="22"/>
        </w:rPr>
      </w:pPr>
      <w:r>
        <w:rPr>
          <w:rFonts w:hint="eastAsia" w:ascii="宋体" w:hAnsi="宋体"/>
          <w:b w:val="0"/>
          <w:color w:val="auto"/>
          <w:sz w:val="22"/>
          <w:szCs w:val="22"/>
        </w:rPr>
        <w:t>3、本工程质</w:t>
      </w:r>
      <w:r>
        <w:rPr>
          <w:rFonts w:hint="eastAsia" w:ascii="宋体" w:hAnsi="宋体" w:cs="Courier New"/>
          <w:b w:val="0"/>
          <w:color w:val="auto"/>
          <w:sz w:val="22"/>
          <w:szCs w:val="22"/>
        </w:rPr>
        <w:t>保期按《</w:t>
      </w:r>
      <w:r>
        <w:rPr>
          <w:rFonts w:hint="eastAsia" w:ascii="宋体" w:hAnsi="宋体"/>
          <w:b w:val="0"/>
          <w:color w:val="auto"/>
          <w:sz w:val="22"/>
          <w:szCs w:val="22"/>
        </w:rPr>
        <w:t>建筑工程质量管理条例》和《房屋建筑工程质量保修办法》执行。</w:t>
      </w:r>
    </w:p>
    <w:p w14:paraId="1A280431">
      <w:pPr>
        <w:pStyle w:val="62"/>
        <w:spacing w:line="440" w:lineRule="exact"/>
        <w:ind w:firstLine="0" w:firstLineChars="0"/>
        <w:rPr>
          <w:rFonts w:hint="default" w:ascii="宋体" w:hAnsi="宋体"/>
          <w:bCs/>
          <w:color w:val="auto"/>
          <w:sz w:val="22"/>
          <w:szCs w:val="22"/>
          <w:lang w:val="en-US" w:eastAsia="zh-CN"/>
        </w:rPr>
      </w:pPr>
      <w:r>
        <w:rPr>
          <w:rFonts w:hint="eastAsia" w:ascii="宋体" w:hAnsi="宋体"/>
          <w:bCs/>
          <w:color w:val="auto"/>
          <w:sz w:val="22"/>
          <w:szCs w:val="22"/>
          <w:lang w:val="en-US" w:eastAsia="zh-CN"/>
        </w:rPr>
        <w:t>七、特别说明：</w:t>
      </w:r>
    </w:p>
    <w:p w14:paraId="1B2D6AAC">
      <w:pPr>
        <w:numPr>
          <w:ilvl w:val="0"/>
          <w:numId w:val="0"/>
        </w:numPr>
        <w:autoSpaceDE w:val="0"/>
        <w:autoSpaceDN w:val="0"/>
        <w:adjustRightInd w:val="0"/>
        <w:snapToGrid w:val="0"/>
        <w:spacing w:line="400" w:lineRule="exact"/>
        <w:ind w:firstLine="422" w:firstLineChars="200"/>
        <w:textAlignment w:val="center"/>
        <w:rPr>
          <w:rFonts w:hint="eastAsia" w:ascii="宋体" w:hAnsi="宋体" w:eastAsia="宋体" w:cs="宋体"/>
          <w:b/>
          <w:bCs/>
          <w:color w:val="auto"/>
          <w:sz w:val="22"/>
          <w:szCs w:val="22"/>
          <w:highlight w:val="none"/>
          <w:u w:val="single"/>
          <w:lang w:val="en-US" w:eastAsia="zh-CN"/>
        </w:rPr>
      </w:pPr>
      <w:r>
        <w:rPr>
          <w:rFonts w:hint="eastAsia" w:ascii="宋体" w:hAnsi="宋体"/>
          <w:b/>
          <w:color w:val="auto"/>
          <w:kern w:val="10"/>
          <w:szCs w:val="21"/>
          <w:u w:val="single"/>
          <w:lang w:val="en-US" w:eastAsia="zh-CN"/>
        </w:rPr>
        <w:t>1、</w:t>
      </w:r>
      <w:r>
        <w:rPr>
          <w:rFonts w:hint="eastAsia" w:ascii="宋体" w:hAnsi="宋体"/>
          <w:b/>
          <w:color w:val="auto"/>
          <w:kern w:val="10"/>
          <w:szCs w:val="21"/>
          <w:u w:val="single"/>
        </w:rPr>
        <w:t>▲</w:t>
      </w:r>
      <w:r>
        <w:rPr>
          <w:rFonts w:hint="eastAsia" w:ascii="宋体" w:hAnsi="宋体" w:eastAsia="宋体" w:cs="宋体"/>
          <w:b/>
          <w:bCs/>
          <w:color w:val="auto"/>
          <w:sz w:val="22"/>
          <w:szCs w:val="22"/>
          <w:highlight w:val="none"/>
          <w:u w:val="single"/>
          <w:lang w:val="en-US" w:eastAsia="zh-CN"/>
        </w:rPr>
        <w:t>因学校停电施工项目的特殊性，本次施工承包人须提供一</w:t>
      </w:r>
      <w:r>
        <w:rPr>
          <w:rFonts w:hint="eastAsia" w:ascii="宋体" w:hAnsi="宋体" w:cs="宋体"/>
          <w:b/>
          <w:bCs/>
          <w:color w:val="auto"/>
          <w:sz w:val="22"/>
          <w:szCs w:val="22"/>
          <w:highlight w:val="none"/>
          <w:u w:val="single"/>
          <w:lang w:val="en-US" w:eastAsia="zh-CN"/>
        </w:rPr>
        <w:t>套</w:t>
      </w:r>
      <w:r>
        <w:rPr>
          <w:rFonts w:hint="eastAsia" w:ascii="宋体" w:hAnsi="宋体" w:eastAsia="宋体" w:cs="宋体"/>
          <w:b/>
          <w:bCs/>
          <w:color w:val="auto"/>
          <w:sz w:val="22"/>
          <w:szCs w:val="22"/>
          <w:highlight w:val="none"/>
          <w:u w:val="single"/>
          <w:lang w:val="en-US" w:eastAsia="zh-CN"/>
        </w:rPr>
        <w:t>不小于</w:t>
      </w: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lang w:val="en-US" w:eastAsia="zh-CN"/>
        </w:rPr>
        <w:t>00kVA的</w:t>
      </w:r>
      <w:r>
        <w:rPr>
          <w:rFonts w:hint="eastAsia" w:ascii="宋体" w:hAnsi="宋体" w:cs="宋体"/>
          <w:b/>
          <w:bCs/>
          <w:color w:val="auto"/>
          <w:sz w:val="22"/>
          <w:szCs w:val="22"/>
          <w:highlight w:val="none"/>
          <w:u w:val="single"/>
          <w:lang w:val="en-US" w:eastAsia="zh-CN"/>
        </w:rPr>
        <w:t>临时箱式</w:t>
      </w:r>
      <w:r>
        <w:rPr>
          <w:rFonts w:hint="eastAsia" w:ascii="宋体" w:hAnsi="宋体" w:eastAsia="宋体" w:cs="宋体"/>
          <w:b/>
          <w:bCs/>
          <w:color w:val="auto"/>
          <w:sz w:val="22"/>
          <w:szCs w:val="22"/>
          <w:highlight w:val="none"/>
          <w:u w:val="single"/>
          <w:lang w:val="en-US" w:eastAsia="zh-CN"/>
        </w:rPr>
        <w:t>变</w:t>
      </w:r>
      <w:r>
        <w:rPr>
          <w:rFonts w:hint="eastAsia" w:ascii="宋体" w:hAnsi="宋体" w:cs="宋体"/>
          <w:b/>
          <w:bCs/>
          <w:color w:val="auto"/>
          <w:sz w:val="22"/>
          <w:szCs w:val="22"/>
          <w:highlight w:val="none"/>
          <w:u w:val="single"/>
          <w:lang w:val="en-US" w:eastAsia="zh-CN"/>
        </w:rPr>
        <w:t>电站</w:t>
      </w:r>
      <w:r>
        <w:rPr>
          <w:rFonts w:hint="eastAsia" w:ascii="宋体" w:hAnsi="宋体" w:eastAsia="宋体" w:cs="宋体"/>
          <w:b/>
          <w:bCs/>
          <w:color w:val="auto"/>
          <w:sz w:val="22"/>
          <w:szCs w:val="22"/>
          <w:highlight w:val="none"/>
          <w:u w:val="single"/>
          <w:lang w:val="en-US" w:eastAsia="zh-CN"/>
        </w:rPr>
        <w:t>，</w:t>
      </w:r>
      <w:r>
        <w:rPr>
          <w:rFonts w:hint="eastAsia" w:ascii="宋体" w:hAnsi="宋体" w:cs="宋体"/>
          <w:b/>
          <w:bCs/>
          <w:color w:val="auto"/>
          <w:sz w:val="22"/>
          <w:szCs w:val="22"/>
          <w:highlight w:val="none"/>
          <w:u w:val="single"/>
          <w:lang w:val="en-US" w:eastAsia="zh-CN"/>
        </w:rPr>
        <w:t>对学校7-12号楼及部分商业店面供电</w:t>
      </w:r>
      <w:r>
        <w:rPr>
          <w:rFonts w:hint="eastAsia" w:ascii="宋体" w:hAnsi="宋体" w:eastAsia="宋体" w:cs="宋体"/>
          <w:b/>
          <w:bCs/>
          <w:color w:val="auto"/>
          <w:sz w:val="22"/>
          <w:szCs w:val="22"/>
          <w:highlight w:val="none"/>
          <w:u w:val="single"/>
          <w:lang w:val="en-US" w:eastAsia="zh-CN"/>
        </w:rPr>
        <w:t>。相关保电措施费用已含在清单内，请</w:t>
      </w:r>
      <w:r>
        <w:rPr>
          <w:rFonts w:hint="eastAsia" w:ascii="宋体" w:hAnsi="宋体" w:cs="宋体"/>
          <w:b/>
          <w:bCs/>
          <w:color w:val="auto"/>
          <w:sz w:val="22"/>
          <w:szCs w:val="22"/>
          <w:highlight w:val="none"/>
          <w:u w:val="single"/>
          <w:lang w:val="en-US" w:eastAsia="zh-CN"/>
        </w:rPr>
        <w:t>磋商供应商</w:t>
      </w:r>
      <w:r>
        <w:rPr>
          <w:rFonts w:hint="eastAsia" w:ascii="宋体" w:hAnsi="宋体" w:eastAsia="宋体" w:cs="宋体"/>
          <w:b/>
          <w:bCs/>
          <w:color w:val="auto"/>
          <w:sz w:val="22"/>
          <w:szCs w:val="22"/>
          <w:highlight w:val="none"/>
          <w:u w:val="single"/>
          <w:lang w:val="en-US" w:eastAsia="zh-CN"/>
        </w:rPr>
        <w:t>自行考虑报价。</w:t>
      </w:r>
    </w:p>
    <w:p w14:paraId="17354095">
      <w:pPr>
        <w:numPr>
          <w:ilvl w:val="0"/>
          <w:numId w:val="0"/>
        </w:numPr>
        <w:autoSpaceDE w:val="0"/>
        <w:autoSpaceDN w:val="0"/>
        <w:adjustRightInd w:val="0"/>
        <w:snapToGrid w:val="0"/>
        <w:spacing w:line="400" w:lineRule="exact"/>
        <w:ind w:firstLine="442" w:firstLineChars="200"/>
        <w:textAlignment w:val="center"/>
        <w:rPr>
          <w:rFonts w:hint="default" w:ascii="宋体" w:hAnsi="宋体" w:eastAsia="宋体" w:cs="宋体"/>
          <w:b/>
          <w:bCs/>
          <w:color w:val="auto"/>
          <w:sz w:val="22"/>
          <w:szCs w:val="22"/>
          <w:highlight w:val="none"/>
          <w:u w:val="single"/>
          <w:lang w:val="en-US" w:eastAsia="zh-CN"/>
        </w:rPr>
      </w:pPr>
      <w:r>
        <w:rPr>
          <w:rFonts w:hint="eastAsia" w:ascii="宋体" w:hAnsi="宋体" w:cs="宋体"/>
          <w:b/>
          <w:bCs/>
          <w:color w:val="auto"/>
          <w:sz w:val="22"/>
          <w:szCs w:val="22"/>
          <w:highlight w:val="none"/>
          <w:u w:val="single"/>
          <w:lang w:val="en-US" w:eastAsia="zh-CN"/>
        </w:rPr>
        <w:t>2、</w:t>
      </w:r>
      <w:r>
        <w:rPr>
          <w:rFonts w:hint="eastAsia" w:ascii="宋体" w:hAnsi="宋体"/>
          <w:b/>
          <w:color w:val="auto"/>
          <w:kern w:val="10"/>
          <w:szCs w:val="21"/>
          <w:u w:val="single"/>
        </w:rPr>
        <w:t>▲</w:t>
      </w:r>
      <w:r>
        <w:rPr>
          <w:rFonts w:hint="eastAsia" w:ascii="宋体" w:hAnsi="宋体"/>
          <w:b/>
          <w:color w:val="auto"/>
          <w:kern w:val="10"/>
          <w:szCs w:val="21"/>
          <w:u w:val="single"/>
          <w:lang w:val="en-US" w:eastAsia="zh-CN"/>
        </w:rPr>
        <w:t>原配电房内设置的物联网管控设备，须成交供应商负责拆装恢复，并配合接入后勤管控平台。</w:t>
      </w:r>
    </w:p>
    <w:p w14:paraId="5F6A66E6">
      <w:pPr>
        <w:rPr>
          <w:rFonts w:hint="default" w:eastAsia="宋体"/>
          <w:color w:val="auto"/>
          <w:lang w:val="en-US" w:eastAsia="zh-CN"/>
        </w:rPr>
      </w:pPr>
    </w:p>
    <w:p w14:paraId="037C577B">
      <w:pPr>
        <w:pStyle w:val="2"/>
        <w:spacing w:line="560" w:lineRule="exact"/>
        <w:jc w:val="center"/>
        <w:rPr>
          <w:rFonts w:hint="eastAsia" w:ascii="黑体" w:eastAsia="黑体"/>
          <w:color w:val="auto"/>
          <w:sz w:val="32"/>
          <w:szCs w:val="32"/>
        </w:rPr>
      </w:pPr>
      <w:bookmarkStart w:id="117" w:name="_Toc434931551"/>
      <w:r>
        <w:rPr>
          <w:rFonts w:ascii="黑体" w:eastAsia="黑体"/>
          <w:color w:val="auto"/>
          <w:sz w:val="32"/>
          <w:szCs w:val="32"/>
        </w:rPr>
        <w:br w:type="page"/>
      </w:r>
      <w:bookmarkStart w:id="118" w:name="_Toc16173"/>
      <w:bookmarkStart w:id="119" w:name="_Toc22554"/>
      <w:r>
        <w:rPr>
          <w:rFonts w:hint="eastAsia" w:ascii="黑体" w:eastAsia="黑体"/>
          <w:color w:val="auto"/>
          <w:sz w:val="32"/>
          <w:szCs w:val="32"/>
        </w:rPr>
        <w:t>第六部分  磋商原则及方法</w:t>
      </w:r>
      <w:bookmarkEnd w:id="117"/>
      <w:bookmarkEnd w:id="118"/>
      <w:bookmarkEnd w:id="119"/>
    </w:p>
    <w:p w14:paraId="252094BB">
      <w:pPr>
        <w:spacing w:line="440" w:lineRule="exact"/>
        <w:ind w:left="548" w:leftChars="261"/>
        <w:rPr>
          <w:rFonts w:hint="eastAsia" w:ascii="宋体" w:hAnsi="宋体"/>
          <w:color w:val="auto"/>
          <w:sz w:val="22"/>
          <w:szCs w:val="22"/>
        </w:rPr>
      </w:pPr>
      <w:r>
        <w:rPr>
          <w:rFonts w:hint="eastAsia" w:ascii="宋体" w:hAnsi="宋体"/>
          <w:color w:val="auto"/>
          <w:sz w:val="22"/>
          <w:szCs w:val="22"/>
        </w:rPr>
        <w:t>根据《中华人民共和国政府采购法》、</w:t>
      </w:r>
      <w:r>
        <w:rPr>
          <w:rFonts w:ascii="宋体" w:hAnsi="宋体" w:cs="宋体"/>
          <w:color w:val="auto"/>
          <w:kern w:val="0"/>
          <w:sz w:val="22"/>
          <w:szCs w:val="22"/>
        </w:rPr>
        <w:t>《政府采购竞争性磋商采购方式管理暂行办法</w:t>
      </w:r>
      <w:r>
        <w:rPr>
          <w:rFonts w:hint="eastAsia" w:ascii="宋体" w:hAnsi="宋体" w:cs="宋体"/>
          <w:color w:val="auto"/>
          <w:kern w:val="0"/>
          <w:sz w:val="22"/>
          <w:szCs w:val="22"/>
        </w:rPr>
        <w:t>》</w:t>
      </w:r>
      <w:r>
        <w:rPr>
          <w:rFonts w:hint="eastAsia" w:ascii="宋体" w:hAnsi="宋体"/>
          <w:color w:val="auto"/>
          <w:sz w:val="22"/>
          <w:szCs w:val="22"/>
        </w:rPr>
        <w:t>等法律、法规制定本磋商原则和方法。</w:t>
      </w:r>
    </w:p>
    <w:p w14:paraId="6A80D3FC">
      <w:pPr>
        <w:spacing w:line="440" w:lineRule="exact"/>
        <w:rPr>
          <w:rFonts w:hint="eastAsia" w:ascii="宋体" w:hAnsi="宋体"/>
          <w:b/>
          <w:color w:val="auto"/>
          <w:sz w:val="22"/>
          <w:szCs w:val="22"/>
        </w:rPr>
      </w:pPr>
      <w:r>
        <w:rPr>
          <w:rFonts w:hint="eastAsia" w:ascii="宋体" w:hAnsi="宋体"/>
          <w:b/>
          <w:color w:val="auto"/>
          <w:sz w:val="22"/>
          <w:szCs w:val="22"/>
        </w:rPr>
        <w:t>一、 总  则</w:t>
      </w:r>
    </w:p>
    <w:p w14:paraId="73BAAB6F">
      <w:pPr>
        <w:spacing w:line="440" w:lineRule="exact"/>
        <w:ind w:left="548" w:leftChars="261"/>
        <w:rPr>
          <w:rFonts w:hint="eastAsia" w:ascii="宋体" w:hAnsi="宋体"/>
          <w:color w:val="auto"/>
          <w:sz w:val="22"/>
          <w:szCs w:val="22"/>
        </w:rPr>
      </w:pPr>
      <w:r>
        <w:rPr>
          <w:rFonts w:hint="eastAsia" w:ascii="宋体" w:hAnsi="宋体"/>
          <w:color w:val="auto"/>
          <w:sz w:val="22"/>
          <w:szCs w:val="22"/>
        </w:rPr>
        <w:t>评审工作遵循“公平、公正、科学、择优”原则和“诚实、信誉、效率”的服务原则。最大限度的保护采购人权益，严格按照磋商文件的要求，对响应文件进行综合评审。磋商供应商不得以任何方式干扰政府采购工作的进行，一经发现其响应文件将被拒绝。</w:t>
      </w:r>
    </w:p>
    <w:p w14:paraId="17B2190E">
      <w:pPr>
        <w:spacing w:line="440" w:lineRule="exact"/>
        <w:rPr>
          <w:rFonts w:hint="eastAsia" w:ascii="宋体" w:hAnsi="宋体"/>
          <w:b/>
          <w:color w:val="auto"/>
          <w:sz w:val="22"/>
          <w:szCs w:val="22"/>
        </w:rPr>
      </w:pPr>
      <w:r>
        <w:rPr>
          <w:rFonts w:hint="eastAsia" w:ascii="宋体" w:hAnsi="宋体"/>
          <w:b/>
          <w:color w:val="auto"/>
          <w:sz w:val="22"/>
          <w:szCs w:val="22"/>
        </w:rPr>
        <w:t>二、 磋商程序</w:t>
      </w:r>
    </w:p>
    <w:p w14:paraId="7155E704">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采购代理机构签收、开始解密磋商响应文件；</w:t>
      </w:r>
    </w:p>
    <w:p w14:paraId="58B4D0C0">
      <w:pPr>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磋商供应商解密磋商响应文件；</w:t>
      </w:r>
    </w:p>
    <w:p w14:paraId="1C090AF8">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采购代理机构结束解密磋商响应文件；</w:t>
      </w:r>
    </w:p>
    <w:p w14:paraId="7C09EF10">
      <w:pPr>
        <w:spacing w:line="440" w:lineRule="exact"/>
        <w:rPr>
          <w:rFonts w:hint="eastAsia"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14:paraId="2876AEB2">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磋商小组在线符合性审查；</w:t>
      </w:r>
    </w:p>
    <w:p w14:paraId="6CF903FB">
      <w:pPr>
        <w:spacing w:line="440" w:lineRule="exact"/>
        <w:rPr>
          <w:rFonts w:ascii="宋体" w:hAnsi="宋体" w:cs="宋体"/>
          <w:color w:val="auto"/>
          <w:sz w:val="22"/>
          <w:szCs w:val="22"/>
        </w:rPr>
      </w:pPr>
      <w:r>
        <w:rPr>
          <w:rFonts w:ascii="宋体" w:hAnsi="宋体" w:cs="宋体"/>
          <w:color w:val="auto"/>
          <w:sz w:val="22"/>
          <w:szCs w:val="22"/>
        </w:rPr>
        <w:t>6</w:t>
      </w:r>
      <w:r>
        <w:rPr>
          <w:rFonts w:hint="eastAsia" w:ascii="宋体" w:hAnsi="宋体" w:cs="宋体"/>
          <w:color w:val="auto"/>
          <w:sz w:val="22"/>
          <w:szCs w:val="22"/>
        </w:rPr>
        <w:t>.</w:t>
      </w:r>
      <w:r>
        <w:rPr>
          <w:rFonts w:ascii="宋体" w:hAnsi="宋体" w:cs="宋体"/>
          <w:color w:val="auto"/>
          <w:sz w:val="22"/>
          <w:szCs w:val="22"/>
        </w:rPr>
        <w:t xml:space="preserve">   </w:t>
      </w:r>
      <w:r>
        <w:rPr>
          <w:rFonts w:hint="eastAsia" w:ascii="宋体" w:hAnsi="宋体" w:cs="宋体"/>
          <w:color w:val="auto"/>
          <w:sz w:val="22"/>
          <w:szCs w:val="22"/>
        </w:rPr>
        <w:t>开启第二轮报价；</w:t>
      </w:r>
    </w:p>
    <w:p w14:paraId="3A8D08C4">
      <w:pPr>
        <w:spacing w:line="440" w:lineRule="exact"/>
        <w:rPr>
          <w:rFonts w:hint="eastAsia" w:ascii="宋体" w:hAnsi="宋体" w:cs="宋体"/>
          <w:color w:val="auto"/>
          <w:sz w:val="22"/>
          <w:szCs w:val="22"/>
        </w:rPr>
      </w:pPr>
      <w:r>
        <w:rPr>
          <w:rFonts w:hint="eastAsia" w:ascii="宋体" w:hAnsi="宋体" w:cs="宋体"/>
          <w:color w:val="auto"/>
          <w:sz w:val="22"/>
          <w:szCs w:val="22"/>
        </w:rPr>
        <w:t>7.</w:t>
      </w:r>
      <w:r>
        <w:rPr>
          <w:rFonts w:ascii="宋体" w:hAnsi="宋体" w:cs="宋体"/>
          <w:color w:val="auto"/>
          <w:sz w:val="22"/>
          <w:szCs w:val="22"/>
        </w:rPr>
        <w:t xml:space="preserve">   </w:t>
      </w:r>
      <w:r>
        <w:rPr>
          <w:rFonts w:hint="eastAsia" w:ascii="宋体" w:hAnsi="宋体" w:cs="宋体"/>
          <w:color w:val="auto"/>
          <w:sz w:val="22"/>
          <w:szCs w:val="22"/>
        </w:rPr>
        <w:t>磋商小组对磋商响应文件进行综合评审；</w:t>
      </w:r>
    </w:p>
    <w:p w14:paraId="401F9EB4">
      <w:pPr>
        <w:spacing w:line="440" w:lineRule="exact"/>
        <w:rPr>
          <w:rFonts w:hint="eastAsia"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在系统上公布评审结果。</w:t>
      </w:r>
    </w:p>
    <w:p w14:paraId="45FD8D37">
      <w:pPr>
        <w:spacing w:line="440" w:lineRule="exact"/>
        <w:ind w:left="548" w:leftChars="261"/>
        <w:rPr>
          <w:rFonts w:hint="eastAsia"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14:paraId="0D98A8CE">
      <w:pPr>
        <w:spacing w:line="440" w:lineRule="exact"/>
        <w:rPr>
          <w:rFonts w:hint="eastAsia" w:ascii="宋体" w:hAnsi="宋体"/>
          <w:b/>
          <w:color w:val="auto"/>
          <w:sz w:val="22"/>
          <w:szCs w:val="22"/>
        </w:rPr>
      </w:pPr>
      <w:r>
        <w:rPr>
          <w:rFonts w:hint="eastAsia" w:ascii="宋体" w:hAnsi="宋体"/>
          <w:b/>
          <w:color w:val="auto"/>
          <w:sz w:val="22"/>
          <w:szCs w:val="22"/>
        </w:rPr>
        <w:t>三、 磋商办法</w:t>
      </w:r>
    </w:p>
    <w:p w14:paraId="59C37261">
      <w:pPr>
        <w:spacing w:line="440" w:lineRule="exact"/>
        <w:ind w:left="548" w:leftChars="261"/>
        <w:rPr>
          <w:rFonts w:hint="eastAsia" w:ascii="宋体" w:hAnsi="宋体"/>
          <w:color w:val="auto"/>
          <w:sz w:val="22"/>
          <w:szCs w:val="22"/>
        </w:rPr>
      </w:pPr>
      <w:r>
        <w:rPr>
          <w:rFonts w:hint="eastAsia" w:ascii="宋体" w:hAnsi="宋体"/>
          <w:color w:val="auto"/>
          <w:sz w:val="22"/>
          <w:szCs w:val="22"/>
        </w:rPr>
        <w:t>本次磋商采用综合评分法，总分100分，其中技术资信标</w:t>
      </w:r>
      <w:r>
        <w:rPr>
          <w:rFonts w:hint="eastAsia" w:ascii="宋体" w:hAnsi="宋体"/>
          <w:color w:val="auto"/>
          <w:sz w:val="22"/>
          <w:szCs w:val="22"/>
          <w:lang w:val="en-US" w:eastAsia="zh-CN"/>
        </w:rPr>
        <w:t>8</w:t>
      </w:r>
      <w:r>
        <w:rPr>
          <w:rFonts w:hint="eastAsia" w:ascii="宋体" w:hAnsi="宋体"/>
          <w:color w:val="auto"/>
          <w:sz w:val="22"/>
          <w:szCs w:val="22"/>
        </w:rPr>
        <w:t>0分（技术权值</w:t>
      </w:r>
      <w:r>
        <w:rPr>
          <w:rFonts w:hint="eastAsia" w:ascii="宋体" w:hAnsi="宋体"/>
          <w:color w:val="auto"/>
          <w:sz w:val="22"/>
          <w:szCs w:val="22"/>
          <w:lang w:val="en-US" w:eastAsia="zh-CN"/>
        </w:rPr>
        <w:t>8</w:t>
      </w:r>
      <w:r>
        <w:rPr>
          <w:rFonts w:hint="eastAsia" w:ascii="宋体" w:hAnsi="宋体"/>
          <w:color w:val="auto"/>
          <w:sz w:val="22"/>
          <w:szCs w:val="22"/>
        </w:rPr>
        <w:t>0%），价格</w:t>
      </w:r>
      <w:r>
        <w:rPr>
          <w:rFonts w:hint="eastAsia" w:ascii="宋体" w:hAnsi="宋体"/>
          <w:color w:val="auto"/>
          <w:sz w:val="22"/>
          <w:szCs w:val="22"/>
          <w:lang w:val="en-US" w:eastAsia="zh-CN"/>
        </w:rPr>
        <w:t>2</w:t>
      </w:r>
      <w:r>
        <w:rPr>
          <w:rFonts w:hint="eastAsia" w:ascii="宋体" w:hAnsi="宋体"/>
          <w:color w:val="auto"/>
          <w:sz w:val="22"/>
          <w:szCs w:val="22"/>
        </w:rPr>
        <w:t>0分（价格权值</w:t>
      </w:r>
      <w:r>
        <w:rPr>
          <w:rFonts w:hint="eastAsia" w:ascii="宋体" w:hAnsi="宋体"/>
          <w:color w:val="auto"/>
          <w:sz w:val="22"/>
          <w:szCs w:val="22"/>
          <w:lang w:val="en-US" w:eastAsia="zh-CN"/>
        </w:rPr>
        <w:t>2</w:t>
      </w:r>
      <w:r>
        <w:rPr>
          <w:rFonts w:hint="eastAsia" w:ascii="宋体" w:hAnsi="宋体"/>
          <w:color w:val="auto"/>
          <w:sz w:val="22"/>
          <w:szCs w:val="22"/>
        </w:rPr>
        <w:t>0%）。即最大限度地满足磋商文件实质性要求前提下，按照磋商文件中规定的各项评分内容评审后，以磋商总得分最高的磋商供应商，作为成交候选供应商。</w:t>
      </w:r>
    </w:p>
    <w:p w14:paraId="5C7619DB">
      <w:pPr>
        <w:pStyle w:val="15"/>
        <w:adjustRightInd w:val="0"/>
        <w:snapToGrid w:val="0"/>
        <w:spacing w:line="440" w:lineRule="exact"/>
        <w:rPr>
          <w:rFonts w:hint="eastAsia" w:ascii="宋体" w:hAnsi="宋体"/>
          <w:b/>
          <w:color w:val="auto"/>
          <w:sz w:val="22"/>
          <w:szCs w:val="22"/>
        </w:rPr>
      </w:pPr>
      <w:r>
        <w:rPr>
          <w:rFonts w:hint="eastAsia" w:ascii="宋体" w:hAnsi="宋体"/>
          <w:b/>
          <w:color w:val="auto"/>
          <w:sz w:val="22"/>
          <w:szCs w:val="22"/>
        </w:rPr>
        <w:t>四、 评分细则</w:t>
      </w:r>
    </w:p>
    <w:p w14:paraId="29AE1EA9">
      <w:pPr>
        <w:spacing w:line="440" w:lineRule="exact"/>
        <w:rPr>
          <w:rFonts w:hint="eastAsia" w:ascii="宋体" w:hAnsi="宋体"/>
          <w:color w:val="auto"/>
          <w:sz w:val="22"/>
          <w:szCs w:val="22"/>
        </w:rPr>
      </w:pPr>
      <w:r>
        <w:rPr>
          <w:rFonts w:ascii="宋体" w:hAnsi="宋体"/>
          <w:b/>
          <w:color w:val="auto"/>
          <w:sz w:val="22"/>
          <w:szCs w:val="22"/>
        </w:rPr>
        <w:t>1</w:t>
      </w:r>
      <w:r>
        <w:rPr>
          <w:rFonts w:hint="eastAsia" w:ascii="宋体" w:hAnsi="宋体"/>
          <w:b/>
          <w:color w:val="auto"/>
          <w:sz w:val="22"/>
          <w:szCs w:val="22"/>
        </w:rPr>
        <w:t xml:space="preserve">. </w:t>
      </w:r>
      <w:r>
        <w:rPr>
          <w:rFonts w:hint="eastAsia" w:ascii="宋体" w:hAnsi="宋体"/>
          <w:color w:val="auto"/>
          <w:sz w:val="22"/>
          <w:szCs w:val="22"/>
        </w:rPr>
        <w:t xml:space="preserve">  </w:t>
      </w:r>
      <w:r>
        <w:rPr>
          <w:rFonts w:hint="eastAsia" w:ascii="宋体" w:hAnsi="宋体"/>
          <w:b/>
          <w:color w:val="auto"/>
          <w:sz w:val="22"/>
          <w:szCs w:val="22"/>
        </w:rPr>
        <w:t>技术资信分的评定（</w:t>
      </w:r>
      <w:r>
        <w:rPr>
          <w:rFonts w:hint="eastAsia" w:ascii="宋体" w:hAnsi="宋体"/>
          <w:b/>
          <w:color w:val="auto"/>
          <w:sz w:val="22"/>
          <w:szCs w:val="22"/>
          <w:lang w:val="en-US" w:eastAsia="zh-CN"/>
        </w:rPr>
        <w:t>8</w:t>
      </w:r>
      <w:r>
        <w:rPr>
          <w:rFonts w:hint="eastAsia" w:ascii="宋体" w:hAnsi="宋体"/>
          <w:b/>
          <w:color w:val="auto"/>
          <w:sz w:val="22"/>
          <w:szCs w:val="22"/>
        </w:rPr>
        <w:t>0分）</w:t>
      </w:r>
    </w:p>
    <w:p w14:paraId="773DD030">
      <w:pPr>
        <w:spacing w:line="440" w:lineRule="exact"/>
        <w:ind w:left="540" w:leftChars="257"/>
        <w:rPr>
          <w:rFonts w:ascii="宋体" w:hAnsi="宋体"/>
          <w:color w:val="auto"/>
          <w:sz w:val="22"/>
          <w:szCs w:val="22"/>
        </w:rPr>
      </w:pPr>
      <w:r>
        <w:rPr>
          <w:rFonts w:ascii="宋体" w:hAnsi="宋体"/>
          <w:color w:val="auto"/>
          <w:sz w:val="22"/>
          <w:szCs w:val="22"/>
        </w:rPr>
        <w:t>各</w:t>
      </w:r>
      <w:r>
        <w:rPr>
          <w:rFonts w:hint="eastAsia" w:ascii="宋体" w:hAnsi="宋体"/>
          <w:color w:val="auto"/>
          <w:sz w:val="22"/>
          <w:szCs w:val="22"/>
        </w:rPr>
        <w:t>磋商小组</w:t>
      </w:r>
      <w:r>
        <w:rPr>
          <w:rFonts w:ascii="宋体" w:hAnsi="宋体"/>
          <w:color w:val="auto"/>
          <w:sz w:val="22"/>
          <w:szCs w:val="22"/>
        </w:rPr>
        <w:t>成员按下列评分内容进行评定，每人一张评分计算表，由磋商小组成员各自评定独立打分并记实名。如某张表的一项评分内容分值超过规定的范围，则该张表无效。磋商小组各成员对磋商供应商的</w:t>
      </w:r>
      <w:r>
        <w:rPr>
          <w:rFonts w:hint="eastAsia" w:ascii="宋体" w:hAnsi="宋体"/>
          <w:color w:val="auto"/>
          <w:sz w:val="22"/>
          <w:szCs w:val="22"/>
        </w:rPr>
        <w:t>各项评分内容评分的合计分</w:t>
      </w:r>
      <w:r>
        <w:rPr>
          <w:rFonts w:ascii="宋体" w:hAnsi="宋体"/>
          <w:color w:val="auto"/>
          <w:sz w:val="22"/>
          <w:szCs w:val="22"/>
        </w:rPr>
        <w:t>的算术平均值即为该磋商供应商技术最终得分（四舍五入，保留小数点后二位）。</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529"/>
        <w:gridCol w:w="1133"/>
        <w:gridCol w:w="5903"/>
        <w:gridCol w:w="717"/>
      </w:tblGrid>
      <w:tr w14:paraId="1760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46BB42D1">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12D09FA">
            <w:pPr>
              <w:jc w:val="center"/>
              <w:rPr>
                <w:rFonts w:ascii="宋体" w:hAnsi="宋体"/>
                <w:color w:val="auto"/>
                <w:sz w:val="22"/>
                <w:szCs w:val="22"/>
                <w:highlight w:val="none"/>
              </w:rPr>
            </w:pPr>
            <w:r>
              <w:rPr>
                <w:rFonts w:hint="eastAsia" w:ascii="宋体" w:hAnsi="宋体"/>
                <w:color w:val="auto"/>
                <w:sz w:val="22"/>
                <w:szCs w:val="22"/>
                <w:highlight w:val="none"/>
              </w:rPr>
              <w:t>评分项目</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23FA7656">
            <w:pPr>
              <w:jc w:val="center"/>
              <w:rPr>
                <w:rFonts w:ascii="宋体" w:hAnsi="宋体"/>
                <w:color w:val="auto"/>
                <w:sz w:val="22"/>
                <w:szCs w:val="22"/>
                <w:highlight w:val="none"/>
              </w:rPr>
            </w:pPr>
            <w:r>
              <w:rPr>
                <w:rFonts w:hint="eastAsia" w:ascii="宋体" w:hAnsi="宋体"/>
                <w:color w:val="auto"/>
                <w:sz w:val="22"/>
                <w:szCs w:val="22"/>
                <w:highlight w:val="none"/>
              </w:rPr>
              <w:t>分值</w:t>
            </w:r>
          </w:p>
          <w:p w14:paraId="6722252A">
            <w:pPr>
              <w:jc w:val="center"/>
              <w:rPr>
                <w:rFonts w:ascii="宋体" w:hAnsi="宋体"/>
                <w:color w:val="auto"/>
                <w:sz w:val="22"/>
                <w:szCs w:val="22"/>
                <w:highlight w:val="none"/>
              </w:rPr>
            </w:pPr>
            <w:r>
              <w:rPr>
                <w:rFonts w:hint="eastAsia" w:ascii="宋体" w:hAnsi="宋体"/>
                <w:color w:val="auto"/>
                <w:sz w:val="22"/>
                <w:szCs w:val="22"/>
                <w:highlight w:val="none"/>
              </w:rPr>
              <w:t>范围</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256EA63A">
            <w:pPr>
              <w:jc w:val="center"/>
              <w:rPr>
                <w:rFonts w:ascii="宋体" w:hAnsi="宋体"/>
                <w:color w:val="auto"/>
                <w:sz w:val="22"/>
                <w:szCs w:val="22"/>
                <w:highlight w:val="none"/>
              </w:rPr>
            </w:pPr>
            <w:r>
              <w:rPr>
                <w:rFonts w:hint="eastAsia" w:ascii="宋体" w:hAnsi="宋体"/>
                <w:color w:val="auto"/>
                <w:sz w:val="22"/>
                <w:szCs w:val="22"/>
                <w:highlight w:val="none"/>
              </w:rPr>
              <w:t>评分要点及说明（评审因素）</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063F83DD">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备注</w:t>
            </w:r>
          </w:p>
        </w:tc>
      </w:tr>
      <w:tr w14:paraId="2355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right w:val="single" w:color="auto" w:sz="4" w:space="0"/>
            </w:tcBorders>
            <w:noWrap w:val="0"/>
            <w:vAlign w:val="center"/>
          </w:tcPr>
          <w:p w14:paraId="5C858FFD">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776" w:type="pct"/>
            <w:tcBorders>
              <w:top w:val="single" w:color="auto" w:sz="4" w:space="0"/>
              <w:left w:val="single" w:color="auto" w:sz="4" w:space="0"/>
              <w:right w:val="single" w:color="auto" w:sz="4" w:space="0"/>
            </w:tcBorders>
            <w:noWrap w:val="0"/>
            <w:vAlign w:val="center"/>
          </w:tcPr>
          <w:p w14:paraId="01CEBD12">
            <w:pPr>
              <w:widowControl/>
              <w:snapToGrid w:val="0"/>
              <w:spacing w:line="240" w:lineRule="exact"/>
              <w:jc w:val="center"/>
              <w:rPr>
                <w:rFonts w:hint="eastAsia" w:ascii="宋体" w:hAnsi="宋体" w:cs="宋体"/>
                <w:color w:val="auto"/>
                <w:kern w:val="2"/>
                <w:sz w:val="22"/>
                <w:szCs w:val="22"/>
                <w:highlight w:val="none"/>
                <w:lang w:val="en-US" w:eastAsia="zh-CN" w:bidi="ar-SA"/>
              </w:rPr>
            </w:pPr>
            <w:r>
              <w:rPr>
                <w:rFonts w:hint="eastAsia" w:ascii="宋体" w:hAnsi="宋体" w:eastAsia="宋体" w:cs="Times New Roman"/>
                <w:color w:val="auto"/>
                <w:sz w:val="22"/>
                <w:szCs w:val="22"/>
                <w:lang w:eastAsia="zh-CN"/>
              </w:rPr>
              <w:t>供应商三标体系认证</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520BE2B7">
            <w:pPr>
              <w:widowControl/>
              <w:snapToGrid w:val="0"/>
              <w:spacing w:line="240" w:lineRule="exact"/>
              <w:jc w:val="center"/>
              <w:rPr>
                <w:rFonts w:hint="eastAsia" w:ascii="宋体" w:hAnsi="宋体" w:eastAsia="宋体" w:cs="宋体"/>
                <w:bCs/>
                <w:color w:val="auto"/>
                <w:sz w:val="22"/>
                <w:szCs w:val="22"/>
              </w:rPr>
            </w:pPr>
            <w:r>
              <w:rPr>
                <w:rFonts w:hint="eastAsia" w:ascii="宋体" w:hAnsi="宋体" w:eastAsia="宋体" w:cs="Times New Roman"/>
                <w:color w:val="auto"/>
                <w:sz w:val="22"/>
                <w:szCs w:val="22"/>
              </w:rPr>
              <w:t>0-</w:t>
            </w:r>
            <w:r>
              <w:rPr>
                <w:rFonts w:hint="eastAsia" w:ascii="宋体" w:hAnsi="宋体" w:cs="Times New Roman"/>
                <w:color w:val="auto"/>
                <w:sz w:val="22"/>
                <w:szCs w:val="22"/>
                <w:lang w:val="en-US" w:eastAsia="zh-CN"/>
              </w:rPr>
              <w:t>6</w:t>
            </w:r>
            <w:r>
              <w:rPr>
                <w:rFonts w:hint="eastAsia" w:ascii="宋体" w:hAnsi="宋体" w:eastAsia="宋体" w:cs="Times New Roman"/>
                <w:color w:val="auto"/>
                <w:sz w:val="22"/>
                <w:szCs w:val="22"/>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1A719A0E">
            <w:pPr>
              <w:widowControl/>
              <w:snapToGrid w:val="0"/>
              <w:spacing w:line="240" w:lineRule="exact"/>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1、有效的质量管理体系认证证书的得</w:t>
            </w:r>
            <w:r>
              <w:rPr>
                <w:rFonts w:hint="eastAsia" w:ascii="宋体" w:hAnsi="宋体" w:cs="Times New Roman"/>
                <w:color w:val="auto"/>
                <w:sz w:val="22"/>
                <w:szCs w:val="22"/>
                <w:lang w:val="en-US" w:eastAsia="zh-CN"/>
              </w:rPr>
              <w:t>2</w:t>
            </w:r>
            <w:r>
              <w:rPr>
                <w:rFonts w:hint="eastAsia" w:ascii="宋体" w:hAnsi="宋体" w:eastAsia="宋体" w:cs="Times New Roman"/>
                <w:color w:val="auto"/>
                <w:sz w:val="22"/>
                <w:szCs w:val="22"/>
                <w:lang w:val="en-US" w:eastAsia="zh-CN"/>
              </w:rPr>
              <w:t>分；</w:t>
            </w:r>
          </w:p>
          <w:p w14:paraId="394AFC93">
            <w:pPr>
              <w:widowControl/>
              <w:snapToGrid w:val="0"/>
              <w:spacing w:line="240" w:lineRule="exact"/>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2、有效的环境管理体系认证证书的得</w:t>
            </w:r>
            <w:r>
              <w:rPr>
                <w:rFonts w:hint="eastAsia" w:ascii="宋体" w:hAnsi="宋体" w:cs="Times New Roman"/>
                <w:color w:val="auto"/>
                <w:sz w:val="22"/>
                <w:szCs w:val="22"/>
                <w:lang w:val="en-US" w:eastAsia="zh-CN"/>
              </w:rPr>
              <w:t>2</w:t>
            </w:r>
            <w:r>
              <w:rPr>
                <w:rFonts w:hint="eastAsia" w:ascii="宋体" w:hAnsi="宋体" w:eastAsia="宋体" w:cs="Times New Roman"/>
                <w:color w:val="auto"/>
                <w:sz w:val="22"/>
                <w:szCs w:val="22"/>
                <w:lang w:val="en-US" w:eastAsia="zh-CN"/>
              </w:rPr>
              <w:t>分；</w:t>
            </w:r>
          </w:p>
          <w:p w14:paraId="3F439D7A">
            <w:pPr>
              <w:widowControl/>
              <w:snapToGrid w:val="0"/>
              <w:spacing w:line="240" w:lineRule="exact"/>
              <w:rPr>
                <w:rFonts w:hint="eastAsia" w:ascii="宋体" w:hAnsi="宋体" w:eastAsia="宋体" w:cs="宋体"/>
                <w:color w:val="auto"/>
                <w:sz w:val="22"/>
                <w:szCs w:val="22"/>
                <w:highlight w:val="none"/>
                <w:lang w:eastAsia="zh-CN"/>
              </w:rPr>
            </w:pPr>
            <w:r>
              <w:rPr>
                <w:rFonts w:hint="eastAsia" w:ascii="宋体" w:hAnsi="宋体" w:eastAsia="宋体" w:cs="Times New Roman"/>
                <w:color w:val="auto"/>
                <w:sz w:val="22"/>
                <w:szCs w:val="22"/>
                <w:lang w:val="en-US" w:eastAsia="zh-CN"/>
              </w:rPr>
              <w:t>3、有效的职业健康安全管理体系认证证书的得</w:t>
            </w:r>
            <w:r>
              <w:rPr>
                <w:rFonts w:hint="eastAsia" w:ascii="宋体" w:hAnsi="宋体" w:cs="Times New Roman"/>
                <w:color w:val="auto"/>
                <w:sz w:val="22"/>
                <w:szCs w:val="22"/>
                <w:lang w:val="en-US" w:eastAsia="zh-CN"/>
              </w:rPr>
              <w:t>2</w:t>
            </w:r>
            <w:r>
              <w:rPr>
                <w:rFonts w:hint="eastAsia" w:ascii="宋体" w:hAnsi="宋体" w:eastAsia="宋体" w:cs="Times New Roman"/>
                <w:color w:val="auto"/>
                <w:sz w:val="22"/>
                <w:szCs w:val="22"/>
                <w:lang w:val="en-US" w:eastAsia="zh-CN"/>
              </w:rPr>
              <w:t>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1D12413F">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03E07F97">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17ADC44E">
            <w:pPr>
              <w:suppressAutoHyphens/>
              <w:adjustRightInd w:val="0"/>
              <w:snapToGrid w:val="0"/>
              <w:spacing w:line="320" w:lineRule="exact"/>
              <w:ind w:left="-35" w:leftChars="0" w:right="-38"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706D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87" w:type="pct"/>
            <w:tcBorders>
              <w:top w:val="single" w:color="auto" w:sz="4" w:space="0"/>
              <w:left w:val="single" w:color="auto" w:sz="4" w:space="0"/>
              <w:right w:val="single" w:color="auto" w:sz="4" w:space="0"/>
            </w:tcBorders>
            <w:noWrap w:val="0"/>
            <w:vAlign w:val="center"/>
          </w:tcPr>
          <w:p w14:paraId="02E8D768">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2</w:t>
            </w:r>
          </w:p>
        </w:tc>
        <w:tc>
          <w:tcPr>
            <w:tcW w:w="776" w:type="pct"/>
            <w:tcBorders>
              <w:top w:val="single" w:color="auto" w:sz="4" w:space="0"/>
              <w:left w:val="single" w:color="auto" w:sz="4" w:space="0"/>
              <w:right w:val="single" w:color="auto" w:sz="4" w:space="0"/>
            </w:tcBorders>
            <w:noWrap w:val="0"/>
            <w:vAlign w:val="center"/>
          </w:tcPr>
          <w:p w14:paraId="139EF702">
            <w:pPr>
              <w:widowControl/>
              <w:snapToGrid w:val="0"/>
              <w:spacing w:line="240" w:lineRule="exact"/>
              <w:jc w:val="center"/>
              <w:rPr>
                <w:rFonts w:hint="eastAsia" w:ascii="宋体" w:hAnsi="宋体" w:cs="宋体"/>
                <w:color w:val="auto"/>
                <w:kern w:val="2"/>
                <w:sz w:val="22"/>
                <w:szCs w:val="22"/>
                <w:highlight w:val="none"/>
                <w:lang w:val="en-US" w:eastAsia="zh-CN" w:bidi="ar-SA"/>
              </w:rPr>
            </w:pPr>
            <w:r>
              <w:rPr>
                <w:rFonts w:hint="eastAsia" w:ascii="宋体" w:hAnsi="宋体" w:eastAsia="宋体" w:cs="Times New Roman"/>
                <w:color w:val="auto"/>
                <w:sz w:val="22"/>
                <w:szCs w:val="22"/>
                <w:lang w:eastAsia="zh-CN"/>
              </w:rPr>
              <w:t>企业</w:t>
            </w:r>
            <w:r>
              <w:rPr>
                <w:rFonts w:hint="eastAsia" w:ascii="宋体" w:hAnsi="宋体" w:cs="Times New Roman"/>
                <w:color w:val="auto"/>
                <w:sz w:val="22"/>
                <w:szCs w:val="22"/>
                <w:lang w:val="en-US" w:eastAsia="zh-CN"/>
              </w:rPr>
              <w:t>情况</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75263BF6">
            <w:pPr>
              <w:widowControl/>
              <w:snapToGrid w:val="0"/>
              <w:spacing w:line="240" w:lineRule="exact"/>
              <w:jc w:val="center"/>
              <w:rPr>
                <w:rFonts w:hint="eastAsia" w:ascii="宋体" w:hAnsi="宋体" w:eastAsia="宋体" w:cs="宋体"/>
                <w:bCs/>
                <w:color w:val="auto"/>
                <w:sz w:val="22"/>
                <w:szCs w:val="22"/>
              </w:rPr>
            </w:pPr>
            <w:r>
              <w:rPr>
                <w:rFonts w:hint="eastAsia" w:ascii="宋体" w:hAnsi="宋体" w:eastAsia="宋体" w:cs="Times New Roman"/>
                <w:color w:val="auto"/>
                <w:sz w:val="22"/>
                <w:szCs w:val="22"/>
                <w:lang w:val="en-US" w:eastAsia="zh-CN"/>
              </w:rPr>
              <w:t>0-6分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3CCF731A">
            <w:pPr>
              <w:widowControl/>
              <w:snapToGrid w:val="0"/>
              <w:spacing w:line="240" w:lineRule="exact"/>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rPr>
              <w:t>电力安装</w:t>
            </w:r>
            <w:r>
              <w:rPr>
                <w:rFonts w:hint="eastAsia" w:ascii="宋体" w:hAnsi="宋体" w:eastAsia="宋体" w:cs="Times New Roman"/>
                <w:color w:val="auto"/>
                <w:sz w:val="22"/>
                <w:szCs w:val="22"/>
                <w:lang w:eastAsia="zh-CN"/>
              </w:rPr>
              <w:t>项目获得市级</w:t>
            </w:r>
            <w:r>
              <w:rPr>
                <w:rFonts w:hint="eastAsia" w:ascii="宋体" w:hAnsi="宋体" w:eastAsia="宋体" w:cs="Times New Roman"/>
                <w:color w:val="auto"/>
                <w:sz w:val="22"/>
                <w:szCs w:val="22"/>
                <w:lang w:val="en-US" w:eastAsia="zh-CN"/>
              </w:rPr>
              <w:t>奖项的每个</w:t>
            </w:r>
            <w:r>
              <w:rPr>
                <w:rFonts w:hint="eastAsia" w:ascii="宋体" w:hAnsi="宋体" w:eastAsia="宋体" w:cs="Times New Roman"/>
                <w:color w:val="auto"/>
                <w:sz w:val="22"/>
                <w:szCs w:val="22"/>
                <w:lang w:eastAsia="zh-CN"/>
              </w:rPr>
              <w:t>得</w:t>
            </w:r>
            <w:r>
              <w:rPr>
                <w:rFonts w:hint="eastAsia" w:ascii="宋体" w:hAnsi="宋体" w:eastAsia="宋体" w:cs="Times New Roman"/>
                <w:color w:val="auto"/>
                <w:sz w:val="22"/>
                <w:szCs w:val="22"/>
                <w:lang w:val="en-US" w:eastAsia="zh-CN"/>
              </w:rPr>
              <w:t>2分；获得省级及以上奖项的，每个得4分；</w:t>
            </w:r>
          </w:p>
          <w:p w14:paraId="069FBCF2">
            <w:pPr>
              <w:widowControl/>
              <w:snapToGrid w:val="0"/>
              <w:spacing w:line="240" w:lineRule="exact"/>
              <w:rPr>
                <w:rFonts w:hint="eastAsia" w:ascii="宋体" w:hAnsi="宋体" w:eastAsia="宋体" w:cs="宋体"/>
                <w:color w:val="auto"/>
                <w:sz w:val="22"/>
                <w:szCs w:val="22"/>
                <w:highlight w:val="none"/>
                <w:lang w:eastAsia="zh-CN"/>
              </w:rPr>
            </w:pPr>
            <w:r>
              <w:rPr>
                <w:rFonts w:hint="eastAsia" w:ascii="宋体" w:hAnsi="宋体" w:eastAsia="宋体" w:cs="Times New Roman"/>
                <w:color w:val="auto"/>
                <w:sz w:val="22"/>
                <w:szCs w:val="22"/>
              </w:rPr>
              <w:t>各企业获奖总分满分为</w:t>
            </w:r>
            <w:r>
              <w:rPr>
                <w:rFonts w:hint="eastAsia" w:ascii="宋体" w:hAnsi="宋体" w:eastAsia="宋体" w:cs="Times New Roman"/>
                <w:color w:val="auto"/>
                <w:sz w:val="22"/>
                <w:szCs w:val="22"/>
                <w:lang w:val="en-US" w:eastAsia="zh-CN"/>
              </w:rPr>
              <w:t>6</w:t>
            </w:r>
            <w:r>
              <w:rPr>
                <w:rFonts w:hint="eastAsia" w:ascii="宋体" w:hAnsi="宋体" w:eastAsia="宋体" w:cs="Times New Roman"/>
                <w:color w:val="auto"/>
                <w:sz w:val="22"/>
                <w:szCs w:val="22"/>
              </w:rPr>
              <w:t>分，（同一工程项目只按最高等级计算一次，不同工程项目且相同等级，只计算一次</w:t>
            </w:r>
            <w:r>
              <w:rPr>
                <w:rFonts w:hint="eastAsia" w:ascii="宋体" w:hAnsi="宋体" w:eastAsia="宋体" w:cs="Times New Roman"/>
                <w:color w:val="auto"/>
                <w:sz w:val="22"/>
                <w:szCs w:val="22"/>
                <w:lang w:eastAsia="zh-CN"/>
              </w:rPr>
              <w:t>，</w:t>
            </w:r>
            <w:r>
              <w:rPr>
                <w:rFonts w:hint="eastAsia" w:ascii="宋体" w:hAnsi="宋体" w:eastAsia="宋体" w:cs="Times New Roman"/>
                <w:color w:val="auto"/>
                <w:sz w:val="22"/>
                <w:szCs w:val="22"/>
              </w:rPr>
              <w:t>需提供电力安装</w:t>
            </w:r>
            <w:r>
              <w:rPr>
                <w:rFonts w:hint="eastAsia" w:ascii="宋体" w:hAnsi="宋体" w:eastAsia="宋体" w:cs="Times New Roman"/>
                <w:color w:val="auto"/>
                <w:sz w:val="22"/>
                <w:szCs w:val="22"/>
                <w:lang w:eastAsia="zh-CN"/>
              </w:rPr>
              <w:t>项目</w:t>
            </w:r>
            <w:r>
              <w:rPr>
                <w:rFonts w:hint="eastAsia" w:ascii="宋体" w:hAnsi="宋体" w:eastAsia="宋体" w:cs="Times New Roman"/>
                <w:color w:val="auto"/>
                <w:sz w:val="22"/>
                <w:szCs w:val="22"/>
              </w:rPr>
              <w:t>奖项）</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67B55DC6">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79D2A941">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7F22B737">
            <w:pPr>
              <w:suppressAutoHyphens/>
              <w:adjustRightInd w:val="0"/>
              <w:snapToGrid w:val="0"/>
              <w:spacing w:line="320" w:lineRule="exact"/>
              <w:ind w:left="-35" w:leftChars="0" w:right="-38"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3939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87" w:type="pct"/>
            <w:tcBorders>
              <w:top w:val="single" w:color="auto" w:sz="4" w:space="0"/>
              <w:left w:val="single" w:color="auto" w:sz="4" w:space="0"/>
              <w:right w:val="single" w:color="auto" w:sz="4" w:space="0"/>
            </w:tcBorders>
            <w:noWrap w:val="0"/>
            <w:vAlign w:val="center"/>
          </w:tcPr>
          <w:p w14:paraId="1DCB3741">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p>
        </w:tc>
        <w:tc>
          <w:tcPr>
            <w:tcW w:w="776" w:type="pct"/>
            <w:tcBorders>
              <w:top w:val="single" w:color="auto" w:sz="4" w:space="0"/>
              <w:left w:val="single" w:color="auto" w:sz="4" w:space="0"/>
              <w:right w:val="single" w:color="auto" w:sz="4" w:space="0"/>
            </w:tcBorders>
            <w:noWrap w:val="0"/>
            <w:vAlign w:val="center"/>
          </w:tcPr>
          <w:p w14:paraId="2ED1CACC">
            <w:pPr>
              <w:widowControl/>
              <w:snapToGrid w:val="0"/>
              <w:spacing w:line="240" w:lineRule="exact"/>
              <w:jc w:val="center"/>
              <w:rPr>
                <w:rFonts w:hint="eastAsia" w:ascii="宋体" w:hAnsi="宋体" w:eastAsia="宋体" w:cs="Times New Roman"/>
                <w:color w:val="auto"/>
                <w:sz w:val="22"/>
                <w:szCs w:val="22"/>
                <w:lang w:eastAsia="zh-CN"/>
              </w:rPr>
            </w:pPr>
            <w:r>
              <w:rPr>
                <w:rFonts w:hint="eastAsia" w:ascii="宋体" w:hAnsi="宋体" w:eastAsia="宋体" w:cs="Times New Roman"/>
                <w:color w:val="auto"/>
                <w:sz w:val="22"/>
                <w:szCs w:val="22"/>
              </w:rPr>
              <w:t>供应商类似配电安装工程业绩</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65338A80">
            <w:pPr>
              <w:widowControl/>
              <w:snapToGrid w:val="0"/>
              <w:spacing w:line="240" w:lineRule="exact"/>
              <w:jc w:val="center"/>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0-2分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3B20B4B0">
            <w:pPr>
              <w:widowControl/>
              <w:snapToGrid w:val="0"/>
              <w:spacing w:line="240" w:lineRule="exact"/>
              <w:rPr>
                <w:rFonts w:hint="eastAsia" w:ascii="宋体" w:hAnsi="宋体" w:eastAsia="宋体" w:cs="Times New Roman"/>
                <w:color w:val="auto"/>
                <w:sz w:val="22"/>
                <w:szCs w:val="22"/>
              </w:rPr>
            </w:pPr>
            <w:r>
              <w:rPr>
                <w:rFonts w:hint="eastAsia" w:ascii="宋体" w:hAnsi="宋体" w:eastAsia="宋体" w:cs="Times New Roman"/>
                <w:color w:val="auto"/>
                <w:sz w:val="22"/>
                <w:szCs w:val="22"/>
              </w:rPr>
              <w:t>要求提供</w:t>
            </w:r>
            <w:r>
              <w:rPr>
                <w:rFonts w:hint="eastAsia" w:ascii="宋体" w:hAnsi="宋体" w:eastAsia="宋体" w:cs="Times New Roman"/>
                <w:color w:val="auto"/>
                <w:sz w:val="22"/>
                <w:szCs w:val="22"/>
                <w:lang w:val="en-US" w:eastAsia="zh-CN"/>
              </w:rPr>
              <w:t>2019年1月1日至今</w:t>
            </w:r>
            <w:r>
              <w:rPr>
                <w:rFonts w:hint="eastAsia" w:ascii="宋体" w:hAnsi="宋体" w:eastAsia="宋体" w:cs="Times New Roman"/>
                <w:color w:val="auto"/>
                <w:sz w:val="22"/>
                <w:szCs w:val="22"/>
              </w:rPr>
              <w:t>类似配电安装工程，每个业绩得</w:t>
            </w:r>
            <w:r>
              <w:rPr>
                <w:rFonts w:hint="eastAsia" w:ascii="宋体" w:hAnsi="宋体" w:eastAsia="宋体" w:cs="Times New Roman"/>
                <w:color w:val="auto"/>
                <w:sz w:val="22"/>
                <w:szCs w:val="22"/>
                <w:lang w:val="en-US" w:eastAsia="zh-CN"/>
              </w:rPr>
              <w:t>0.5</w:t>
            </w:r>
            <w:r>
              <w:rPr>
                <w:rFonts w:hint="eastAsia" w:ascii="宋体" w:hAnsi="宋体" w:eastAsia="宋体" w:cs="Times New Roman"/>
                <w:color w:val="auto"/>
                <w:sz w:val="22"/>
                <w:szCs w:val="22"/>
              </w:rPr>
              <w:t>分，满分</w:t>
            </w:r>
            <w:r>
              <w:rPr>
                <w:rFonts w:hint="eastAsia" w:ascii="宋体" w:hAnsi="宋体" w:eastAsia="宋体" w:cs="Times New Roman"/>
                <w:color w:val="auto"/>
                <w:sz w:val="22"/>
                <w:szCs w:val="22"/>
                <w:lang w:val="en-US" w:eastAsia="zh-CN"/>
              </w:rPr>
              <w:t>2</w:t>
            </w:r>
            <w:r>
              <w:rPr>
                <w:rFonts w:hint="eastAsia" w:ascii="宋体" w:hAnsi="宋体" w:eastAsia="宋体" w:cs="Times New Roman"/>
                <w:color w:val="auto"/>
                <w:sz w:val="22"/>
                <w:szCs w:val="22"/>
              </w:rPr>
              <w:t>分。</w:t>
            </w:r>
          </w:p>
          <w:p w14:paraId="160A6A07">
            <w:pPr>
              <w:widowControl/>
              <w:snapToGrid w:val="0"/>
              <w:spacing w:line="240" w:lineRule="exact"/>
              <w:rPr>
                <w:rFonts w:hint="eastAsia" w:ascii="宋体" w:hAnsi="宋体" w:eastAsia="宋体" w:cs="Times New Roman"/>
                <w:color w:val="auto"/>
                <w:sz w:val="22"/>
                <w:szCs w:val="22"/>
              </w:rPr>
            </w:pPr>
            <w:r>
              <w:rPr>
                <w:rFonts w:hint="eastAsia" w:ascii="宋体" w:hAnsi="宋体" w:eastAsia="宋体" w:cs="Times New Roman"/>
                <w:color w:val="auto"/>
                <w:sz w:val="22"/>
                <w:szCs w:val="22"/>
              </w:rPr>
              <w:t>同时提供以下材料的类似项目业绩方可计分：</w:t>
            </w:r>
          </w:p>
          <w:p w14:paraId="05299CDD">
            <w:pPr>
              <w:widowControl/>
              <w:snapToGrid w:val="0"/>
              <w:spacing w:line="240" w:lineRule="exact"/>
              <w:rPr>
                <w:rFonts w:hint="eastAsia" w:ascii="宋体" w:hAnsi="宋体" w:eastAsia="宋体" w:cs="Times New Roman"/>
                <w:color w:val="auto"/>
                <w:sz w:val="22"/>
                <w:szCs w:val="22"/>
              </w:rPr>
            </w:pPr>
            <w:r>
              <w:rPr>
                <w:rFonts w:hint="eastAsia" w:ascii="宋体" w:hAnsi="宋体" w:eastAsia="宋体" w:cs="Times New Roman"/>
                <w:color w:val="auto"/>
                <w:sz w:val="22"/>
                <w:szCs w:val="22"/>
              </w:rPr>
              <w:t>1、提供合同或中标通知书扫描件</w:t>
            </w:r>
          </w:p>
          <w:p w14:paraId="4F0881FF">
            <w:pPr>
              <w:widowControl/>
              <w:snapToGrid w:val="0"/>
              <w:spacing w:line="240" w:lineRule="exact"/>
              <w:rPr>
                <w:rFonts w:hint="eastAsia" w:ascii="宋体" w:hAnsi="宋体" w:eastAsia="宋体" w:cs="Times New Roman"/>
                <w:color w:val="auto"/>
                <w:sz w:val="22"/>
                <w:szCs w:val="22"/>
              </w:rPr>
            </w:pPr>
            <w:r>
              <w:rPr>
                <w:rFonts w:hint="eastAsia" w:ascii="宋体" w:hAnsi="宋体" w:eastAsia="宋体" w:cs="Times New Roman"/>
                <w:color w:val="auto"/>
                <w:sz w:val="22"/>
                <w:szCs w:val="22"/>
              </w:rPr>
              <w:t>2、电力主管部门出具的竣工验收合格证明扫描件</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8DD515F">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5476536A">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64BD1ED0">
            <w:pPr>
              <w:suppressAutoHyphens/>
              <w:adjustRightInd w:val="0"/>
              <w:snapToGrid w:val="0"/>
              <w:spacing w:line="320" w:lineRule="exact"/>
              <w:ind w:left="-35" w:leftChars="0" w:right="-38"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1132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restart"/>
            <w:tcBorders>
              <w:top w:val="single" w:color="auto" w:sz="4" w:space="0"/>
              <w:left w:val="single" w:color="auto" w:sz="4" w:space="0"/>
              <w:right w:val="single" w:color="auto" w:sz="4" w:space="0"/>
            </w:tcBorders>
            <w:noWrap w:val="0"/>
            <w:vAlign w:val="center"/>
          </w:tcPr>
          <w:p w14:paraId="714F6EBA">
            <w:pPr>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776" w:type="pct"/>
            <w:vMerge w:val="restart"/>
            <w:tcBorders>
              <w:top w:val="single" w:color="auto" w:sz="4" w:space="0"/>
              <w:left w:val="single" w:color="auto" w:sz="4" w:space="0"/>
              <w:right w:val="single" w:color="auto" w:sz="4" w:space="0"/>
            </w:tcBorders>
            <w:noWrap w:val="0"/>
            <w:vAlign w:val="center"/>
          </w:tcPr>
          <w:p w14:paraId="5E28A02B">
            <w:pPr>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项目总体实施方案</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59D1EE49">
            <w:pPr>
              <w:suppressAutoHyphens/>
              <w:adjustRightInd w:val="0"/>
              <w:snapToGrid w:val="0"/>
              <w:spacing w:line="320" w:lineRule="exact"/>
              <w:ind w:left="-35" w:right="-38"/>
              <w:jc w:val="center"/>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0-</w:t>
            </w:r>
            <w:r>
              <w:rPr>
                <w:rFonts w:hint="eastAsia" w:ascii="宋体" w:hAnsi="宋体" w:eastAsia="宋体" w:cs="宋体"/>
                <w:bCs/>
                <w:color w:val="auto"/>
                <w:sz w:val="22"/>
                <w:szCs w:val="22"/>
                <w:lang w:val="en-US" w:eastAsia="zh-CN"/>
              </w:rPr>
              <w:t>5</w:t>
            </w:r>
            <w:r>
              <w:rPr>
                <w:rFonts w:hint="eastAsia" w:ascii="宋体" w:hAnsi="宋体"/>
                <w:color w:val="auto"/>
                <w:sz w:val="22"/>
                <w:szCs w:val="22"/>
                <w:highlight w:val="none"/>
                <w:lang w:val="en-US" w:eastAsia="zh-CN"/>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57936378">
            <w:pPr>
              <w:suppressAutoHyphens/>
              <w:adjustRightInd w:val="0"/>
              <w:snapToGrid w:val="0"/>
              <w:spacing w:line="320" w:lineRule="exact"/>
              <w:ind w:left="-35" w:right="-38"/>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针对本项目在</w:t>
            </w:r>
            <w:r>
              <w:rPr>
                <w:rFonts w:hint="eastAsia" w:ascii="宋体" w:hAnsi="宋体"/>
                <w:color w:val="auto"/>
                <w:sz w:val="22"/>
                <w:szCs w:val="22"/>
                <w:highlight w:val="none"/>
                <w:lang w:val="en-US" w:eastAsia="zh-CN"/>
              </w:rPr>
              <w:t>配电房</w:t>
            </w:r>
            <w:r>
              <w:rPr>
                <w:rFonts w:hint="eastAsia" w:ascii="宋体" w:hAnsi="宋体"/>
                <w:color w:val="auto"/>
                <w:sz w:val="22"/>
                <w:szCs w:val="22"/>
                <w:highlight w:val="none"/>
                <w:lang w:eastAsia="zh-CN"/>
              </w:rPr>
              <w:t>施工</w:t>
            </w:r>
            <w:r>
              <w:rPr>
                <w:rFonts w:hint="eastAsia" w:ascii="宋体" w:hAnsi="宋体" w:eastAsia="宋体" w:cs="宋体"/>
                <w:color w:val="auto"/>
                <w:sz w:val="22"/>
                <w:szCs w:val="22"/>
                <w:highlight w:val="none"/>
                <w:lang w:eastAsia="zh-CN"/>
              </w:rPr>
              <w:t>特点，制定项目的</w:t>
            </w:r>
            <w:r>
              <w:rPr>
                <w:rFonts w:hint="eastAsia" w:ascii="宋体" w:hAnsi="宋体" w:cs="宋体"/>
                <w:bCs/>
                <w:color w:val="auto"/>
                <w:sz w:val="22"/>
                <w:szCs w:val="22"/>
              </w:rPr>
              <w:t>施工总体布置、主要施工技术措施</w:t>
            </w:r>
            <w:r>
              <w:rPr>
                <w:rFonts w:hint="eastAsia" w:ascii="宋体" w:hAnsi="宋体" w:cs="宋体"/>
                <w:bCs/>
                <w:color w:val="auto"/>
                <w:sz w:val="22"/>
                <w:szCs w:val="22"/>
                <w:lang w:eastAsia="zh-CN"/>
              </w:rPr>
              <w:t>方案，由评委综合评分（</w:t>
            </w:r>
            <w:r>
              <w:rPr>
                <w:rFonts w:hint="eastAsia" w:ascii="宋体" w:hAnsi="宋体" w:cs="宋体"/>
                <w:bCs/>
                <w:color w:val="auto"/>
                <w:sz w:val="22"/>
                <w:szCs w:val="22"/>
                <w:lang w:val="en-US" w:eastAsia="zh-CN"/>
              </w:rPr>
              <w:t>评分范围：5,4,3,2,1,0</w:t>
            </w:r>
            <w:r>
              <w:rPr>
                <w:rFonts w:hint="eastAsia" w:ascii="宋体" w:hAnsi="宋体" w:cs="宋体"/>
                <w:bCs/>
                <w:color w:val="auto"/>
                <w:sz w:val="22"/>
                <w:szCs w:val="22"/>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39D102ED">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52FE7ECA">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7870F5C8">
            <w:pPr>
              <w:suppressAutoHyphens/>
              <w:adjustRightInd w:val="0"/>
              <w:snapToGrid w:val="0"/>
              <w:spacing w:line="320" w:lineRule="exact"/>
              <w:ind w:left="-35" w:right="-38"/>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6A5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87" w:type="pct"/>
            <w:vMerge w:val="continue"/>
            <w:tcBorders>
              <w:left w:val="single" w:color="auto" w:sz="4" w:space="0"/>
              <w:right w:val="single" w:color="auto" w:sz="4" w:space="0"/>
            </w:tcBorders>
            <w:noWrap w:val="0"/>
            <w:vAlign w:val="center"/>
          </w:tcPr>
          <w:p w14:paraId="1242159F">
            <w:pPr>
              <w:jc w:val="center"/>
              <w:rPr>
                <w:rFonts w:hint="eastAsia" w:ascii="宋体" w:hAnsi="宋体" w:eastAsia="宋体"/>
                <w:color w:val="auto"/>
                <w:sz w:val="22"/>
                <w:szCs w:val="22"/>
                <w:highlight w:val="none"/>
                <w:lang w:val="en-US" w:eastAsia="zh-CN"/>
              </w:rPr>
            </w:pPr>
          </w:p>
        </w:tc>
        <w:tc>
          <w:tcPr>
            <w:tcW w:w="776" w:type="pct"/>
            <w:vMerge w:val="continue"/>
            <w:tcBorders>
              <w:left w:val="single" w:color="auto" w:sz="4" w:space="0"/>
              <w:right w:val="single" w:color="auto" w:sz="4" w:space="0"/>
            </w:tcBorders>
            <w:noWrap w:val="0"/>
            <w:vAlign w:val="center"/>
          </w:tcPr>
          <w:p w14:paraId="3D31E76F">
            <w:pPr>
              <w:jc w:val="center"/>
              <w:rPr>
                <w:rFonts w:hint="eastAsia" w:ascii="宋体" w:hAnsi="宋体" w:cs="宋体"/>
                <w:color w:val="auto"/>
                <w:kern w:val="2"/>
                <w:sz w:val="22"/>
                <w:szCs w:val="22"/>
                <w:highlight w:val="none"/>
                <w:lang w:val="en-US" w:eastAsia="zh-CN" w:bidi="ar-SA"/>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486A3B73">
            <w:pPr>
              <w:suppressAutoHyphens/>
              <w:adjustRightInd w:val="0"/>
              <w:snapToGrid w:val="0"/>
              <w:spacing w:line="320" w:lineRule="exact"/>
              <w:ind w:left="-35" w:right="-38"/>
              <w:jc w:val="center"/>
              <w:rPr>
                <w:rFonts w:hint="default" w:ascii="宋体" w:hAnsi="宋体" w:eastAsia="宋体" w:cs="宋体"/>
                <w:bCs/>
                <w:color w:val="auto"/>
                <w:sz w:val="22"/>
                <w:szCs w:val="22"/>
                <w:lang w:val="en-US"/>
              </w:rPr>
            </w:pPr>
            <w:r>
              <w:rPr>
                <w:rFonts w:hint="eastAsia" w:ascii="宋体" w:hAnsi="宋体" w:eastAsia="宋体" w:cs="宋体"/>
                <w:bCs/>
                <w:color w:val="auto"/>
                <w:sz w:val="22"/>
                <w:szCs w:val="22"/>
              </w:rPr>
              <w:t>0-</w:t>
            </w:r>
            <w:r>
              <w:rPr>
                <w:rFonts w:hint="eastAsia" w:ascii="宋体" w:hAnsi="宋体" w:eastAsia="宋体" w:cs="宋体"/>
                <w:bCs/>
                <w:color w:val="auto"/>
                <w:sz w:val="22"/>
                <w:szCs w:val="22"/>
                <w:lang w:val="en-US" w:eastAsia="zh-CN"/>
              </w:rPr>
              <w:t>5</w:t>
            </w:r>
            <w:r>
              <w:rPr>
                <w:rFonts w:hint="eastAsia" w:ascii="宋体" w:hAnsi="宋体"/>
                <w:color w:val="auto"/>
                <w:sz w:val="22"/>
                <w:szCs w:val="22"/>
                <w:highlight w:val="none"/>
                <w:lang w:val="en-US" w:eastAsia="zh-CN"/>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43D5767F">
            <w:pPr>
              <w:suppressAutoHyphens/>
              <w:adjustRightInd w:val="0"/>
              <w:snapToGrid w:val="0"/>
              <w:spacing w:line="320" w:lineRule="exact"/>
              <w:ind w:left="-35" w:right="-38"/>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rPr>
              <w:t>环境保护、文明施工措施</w:t>
            </w:r>
            <w:r>
              <w:rPr>
                <w:rFonts w:hint="eastAsia" w:ascii="宋体" w:hAnsi="宋体" w:cs="宋体"/>
                <w:bCs/>
                <w:color w:val="auto"/>
                <w:sz w:val="22"/>
                <w:szCs w:val="22"/>
                <w:lang w:eastAsia="zh-CN"/>
              </w:rPr>
              <w:t>方案，由评委综合评分（</w:t>
            </w:r>
            <w:r>
              <w:rPr>
                <w:rFonts w:hint="eastAsia" w:ascii="宋体" w:hAnsi="宋体" w:cs="宋体"/>
                <w:bCs/>
                <w:color w:val="auto"/>
                <w:sz w:val="22"/>
                <w:szCs w:val="22"/>
                <w:lang w:val="en-US" w:eastAsia="zh-CN"/>
              </w:rPr>
              <w:t>评分范围：5,4,3,2,1,0</w:t>
            </w:r>
            <w:r>
              <w:rPr>
                <w:rFonts w:hint="eastAsia" w:ascii="宋体" w:hAnsi="宋体" w:cs="宋体"/>
                <w:bCs/>
                <w:color w:val="auto"/>
                <w:sz w:val="22"/>
                <w:szCs w:val="22"/>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1E70F334">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3BEEEC13">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076F0199">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2899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continue"/>
            <w:tcBorders>
              <w:left w:val="single" w:color="auto" w:sz="4" w:space="0"/>
              <w:right w:val="single" w:color="auto" w:sz="4" w:space="0"/>
            </w:tcBorders>
            <w:noWrap w:val="0"/>
            <w:vAlign w:val="center"/>
          </w:tcPr>
          <w:p w14:paraId="041925D8">
            <w:pPr>
              <w:jc w:val="center"/>
              <w:rPr>
                <w:rFonts w:hint="eastAsia" w:ascii="宋体" w:hAnsi="宋体" w:eastAsia="宋体"/>
                <w:color w:val="auto"/>
                <w:sz w:val="22"/>
                <w:szCs w:val="22"/>
                <w:highlight w:val="none"/>
                <w:lang w:val="en-US" w:eastAsia="zh-CN"/>
              </w:rPr>
            </w:pPr>
          </w:p>
        </w:tc>
        <w:tc>
          <w:tcPr>
            <w:tcW w:w="776" w:type="pct"/>
            <w:vMerge w:val="continue"/>
            <w:tcBorders>
              <w:left w:val="single" w:color="auto" w:sz="4" w:space="0"/>
              <w:right w:val="single" w:color="auto" w:sz="4" w:space="0"/>
            </w:tcBorders>
            <w:noWrap w:val="0"/>
            <w:vAlign w:val="center"/>
          </w:tcPr>
          <w:p w14:paraId="194DD99B">
            <w:pPr>
              <w:jc w:val="center"/>
              <w:rPr>
                <w:rFonts w:hint="eastAsia" w:ascii="宋体" w:hAnsi="宋体" w:cs="宋体"/>
                <w:color w:val="auto"/>
                <w:kern w:val="2"/>
                <w:sz w:val="22"/>
                <w:szCs w:val="22"/>
                <w:highlight w:val="none"/>
                <w:lang w:val="en-US" w:eastAsia="zh-CN" w:bidi="ar-SA"/>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47D5919D">
            <w:pPr>
              <w:suppressAutoHyphens/>
              <w:adjustRightInd w:val="0"/>
              <w:snapToGrid w:val="0"/>
              <w:spacing w:line="320" w:lineRule="exact"/>
              <w:ind w:left="-35" w:right="-38"/>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0-</w:t>
            </w:r>
            <w:r>
              <w:rPr>
                <w:rFonts w:hint="eastAsia" w:ascii="宋体" w:hAnsi="宋体" w:eastAsia="宋体" w:cs="宋体"/>
                <w:bCs/>
                <w:color w:val="auto"/>
                <w:sz w:val="22"/>
                <w:szCs w:val="22"/>
                <w:lang w:val="en-US" w:eastAsia="zh-CN"/>
              </w:rPr>
              <w:t>5</w:t>
            </w:r>
            <w:r>
              <w:rPr>
                <w:rFonts w:hint="eastAsia" w:ascii="宋体" w:hAnsi="宋体"/>
                <w:color w:val="auto"/>
                <w:sz w:val="22"/>
                <w:szCs w:val="22"/>
                <w:highlight w:val="none"/>
                <w:lang w:val="en-US" w:eastAsia="zh-CN"/>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7101B50D">
            <w:pPr>
              <w:suppressAutoHyphens/>
              <w:adjustRightInd w:val="0"/>
              <w:snapToGrid w:val="0"/>
              <w:spacing w:line="320" w:lineRule="exact"/>
              <w:ind w:left="-35" w:right="-38"/>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rPr>
              <w:t>安全保证体系，安全目标，安全方面的规章制度</w:t>
            </w:r>
            <w:r>
              <w:rPr>
                <w:rFonts w:hint="eastAsia" w:ascii="宋体" w:hAnsi="宋体" w:cs="宋体"/>
                <w:bCs/>
                <w:color w:val="auto"/>
                <w:sz w:val="22"/>
                <w:szCs w:val="22"/>
                <w:lang w:eastAsia="zh-CN"/>
              </w:rPr>
              <w:t>方案，由评委综合评分（</w:t>
            </w:r>
            <w:r>
              <w:rPr>
                <w:rFonts w:hint="eastAsia" w:ascii="宋体" w:hAnsi="宋体" w:cs="宋体"/>
                <w:bCs/>
                <w:color w:val="auto"/>
                <w:sz w:val="22"/>
                <w:szCs w:val="22"/>
                <w:lang w:val="en-US" w:eastAsia="zh-CN"/>
              </w:rPr>
              <w:t>评分范围：5,4,3,2,1,0</w:t>
            </w:r>
            <w:r>
              <w:rPr>
                <w:rFonts w:hint="eastAsia" w:ascii="宋体" w:hAnsi="宋体" w:cs="宋体"/>
                <w:bCs/>
                <w:color w:val="auto"/>
                <w:sz w:val="22"/>
                <w:szCs w:val="22"/>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0F70693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40B108E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26D246E6">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020F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continue"/>
            <w:tcBorders>
              <w:left w:val="single" w:color="auto" w:sz="4" w:space="0"/>
              <w:right w:val="single" w:color="auto" w:sz="4" w:space="0"/>
            </w:tcBorders>
            <w:noWrap w:val="0"/>
            <w:vAlign w:val="center"/>
          </w:tcPr>
          <w:p w14:paraId="5FA44A02">
            <w:pPr>
              <w:jc w:val="center"/>
              <w:rPr>
                <w:rFonts w:hint="eastAsia" w:ascii="宋体" w:hAnsi="宋体" w:eastAsia="宋体"/>
                <w:color w:val="auto"/>
                <w:sz w:val="22"/>
                <w:szCs w:val="22"/>
                <w:highlight w:val="none"/>
                <w:lang w:val="en-US" w:eastAsia="zh-CN"/>
              </w:rPr>
            </w:pPr>
          </w:p>
        </w:tc>
        <w:tc>
          <w:tcPr>
            <w:tcW w:w="776" w:type="pct"/>
            <w:vMerge w:val="continue"/>
            <w:tcBorders>
              <w:left w:val="single" w:color="auto" w:sz="4" w:space="0"/>
              <w:right w:val="single" w:color="auto" w:sz="4" w:space="0"/>
            </w:tcBorders>
            <w:noWrap w:val="0"/>
            <w:vAlign w:val="center"/>
          </w:tcPr>
          <w:p w14:paraId="39C65477">
            <w:pPr>
              <w:jc w:val="center"/>
              <w:rPr>
                <w:rFonts w:hint="eastAsia" w:ascii="宋体" w:hAnsi="宋体" w:cs="宋体"/>
                <w:color w:val="auto"/>
                <w:kern w:val="2"/>
                <w:sz w:val="22"/>
                <w:szCs w:val="22"/>
                <w:highlight w:val="none"/>
                <w:lang w:val="en-US" w:eastAsia="zh-CN" w:bidi="ar-SA"/>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2B36A9EB">
            <w:pPr>
              <w:suppressAutoHyphens/>
              <w:adjustRightInd w:val="0"/>
              <w:snapToGrid w:val="0"/>
              <w:spacing w:line="320" w:lineRule="exact"/>
              <w:ind w:left="-35" w:right="-38"/>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0-</w:t>
            </w:r>
            <w:r>
              <w:rPr>
                <w:rFonts w:hint="eastAsia" w:ascii="宋体" w:hAnsi="宋体" w:eastAsia="宋体" w:cs="宋体"/>
                <w:bCs/>
                <w:color w:val="auto"/>
                <w:sz w:val="22"/>
                <w:szCs w:val="22"/>
                <w:lang w:val="en-US" w:eastAsia="zh-CN"/>
              </w:rPr>
              <w:t>5</w:t>
            </w:r>
            <w:r>
              <w:rPr>
                <w:rFonts w:hint="eastAsia" w:ascii="宋体" w:hAnsi="宋体"/>
                <w:color w:val="auto"/>
                <w:sz w:val="22"/>
                <w:szCs w:val="22"/>
                <w:highlight w:val="none"/>
                <w:lang w:val="en-US" w:eastAsia="zh-CN"/>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3A051DAA">
            <w:pPr>
              <w:suppressAutoHyphens/>
              <w:adjustRightInd w:val="0"/>
              <w:snapToGrid w:val="0"/>
              <w:spacing w:line="320" w:lineRule="exact"/>
              <w:ind w:left="-35" w:right="-38"/>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进度工期目标、网络计划、主要施工机械及劳动力安排计划</w:t>
            </w:r>
            <w:r>
              <w:rPr>
                <w:rFonts w:hint="eastAsia" w:ascii="宋体" w:hAnsi="宋体" w:eastAsia="宋体" w:cs="宋体"/>
                <w:bCs/>
                <w:color w:val="auto"/>
                <w:sz w:val="22"/>
                <w:szCs w:val="22"/>
                <w:lang w:eastAsia="zh-CN"/>
              </w:rPr>
              <w:t>方案，由评委综合评分</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评分范围：5,4,3,2,1,0</w:t>
            </w:r>
            <w:r>
              <w:rPr>
                <w:rFonts w:hint="eastAsia" w:ascii="宋体" w:hAnsi="宋体" w:cs="宋体"/>
                <w:bCs/>
                <w:color w:val="auto"/>
                <w:sz w:val="22"/>
                <w:szCs w:val="22"/>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06E2CC9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5DE1192C">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6BB2E7FE">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0CBA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52DCB9B2">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3D3AE70">
            <w:pPr>
              <w:jc w:val="center"/>
              <w:rPr>
                <w:rFonts w:hint="eastAsia" w:ascii="宋体" w:hAnsi="宋体" w:cs="宋体"/>
                <w:bCs/>
                <w:color w:val="auto"/>
                <w:sz w:val="22"/>
                <w:szCs w:val="22"/>
              </w:rPr>
            </w:pPr>
            <w:r>
              <w:rPr>
                <w:rFonts w:hint="eastAsia" w:ascii="宋体" w:hAnsi="宋体" w:cs="宋体"/>
                <w:bCs/>
                <w:color w:val="auto"/>
                <w:sz w:val="22"/>
                <w:szCs w:val="22"/>
              </w:rPr>
              <w:t>应急预案</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65790500">
            <w:pPr>
              <w:jc w:val="center"/>
              <w:rPr>
                <w:rFonts w:hint="eastAsia" w:ascii="宋体" w:hAnsi="宋体"/>
                <w:color w:val="auto"/>
                <w:kern w:val="2"/>
                <w:sz w:val="22"/>
                <w:szCs w:val="22"/>
                <w:highlight w:val="none"/>
                <w:lang w:val="en-US" w:eastAsia="zh-CN" w:bidi="ar-SA"/>
              </w:rPr>
            </w:pPr>
            <w:r>
              <w:rPr>
                <w:rFonts w:hint="eastAsia" w:ascii="宋体" w:hAnsi="宋体" w:eastAsia="宋体" w:cs="宋体"/>
                <w:bCs/>
                <w:color w:val="auto"/>
                <w:sz w:val="22"/>
                <w:szCs w:val="22"/>
              </w:rPr>
              <w:t>0-</w:t>
            </w:r>
            <w:r>
              <w:rPr>
                <w:rFonts w:hint="eastAsia" w:ascii="宋体" w:hAnsi="宋体" w:eastAsia="宋体" w:cs="宋体"/>
                <w:bCs/>
                <w:color w:val="auto"/>
                <w:sz w:val="22"/>
                <w:szCs w:val="22"/>
                <w:lang w:val="en-US" w:eastAsia="zh-CN"/>
              </w:rPr>
              <w:t>5</w:t>
            </w:r>
            <w:r>
              <w:rPr>
                <w:rFonts w:hint="eastAsia" w:ascii="宋体" w:hAnsi="宋体"/>
                <w:color w:val="auto"/>
                <w:sz w:val="22"/>
                <w:szCs w:val="22"/>
                <w:highlight w:val="none"/>
                <w:lang w:val="en-US" w:eastAsia="zh-CN"/>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0D420845">
            <w:pPr>
              <w:rPr>
                <w:rFonts w:hint="eastAsia" w:ascii="宋体" w:hAnsi="宋体" w:cs="宋体"/>
                <w:bCs/>
                <w:color w:val="auto"/>
                <w:sz w:val="22"/>
                <w:szCs w:val="22"/>
              </w:rPr>
            </w:pPr>
            <w:r>
              <w:rPr>
                <w:rFonts w:hint="eastAsia" w:ascii="宋体" w:hAnsi="宋体" w:cs="宋体"/>
                <w:bCs/>
                <w:color w:val="auto"/>
                <w:sz w:val="22"/>
                <w:szCs w:val="22"/>
                <w:lang w:val="en-US" w:eastAsia="zh-CN"/>
              </w:rPr>
              <w:t>投标人</w:t>
            </w:r>
            <w:r>
              <w:rPr>
                <w:rFonts w:hint="eastAsia" w:ascii="宋体" w:hAnsi="宋体" w:cs="宋体"/>
                <w:bCs/>
                <w:color w:val="auto"/>
                <w:sz w:val="22"/>
                <w:szCs w:val="22"/>
              </w:rPr>
              <w:t>对施工过程中突发事件的处理预案及承诺的紧急响应时间</w:t>
            </w:r>
            <w:r>
              <w:rPr>
                <w:rFonts w:hint="eastAsia" w:ascii="宋体" w:hAnsi="宋体" w:cs="宋体"/>
                <w:bCs/>
                <w:color w:val="auto"/>
                <w:sz w:val="22"/>
                <w:szCs w:val="22"/>
                <w:lang w:eastAsia="zh-CN"/>
              </w:rPr>
              <w:t>，</w:t>
            </w:r>
            <w:r>
              <w:rPr>
                <w:rFonts w:hint="eastAsia" w:ascii="宋体" w:hAnsi="宋体" w:cs="宋体"/>
                <w:bCs/>
                <w:color w:val="auto"/>
                <w:sz w:val="22"/>
                <w:szCs w:val="22"/>
              </w:rPr>
              <w:t>由</w:t>
            </w:r>
            <w:r>
              <w:rPr>
                <w:rFonts w:hint="eastAsia" w:ascii="宋体" w:hAnsi="宋体" w:cs="宋体"/>
                <w:bCs/>
                <w:color w:val="auto"/>
                <w:sz w:val="22"/>
                <w:szCs w:val="22"/>
                <w:lang w:val="en-US" w:eastAsia="zh-CN"/>
              </w:rPr>
              <w:t>评审</w:t>
            </w:r>
            <w:r>
              <w:rPr>
                <w:rFonts w:hint="eastAsia" w:ascii="宋体" w:hAnsi="宋体" w:cs="宋体"/>
                <w:bCs/>
                <w:color w:val="auto"/>
                <w:sz w:val="22"/>
                <w:szCs w:val="22"/>
              </w:rPr>
              <w:t>小组进行打分。（分值：</w:t>
            </w:r>
            <w:r>
              <w:rPr>
                <w:rFonts w:hint="eastAsia" w:ascii="宋体" w:hAnsi="宋体" w:cs="宋体"/>
                <w:bCs/>
                <w:color w:val="auto"/>
                <w:sz w:val="22"/>
                <w:szCs w:val="22"/>
                <w:lang w:val="en-US" w:eastAsia="zh-CN"/>
              </w:rPr>
              <w:t>5，</w:t>
            </w:r>
            <w:r>
              <w:rPr>
                <w:rFonts w:hint="eastAsia" w:ascii="宋体" w:hAnsi="宋体" w:cs="宋体"/>
                <w:bCs/>
                <w:color w:val="auto"/>
                <w:sz w:val="22"/>
                <w:szCs w:val="22"/>
              </w:rPr>
              <w:t>4,3,2,1,0）</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43A9BC9B">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18CD6D02">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3A3E212E">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6606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38B62357">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6</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71E27AD">
            <w:pPr>
              <w:jc w:val="center"/>
              <w:rPr>
                <w:rFonts w:hint="eastAsia" w:ascii="宋体" w:hAnsi="宋体"/>
                <w:color w:val="auto"/>
                <w:kern w:val="2"/>
                <w:sz w:val="22"/>
                <w:szCs w:val="22"/>
                <w:highlight w:val="none"/>
                <w:lang w:val="en-US" w:eastAsia="zh-CN" w:bidi="ar-SA"/>
              </w:rPr>
            </w:pPr>
            <w:r>
              <w:rPr>
                <w:rFonts w:hint="eastAsia" w:ascii="宋体" w:hAnsi="宋体" w:cs="宋体"/>
                <w:bCs/>
                <w:color w:val="auto"/>
                <w:sz w:val="22"/>
                <w:szCs w:val="22"/>
              </w:rPr>
              <w:t>供应商试验设备和施工工器具</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0D77B5C8">
            <w:pPr>
              <w:jc w:val="center"/>
              <w:rPr>
                <w:rFonts w:hint="default"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0-10</w:t>
            </w:r>
            <w:r>
              <w:rPr>
                <w:rFonts w:hint="eastAsia" w:ascii="宋体" w:hAnsi="宋体"/>
                <w:color w:val="auto"/>
                <w:sz w:val="22"/>
                <w:szCs w:val="22"/>
                <w:highlight w:val="none"/>
                <w:lang w:val="en-US" w:eastAsia="zh-CN"/>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7C6FBE70">
            <w:pPr>
              <w:rPr>
                <w:rFonts w:hint="eastAsia" w:ascii="宋体" w:hAnsi="宋体"/>
                <w:color w:val="auto"/>
                <w:kern w:val="2"/>
                <w:sz w:val="22"/>
                <w:szCs w:val="22"/>
                <w:highlight w:val="none"/>
                <w:lang w:val="en-US" w:eastAsia="zh-CN" w:bidi="ar-SA"/>
              </w:rPr>
            </w:pPr>
            <w:r>
              <w:rPr>
                <w:rFonts w:hint="eastAsia" w:ascii="宋体" w:hAnsi="宋体" w:cs="宋体"/>
                <w:bCs/>
                <w:color w:val="auto"/>
                <w:sz w:val="22"/>
                <w:szCs w:val="22"/>
              </w:rPr>
              <w:t>①变压器变比测试仪；②绝缘电阻仪；③直流电阻测试仪；④接地电阻测试仪；⑤工频耐压试验仪/耐压试验设备的购置情况和试验设备通过国家有关质量监督部门校验合格证明(高试设备检测有效期为一年，需在有效期内）全部提供得</w:t>
            </w:r>
            <w:r>
              <w:rPr>
                <w:rFonts w:hint="eastAsia" w:ascii="宋体" w:hAnsi="宋体" w:cs="宋体"/>
                <w:bCs/>
                <w:color w:val="auto"/>
                <w:sz w:val="22"/>
                <w:szCs w:val="22"/>
                <w:lang w:val="en-US" w:eastAsia="zh-CN"/>
              </w:rPr>
              <w:t>10</w:t>
            </w:r>
            <w:r>
              <w:rPr>
                <w:rFonts w:hint="eastAsia" w:ascii="宋体" w:hAnsi="宋体" w:cs="宋体"/>
                <w:bCs/>
                <w:color w:val="auto"/>
                <w:sz w:val="22"/>
                <w:szCs w:val="22"/>
              </w:rPr>
              <w:t>分，少一样扣</w:t>
            </w:r>
            <w:r>
              <w:rPr>
                <w:rFonts w:hint="eastAsia" w:ascii="宋体" w:hAnsi="宋体" w:cs="宋体"/>
                <w:bCs/>
                <w:color w:val="auto"/>
                <w:sz w:val="22"/>
                <w:szCs w:val="22"/>
                <w:lang w:val="en-US" w:eastAsia="zh-CN"/>
              </w:rPr>
              <w:t>2</w:t>
            </w:r>
            <w:r>
              <w:rPr>
                <w:rFonts w:hint="eastAsia" w:ascii="宋体" w:hAnsi="宋体" w:cs="宋体"/>
                <w:bCs/>
                <w:color w:val="auto"/>
                <w:sz w:val="22"/>
                <w:szCs w:val="22"/>
              </w:rPr>
              <w:t>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4CB8EE14">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5F48D4D1">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71ABA255">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0868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7" w:type="pct"/>
            <w:vMerge w:val="restart"/>
            <w:tcBorders>
              <w:top w:val="single" w:color="auto" w:sz="4" w:space="0"/>
              <w:left w:val="single" w:color="auto" w:sz="4" w:space="0"/>
              <w:right w:val="single" w:color="auto" w:sz="4" w:space="0"/>
            </w:tcBorders>
            <w:noWrap w:val="0"/>
            <w:vAlign w:val="center"/>
          </w:tcPr>
          <w:p w14:paraId="7C13DC25">
            <w:pPr>
              <w:jc w:val="center"/>
              <w:rPr>
                <w:rFonts w:hint="default" w:ascii="宋体" w:hAnsi="宋体" w:eastAsia="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7</w:t>
            </w:r>
          </w:p>
        </w:tc>
        <w:tc>
          <w:tcPr>
            <w:tcW w:w="776" w:type="pct"/>
            <w:vMerge w:val="restart"/>
            <w:tcBorders>
              <w:top w:val="single" w:color="auto" w:sz="4" w:space="0"/>
              <w:left w:val="single" w:color="auto" w:sz="4" w:space="0"/>
              <w:right w:val="single" w:color="auto" w:sz="4" w:space="0"/>
            </w:tcBorders>
            <w:noWrap w:val="0"/>
            <w:vAlign w:val="center"/>
          </w:tcPr>
          <w:p w14:paraId="690FA3DD">
            <w:pPr>
              <w:jc w:val="center"/>
              <w:rPr>
                <w:rFonts w:hint="eastAsia" w:ascii="宋体" w:hAnsi="宋体"/>
                <w:color w:val="auto"/>
                <w:kern w:val="2"/>
                <w:sz w:val="22"/>
                <w:szCs w:val="22"/>
                <w:highlight w:val="none"/>
                <w:lang w:val="en-US" w:eastAsia="zh-CN" w:bidi="ar-SA"/>
              </w:rPr>
            </w:pPr>
            <w:r>
              <w:rPr>
                <w:rFonts w:hint="eastAsia" w:ascii="宋体" w:hAnsi="宋体" w:cs="宋体"/>
                <w:color w:val="auto"/>
                <w:sz w:val="22"/>
                <w:szCs w:val="22"/>
                <w:highlight w:val="none"/>
              </w:rPr>
              <w:t>材料设备选用的品牌及配置情况</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59C1F792">
            <w:pPr>
              <w:jc w:val="center"/>
              <w:rPr>
                <w:rFonts w:hint="eastAsia" w:ascii="宋体" w:hAnsi="宋体"/>
                <w:color w:val="auto"/>
                <w:kern w:val="2"/>
                <w:sz w:val="22"/>
                <w:szCs w:val="22"/>
                <w:highlight w:val="none"/>
                <w:lang w:val="en-US" w:eastAsia="zh-CN" w:bidi="ar-SA"/>
              </w:rPr>
            </w:pPr>
            <w:r>
              <w:rPr>
                <w:rFonts w:hint="eastAsia" w:ascii="宋体" w:hAnsi="宋体"/>
                <w:color w:val="auto"/>
                <w:sz w:val="22"/>
                <w:szCs w:val="22"/>
                <w:highlight w:val="none"/>
              </w:rPr>
              <w:t>0-</w:t>
            </w:r>
            <w:r>
              <w:rPr>
                <w:rFonts w:hint="eastAsia" w:ascii="宋体" w:hAnsi="宋体"/>
                <w:color w:val="auto"/>
                <w:sz w:val="22"/>
                <w:szCs w:val="22"/>
                <w:highlight w:val="none"/>
                <w:lang w:val="en-US" w:eastAsia="zh-CN"/>
              </w:rPr>
              <w:t>9分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46676FA5">
            <w:pPr>
              <w:jc w:val="left"/>
              <w:rPr>
                <w:rFonts w:hint="default" w:ascii="宋体" w:hAnsi="宋体" w:eastAsia="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高压柜</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评分范围：3,2,1,0</w:t>
            </w:r>
            <w:r>
              <w:rPr>
                <w:rFonts w:hint="eastAsia" w:ascii="宋体" w:hAnsi="宋体" w:cs="宋体"/>
                <w:bCs/>
                <w:color w:val="auto"/>
                <w:sz w:val="22"/>
                <w:szCs w:val="22"/>
                <w:lang w:eastAsia="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低压柜</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评分范围：3,2,1,0</w:t>
            </w:r>
            <w:r>
              <w:rPr>
                <w:rFonts w:hint="eastAsia" w:ascii="宋体" w:hAnsi="宋体" w:cs="宋体"/>
                <w:bCs/>
                <w:color w:val="auto"/>
                <w:sz w:val="22"/>
                <w:szCs w:val="22"/>
                <w:lang w:eastAsia="zh-CN"/>
              </w:rPr>
              <w:t>）</w:t>
            </w:r>
            <w:r>
              <w:rPr>
                <w:rFonts w:hint="eastAsia" w:ascii="宋体" w:hAnsi="宋体" w:cs="宋体"/>
                <w:color w:val="auto"/>
                <w:sz w:val="22"/>
                <w:szCs w:val="22"/>
                <w:highlight w:val="none"/>
              </w:rPr>
              <w:t>、电容器</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评分范围：3，2,1,0</w:t>
            </w:r>
            <w:r>
              <w:rPr>
                <w:rFonts w:hint="eastAsia" w:ascii="宋体" w:hAnsi="宋体" w:cs="宋体"/>
                <w:bCs/>
                <w:color w:val="auto"/>
                <w:sz w:val="22"/>
                <w:szCs w:val="22"/>
                <w:lang w:eastAsia="zh-CN"/>
              </w:rPr>
              <w:t>）</w:t>
            </w:r>
            <w:r>
              <w:rPr>
                <w:rFonts w:hint="eastAsia" w:ascii="宋体" w:hAnsi="宋体" w:cs="宋体"/>
                <w:color w:val="auto"/>
                <w:sz w:val="22"/>
                <w:szCs w:val="22"/>
                <w:highlight w:val="none"/>
              </w:rPr>
              <w:t>选用的品牌及配置情况</w:t>
            </w:r>
            <w:r>
              <w:rPr>
                <w:rFonts w:hint="eastAsia" w:ascii="宋体" w:hAnsi="宋体" w:cs="宋体"/>
                <w:color w:val="auto"/>
                <w:sz w:val="22"/>
                <w:szCs w:val="22"/>
                <w:highlight w:val="none"/>
                <w:lang w:eastAsia="zh-CN"/>
              </w:rPr>
              <w:t>，由评委根据各主要材料品牌及配置的先进性、适用性综合评分，总分</w:t>
            </w:r>
            <w:r>
              <w:rPr>
                <w:rFonts w:hint="eastAsia" w:ascii="宋体" w:hAnsi="宋体" w:cs="宋体"/>
                <w:color w:val="auto"/>
                <w:sz w:val="22"/>
                <w:szCs w:val="22"/>
                <w:highlight w:val="none"/>
                <w:lang w:val="en-US" w:eastAsia="zh-CN"/>
              </w:rPr>
              <w:t>9分。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4204A5CC">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15E6D53B">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636F0D57">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380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continue"/>
            <w:tcBorders>
              <w:left w:val="single" w:color="auto" w:sz="4" w:space="0"/>
              <w:right w:val="single" w:color="auto" w:sz="4" w:space="0"/>
            </w:tcBorders>
            <w:noWrap w:val="0"/>
            <w:vAlign w:val="center"/>
          </w:tcPr>
          <w:p w14:paraId="70394175">
            <w:pPr>
              <w:jc w:val="center"/>
              <w:rPr>
                <w:rFonts w:hint="eastAsia" w:ascii="宋体" w:hAnsi="宋体" w:eastAsia="宋体"/>
                <w:color w:val="auto"/>
                <w:sz w:val="22"/>
                <w:szCs w:val="22"/>
                <w:highlight w:val="none"/>
                <w:lang w:eastAsia="zh-CN"/>
              </w:rPr>
            </w:pPr>
          </w:p>
        </w:tc>
        <w:tc>
          <w:tcPr>
            <w:tcW w:w="776" w:type="pct"/>
            <w:vMerge w:val="continue"/>
            <w:tcBorders>
              <w:left w:val="single" w:color="auto" w:sz="4" w:space="0"/>
              <w:right w:val="single" w:color="auto" w:sz="4" w:space="0"/>
            </w:tcBorders>
            <w:noWrap w:val="0"/>
            <w:vAlign w:val="center"/>
          </w:tcPr>
          <w:p w14:paraId="791FC579">
            <w:pPr>
              <w:jc w:val="center"/>
              <w:rPr>
                <w:rFonts w:hint="eastAsia" w:ascii="宋体" w:hAnsi="宋体"/>
                <w:color w:val="auto"/>
                <w:sz w:val="22"/>
                <w:szCs w:val="22"/>
                <w:highlight w:val="none"/>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4DBE489D">
            <w:pPr>
              <w:jc w:val="center"/>
              <w:rPr>
                <w:rFonts w:hint="eastAsia" w:ascii="宋体" w:hAnsi="宋体"/>
                <w:color w:val="auto"/>
                <w:sz w:val="22"/>
                <w:szCs w:val="22"/>
                <w:highlight w:val="none"/>
              </w:rPr>
            </w:pPr>
            <w:r>
              <w:rPr>
                <w:rFonts w:hint="eastAsia" w:ascii="宋体" w:hAnsi="宋体"/>
                <w:color w:val="auto"/>
                <w:sz w:val="22"/>
                <w:szCs w:val="22"/>
                <w:highlight w:val="none"/>
              </w:rPr>
              <w:t>0-</w:t>
            </w:r>
            <w:r>
              <w:rPr>
                <w:rFonts w:hint="eastAsia" w:ascii="宋体" w:hAnsi="宋体"/>
                <w:color w:val="auto"/>
                <w:sz w:val="22"/>
                <w:szCs w:val="22"/>
                <w:highlight w:val="none"/>
                <w:lang w:val="en-US" w:eastAsia="zh-CN"/>
              </w:rPr>
              <w:t>8分</w:t>
            </w:r>
          </w:p>
        </w:tc>
        <w:tc>
          <w:tcPr>
            <w:tcW w:w="2996" w:type="pct"/>
            <w:tcBorders>
              <w:top w:val="single" w:color="auto" w:sz="4" w:space="0"/>
              <w:left w:val="single" w:color="auto" w:sz="4" w:space="0"/>
              <w:right w:val="single" w:color="auto" w:sz="4" w:space="0"/>
            </w:tcBorders>
            <w:noWrap w:val="0"/>
            <w:vAlign w:val="center"/>
          </w:tcPr>
          <w:p w14:paraId="5BA22619">
            <w:pPr>
              <w:rPr>
                <w:rFonts w:hint="eastAsia" w:ascii="宋体" w:hAnsi="宋体"/>
                <w:color w:val="auto"/>
                <w:sz w:val="22"/>
                <w:szCs w:val="22"/>
                <w:highlight w:val="none"/>
              </w:rPr>
            </w:pPr>
            <w:r>
              <w:rPr>
                <w:rFonts w:hint="eastAsia" w:ascii="宋体" w:hAnsi="宋体" w:cs="宋体"/>
                <w:bCs/>
                <w:color w:val="auto"/>
                <w:sz w:val="22"/>
                <w:szCs w:val="22"/>
              </w:rPr>
              <w:t>变压器</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评分范围：4，3,2,1,0</w:t>
            </w:r>
            <w:r>
              <w:rPr>
                <w:rFonts w:hint="eastAsia" w:ascii="宋体" w:hAnsi="宋体" w:cs="宋体"/>
                <w:bCs/>
                <w:color w:val="auto"/>
                <w:sz w:val="22"/>
                <w:szCs w:val="22"/>
                <w:lang w:eastAsia="zh-CN"/>
              </w:rPr>
              <w:t>）</w:t>
            </w:r>
            <w:r>
              <w:rPr>
                <w:rFonts w:hint="eastAsia" w:ascii="宋体" w:hAnsi="宋体" w:cs="宋体"/>
                <w:bCs/>
                <w:color w:val="auto"/>
                <w:sz w:val="22"/>
                <w:szCs w:val="22"/>
              </w:rPr>
              <w:t>、电力电缆</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评分范围,4，3,2,1,0</w:t>
            </w:r>
            <w:r>
              <w:rPr>
                <w:rFonts w:hint="eastAsia" w:ascii="宋体" w:hAnsi="宋体" w:cs="宋体"/>
                <w:bCs/>
                <w:color w:val="auto"/>
                <w:sz w:val="22"/>
                <w:szCs w:val="22"/>
                <w:lang w:eastAsia="zh-CN"/>
              </w:rPr>
              <w:t>）</w:t>
            </w:r>
            <w:r>
              <w:rPr>
                <w:rFonts w:hint="eastAsia" w:ascii="宋体" w:hAnsi="宋体" w:cs="宋体"/>
                <w:color w:val="auto"/>
                <w:sz w:val="22"/>
                <w:szCs w:val="22"/>
                <w:highlight w:val="none"/>
              </w:rPr>
              <w:t>选用的品牌及配置情况</w:t>
            </w:r>
            <w:r>
              <w:rPr>
                <w:rFonts w:hint="eastAsia" w:ascii="宋体" w:hAnsi="宋体" w:cs="宋体"/>
                <w:color w:val="auto"/>
                <w:sz w:val="22"/>
                <w:szCs w:val="22"/>
                <w:highlight w:val="none"/>
                <w:lang w:eastAsia="zh-CN"/>
              </w:rPr>
              <w:t>，由评委根据各主要材料品牌及配置的先进性、适用性综合评分，总分</w:t>
            </w:r>
            <w:r>
              <w:rPr>
                <w:rFonts w:hint="eastAsia" w:ascii="宋体" w:hAnsi="宋体" w:cs="宋体"/>
                <w:color w:val="auto"/>
                <w:sz w:val="22"/>
                <w:szCs w:val="22"/>
                <w:highlight w:val="none"/>
                <w:lang w:val="en-US" w:eastAsia="zh-CN"/>
              </w:rPr>
              <w:t>8分。</w:t>
            </w:r>
          </w:p>
        </w:tc>
        <w:tc>
          <w:tcPr>
            <w:tcW w:w="364" w:type="pct"/>
            <w:tcBorders>
              <w:top w:val="single" w:color="auto" w:sz="4" w:space="0"/>
              <w:left w:val="single" w:color="auto" w:sz="4" w:space="0"/>
              <w:right w:val="single" w:color="auto" w:sz="4" w:space="0"/>
            </w:tcBorders>
            <w:noWrap w:val="0"/>
            <w:vAlign w:val="center"/>
          </w:tcPr>
          <w:p w14:paraId="1AF5F825">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64C40F30">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203EA5D7">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532C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01003920">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8</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62989B8">
            <w:pPr>
              <w:widowControl/>
              <w:snapToGrid w:val="0"/>
              <w:spacing w:line="240" w:lineRule="exact"/>
              <w:jc w:val="center"/>
              <w:rPr>
                <w:rFonts w:hint="eastAsia" w:ascii="宋体" w:hAnsi="宋体" w:eastAsia="宋体" w:cs="Times New Roman"/>
                <w:color w:val="auto"/>
                <w:sz w:val="22"/>
                <w:szCs w:val="22"/>
                <w:lang w:eastAsia="zh-CN"/>
              </w:rPr>
            </w:pPr>
            <w:r>
              <w:rPr>
                <w:rFonts w:hint="eastAsia" w:ascii="宋体" w:hAnsi="宋体" w:eastAsia="宋体" w:cs="Times New Roman"/>
                <w:color w:val="auto"/>
                <w:sz w:val="22"/>
                <w:szCs w:val="22"/>
              </w:rPr>
              <w:t>配备与工程规模相适应的电气试验和继电保护作业人员</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41C6BA9A">
            <w:pPr>
              <w:widowControl/>
              <w:snapToGrid w:val="0"/>
              <w:spacing w:line="240" w:lineRule="exact"/>
              <w:jc w:val="center"/>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0-</w:t>
            </w:r>
            <w:r>
              <w:rPr>
                <w:rFonts w:hint="eastAsia" w:ascii="宋体" w:hAnsi="宋体" w:eastAsia="宋体" w:cs="Times New Roman"/>
                <w:color w:val="auto"/>
                <w:sz w:val="22"/>
                <w:szCs w:val="22"/>
              </w:rPr>
              <w:t>4</w:t>
            </w:r>
            <w:r>
              <w:rPr>
                <w:rFonts w:hint="eastAsia" w:ascii="宋体" w:hAnsi="宋体" w:eastAsia="宋体" w:cs="Times New Roman"/>
                <w:color w:val="auto"/>
                <w:sz w:val="22"/>
                <w:szCs w:val="22"/>
                <w:lang w:val="en-US" w:eastAsia="zh-CN"/>
              </w:rPr>
              <w:t>分</w:t>
            </w:r>
          </w:p>
        </w:tc>
        <w:tc>
          <w:tcPr>
            <w:tcW w:w="2996" w:type="pct"/>
            <w:tcBorders>
              <w:top w:val="single" w:color="auto" w:sz="4" w:space="0"/>
              <w:left w:val="single" w:color="auto" w:sz="4" w:space="0"/>
              <w:right w:val="single" w:color="auto" w:sz="4" w:space="0"/>
            </w:tcBorders>
            <w:noWrap w:val="0"/>
            <w:vAlign w:val="center"/>
          </w:tcPr>
          <w:p w14:paraId="2CB63BF0">
            <w:pPr>
              <w:widowControl/>
              <w:snapToGrid w:val="0"/>
              <w:spacing w:line="240" w:lineRule="exact"/>
              <w:rPr>
                <w:rFonts w:hint="eastAsia" w:ascii="宋体" w:hAnsi="宋体" w:eastAsia="宋体" w:cs="Times New Roman"/>
                <w:color w:val="auto"/>
                <w:sz w:val="22"/>
                <w:szCs w:val="22"/>
              </w:rPr>
            </w:pPr>
            <w:r>
              <w:rPr>
                <w:rFonts w:hint="eastAsia" w:ascii="宋体" w:hAnsi="宋体" w:eastAsia="宋体" w:cs="Times New Roman"/>
                <w:color w:val="auto"/>
                <w:sz w:val="22"/>
                <w:szCs w:val="22"/>
              </w:rPr>
              <w:t>本工程至少需配备电气试验和继电保护作业人员各2名，需持有中华人民共和国特种作业操作证（需在有效期内）。并提供社保证明，证明为其公司员工，社保证明时间为开标日期前连续</w:t>
            </w:r>
            <w:r>
              <w:rPr>
                <w:rFonts w:hint="eastAsia" w:ascii="宋体" w:hAnsi="宋体" w:cs="Times New Roman"/>
                <w:color w:val="auto"/>
                <w:sz w:val="22"/>
                <w:szCs w:val="22"/>
                <w:lang w:val="en-US" w:eastAsia="zh-CN"/>
              </w:rPr>
              <w:t>三</w:t>
            </w:r>
            <w:r>
              <w:rPr>
                <w:rFonts w:hint="eastAsia" w:ascii="宋体" w:hAnsi="宋体" w:eastAsia="宋体" w:cs="Times New Roman"/>
                <w:color w:val="auto"/>
                <w:sz w:val="22"/>
                <w:szCs w:val="22"/>
              </w:rPr>
              <w:t>个月。（资料不齐全或不符1名人员扣1分）（注：操作证及社保证明提供不齐全均不得分 ）</w:t>
            </w:r>
          </w:p>
        </w:tc>
        <w:tc>
          <w:tcPr>
            <w:tcW w:w="364" w:type="pct"/>
            <w:tcBorders>
              <w:top w:val="single" w:color="auto" w:sz="4" w:space="0"/>
              <w:left w:val="single" w:color="auto" w:sz="4" w:space="0"/>
              <w:right w:val="single" w:color="auto" w:sz="4" w:space="0"/>
            </w:tcBorders>
            <w:noWrap w:val="0"/>
            <w:vAlign w:val="center"/>
          </w:tcPr>
          <w:p w14:paraId="7EB06693">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469C1C78">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1A48F07A">
            <w:pPr>
              <w:suppressAutoHyphens/>
              <w:adjustRightInd w:val="0"/>
              <w:snapToGrid w:val="0"/>
              <w:spacing w:line="320" w:lineRule="exact"/>
              <w:ind w:left="-35" w:right="-38"/>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03D3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361A1DBB">
            <w:pPr>
              <w:jc w:val="center"/>
              <w:rPr>
                <w:rFonts w:hint="eastAsia" w:ascii="宋体" w:hAnsi="宋体"/>
                <w:color w:val="auto"/>
                <w:kern w:val="2"/>
                <w:sz w:val="22"/>
                <w:szCs w:val="22"/>
                <w:highlight w:val="none"/>
                <w:lang w:val="en-US" w:eastAsia="zh-CN" w:bidi="ar-SA"/>
              </w:rPr>
            </w:pPr>
            <w:r>
              <w:rPr>
                <w:rFonts w:hint="eastAsia" w:ascii="宋体" w:hAnsi="宋体"/>
                <w:color w:val="auto"/>
                <w:sz w:val="22"/>
                <w:szCs w:val="22"/>
                <w:highlight w:val="none"/>
                <w:lang w:val="en-US" w:eastAsia="zh-CN"/>
              </w:rPr>
              <w:t>9</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028D8ECE">
            <w:pPr>
              <w:jc w:val="center"/>
              <w:rPr>
                <w:rFonts w:hint="eastAsia" w:ascii="宋体" w:hAnsi="宋体" w:eastAsia="宋体"/>
                <w:color w:val="auto"/>
                <w:kern w:val="2"/>
                <w:sz w:val="22"/>
                <w:szCs w:val="22"/>
                <w:highlight w:val="none"/>
                <w:lang w:val="en-US" w:eastAsia="zh-CN" w:bidi="ar-SA"/>
              </w:rPr>
            </w:pPr>
            <w:r>
              <w:rPr>
                <w:rFonts w:hint="eastAsia" w:ascii="宋体" w:hAnsi="宋体" w:cs="宋体"/>
                <w:bCs/>
                <w:color w:val="auto"/>
                <w:sz w:val="22"/>
                <w:szCs w:val="22"/>
              </w:rPr>
              <w:t>售后服务</w:t>
            </w:r>
            <w:r>
              <w:rPr>
                <w:rFonts w:hint="eastAsia" w:ascii="宋体" w:hAnsi="宋体" w:cs="宋体"/>
                <w:bCs/>
                <w:color w:val="auto"/>
                <w:sz w:val="22"/>
                <w:szCs w:val="22"/>
                <w:lang w:eastAsia="zh-CN"/>
              </w:rPr>
              <w:t>方案</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1317F45F">
            <w:pPr>
              <w:suppressAutoHyphens/>
              <w:adjustRightInd w:val="0"/>
              <w:snapToGrid w:val="0"/>
              <w:spacing w:line="320" w:lineRule="exact"/>
              <w:ind w:left="-35" w:leftChars="0" w:right="-38" w:rightChars="0"/>
              <w:jc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bCs/>
                <w:color w:val="auto"/>
                <w:sz w:val="22"/>
                <w:szCs w:val="22"/>
                <w:lang w:val="en-US" w:eastAsia="zh-CN"/>
              </w:rPr>
              <w:t>0-</w:t>
            </w:r>
            <w:r>
              <w:rPr>
                <w:rFonts w:hint="eastAsia" w:ascii="宋体" w:hAnsi="宋体" w:cs="宋体"/>
                <w:bCs/>
                <w:color w:val="auto"/>
                <w:sz w:val="22"/>
                <w:szCs w:val="22"/>
                <w:lang w:val="en-US" w:eastAsia="zh-CN"/>
              </w:rPr>
              <w:t>8</w:t>
            </w:r>
            <w:r>
              <w:rPr>
                <w:rFonts w:hint="eastAsia" w:ascii="宋体" w:hAnsi="宋体"/>
                <w:color w:val="auto"/>
                <w:sz w:val="22"/>
                <w:szCs w:val="22"/>
                <w:highlight w:val="none"/>
                <w:lang w:val="en-US" w:eastAsia="zh-CN"/>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4B46B094">
            <w:pPr>
              <w:suppressAutoHyphens/>
              <w:adjustRightInd w:val="0"/>
              <w:snapToGrid w:val="0"/>
              <w:spacing w:line="320" w:lineRule="exact"/>
              <w:ind w:left="-35" w:right="-38"/>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根据投标人所提供售后服务承诺</w:t>
            </w:r>
            <w:r>
              <w:rPr>
                <w:rFonts w:hint="eastAsia" w:ascii="宋体" w:hAnsi="宋体" w:eastAsia="宋体" w:cs="宋体"/>
                <w:bCs/>
                <w:color w:val="auto"/>
                <w:sz w:val="22"/>
                <w:szCs w:val="22"/>
                <w:lang w:eastAsia="zh-CN"/>
              </w:rPr>
              <w:t>、服务措施、售后服务场所</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设备质保承诺函（格式自拟）</w:t>
            </w:r>
            <w:r>
              <w:rPr>
                <w:rFonts w:hint="eastAsia" w:ascii="宋体" w:hAnsi="宋体" w:eastAsia="宋体" w:cs="宋体"/>
                <w:bCs/>
                <w:color w:val="auto"/>
                <w:sz w:val="22"/>
                <w:szCs w:val="22"/>
                <w:lang w:eastAsia="zh-CN"/>
              </w:rPr>
              <w:t>情况，由评委根据售后方案及机构设置情况进行综合评分</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评分范围：5,4,3,2,1,0</w:t>
            </w:r>
            <w:r>
              <w:rPr>
                <w:rFonts w:hint="eastAsia" w:ascii="宋体" w:hAnsi="宋体" w:cs="宋体"/>
                <w:bCs/>
                <w:color w:val="auto"/>
                <w:sz w:val="22"/>
                <w:szCs w:val="22"/>
                <w:lang w:eastAsia="zh-CN"/>
              </w:rPr>
              <w:t>）</w:t>
            </w:r>
            <w:r>
              <w:rPr>
                <w:rFonts w:hint="eastAsia" w:ascii="宋体" w:hAnsi="宋体" w:eastAsia="宋体" w:cs="宋体"/>
                <w:bCs/>
                <w:color w:val="auto"/>
                <w:sz w:val="22"/>
                <w:szCs w:val="22"/>
                <w:lang w:eastAsia="zh-CN"/>
              </w:rPr>
              <w:t>。</w:t>
            </w:r>
          </w:p>
          <w:p w14:paraId="70F94B92">
            <w:pPr>
              <w:suppressAutoHyphens/>
              <w:adjustRightInd w:val="0"/>
              <w:snapToGrid w:val="0"/>
              <w:spacing w:line="320" w:lineRule="exact"/>
              <w:ind w:left="-35" w:right="-38"/>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针对本项目售后服务</w:t>
            </w:r>
            <w:r>
              <w:rPr>
                <w:rFonts w:hint="eastAsia" w:ascii="宋体" w:hAnsi="宋体" w:eastAsia="宋体" w:cs="宋体"/>
                <w:bCs/>
                <w:color w:val="auto"/>
                <w:sz w:val="22"/>
                <w:szCs w:val="22"/>
              </w:rPr>
              <w:t>人员</w:t>
            </w:r>
            <w:r>
              <w:rPr>
                <w:rFonts w:hint="eastAsia" w:ascii="宋体" w:hAnsi="宋体" w:eastAsia="宋体" w:cs="宋体"/>
                <w:bCs/>
                <w:color w:val="auto"/>
                <w:sz w:val="22"/>
                <w:szCs w:val="22"/>
                <w:lang w:eastAsia="zh-CN"/>
              </w:rPr>
              <w:t>配置的电力、电气专业人员情况进行综合评分</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评分范围：3,2,1,0</w:t>
            </w:r>
            <w:r>
              <w:rPr>
                <w:rFonts w:hint="eastAsia" w:ascii="宋体" w:hAnsi="宋体" w:cs="宋体"/>
                <w:bCs/>
                <w:color w:val="auto"/>
                <w:sz w:val="22"/>
                <w:szCs w:val="22"/>
                <w:lang w:eastAsia="zh-CN"/>
              </w:rPr>
              <w:t>）</w:t>
            </w:r>
            <w:r>
              <w:rPr>
                <w:rFonts w:hint="eastAsia" w:ascii="宋体" w:hAnsi="宋体" w:eastAsia="宋体" w:cs="宋体"/>
                <w:bCs/>
                <w:color w:val="auto"/>
                <w:sz w:val="22"/>
                <w:szCs w:val="22"/>
                <w:lang w:eastAsia="zh-CN"/>
              </w:rPr>
              <w:t>。</w:t>
            </w:r>
          </w:p>
          <w:p w14:paraId="1C8AAA49">
            <w:pPr>
              <w:suppressAutoHyphens/>
              <w:adjustRightInd w:val="0"/>
              <w:snapToGrid w:val="0"/>
              <w:spacing w:line="320" w:lineRule="exact"/>
              <w:ind w:left="-35" w:leftChars="0" w:right="-38" w:rightChars="0"/>
              <w:rPr>
                <w:rFonts w:hint="eastAsia"/>
                <w:color w:val="auto"/>
                <w:kern w:val="2"/>
                <w:sz w:val="22"/>
                <w:szCs w:val="22"/>
                <w:lang w:val="en-US" w:eastAsia="zh-CN" w:bidi="ar-SA"/>
              </w:rPr>
            </w:pPr>
            <w:r>
              <w:rPr>
                <w:rFonts w:hint="eastAsia" w:ascii="宋体" w:hAnsi="宋体" w:eastAsia="宋体" w:cs="宋体"/>
                <w:bCs/>
                <w:color w:val="auto"/>
                <w:sz w:val="22"/>
                <w:szCs w:val="22"/>
              </w:rPr>
              <w:t>（提供售后服务人员电力、电气中级及以上职称证书及社保证明，售后场所如为自有房产需提供房产证扫描件，如为租赁房产提供租赁合同扫描件及租赁场所房产证扫描件，提供不齐全的不得分）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3EB3B82">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600E7CD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74169959">
            <w:pPr>
              <w:suppressAutoHyphens/>
              <w:adjustRightInd w:val="0"/>
              <w:snapToGrid w:val="0"/>
              <w:spacing w:line="320" w:lineRule="exact"/>
              <w:ind w:left="-35" w:leftChars="0" w:right="-38"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分</w:t>
            </w:r>
          </w:p>
        </w:tc>
      </w:tr>
      <w:tr w14:paraId="7D6B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671789E1">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1A195970">
            <w:pPr>
              <w:suppressAutoHyphens/>
              <w:adjustRightInd w:val="0"/>
              <w:snapToGrid w:val="0"/>
              <w:spacing w:line="320" w:lineRule="exact"/>
              <w:ind w:left="-35" w:leftChars="0" w:right="-38" w:rightChars="0"/>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环境标志产品、节能产品评审</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68E6ADDF">
            <w:pPr>
              <w:suppressAutoHyphens/>
              <w:adjustRightInd w:val="0"/>
              <w:snapToGrid w:val="0"/>
              <w:spacing w:line="320" w:lineRule="exact"/>
              <w:ind w:left="-35" w:leftChars="0" w:right="-38" w:rightChars="0"/>
              <w:jc w:val="center"/>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0-</w:t>
            </w:r>
            <w:r>
              <w:rPr>
                <w:rFonts w:hint="eastAsia" w:ascii="宋体" w:hAnsi="宋体" w:eastAsia="宋体" w:cs="宋体"/>
                <w:bCs/>
                <w:color w:val="auto"/>
                <w:sz w:val="22"/>
                <w:szCs w:val="22"/>
                <w:lang w:val="en-US" w:eastAsia="zh-CN"/>
              </w:rPr>
              <w:t>2</w:t>
            </w:r>
            <w:r>
              <w:rPr>
                <w:rFonts w:hint="eastAsia" w:ascii="宋体" w:hAnsi="宋体" w:eastAsia="宋体" w:cs="宋体"/>
                <w:bCs/>
                <w:color w:val="auto"/>
                <w:sz w:val="22"/>
                <w:szCs w:val="22"/>
              </w:rPr>
              <w:t>分</w:t>
            </w:r>
          </w:p>
        </w:tc>
        <w:tc>
          <w:tcPr>
            <w:tcW w:w="2996" w:type="pct"/>
            <w:tcBorders>
              <w:top w:val="single" w:color="auto" w:sz="4" w:space="0"/>
              <w:left w:val="single" w:color="auto" w:sz="4" w:space="0"/>
              <w:bottom w:val="single" w:color="auto" w:sz="4" w:space="0"/>
              <w:right w:val="single" w:color="auto" w:sz="4" w:space="0"/>
            </w:tcBorders>
            <w:noWrap w:val="0"/>
            <w:vAlign w:val="center"/>
          </w:tcPr>
          <w:p w14:paraId="10F2519F">
            <w:pPr>
              <w:suppressAutoHyphens/>
              <w:adjustRightInd w:val="0"/>
              <w:snapToGrid w:val="0"/>
              <w:spacing w:line="320" w:lineRule="exact"/>
              <w:ind w:left="-35" w:leftChars="0" w:right="-38" w:rightChars="0"/>
              <w:rPr>
                <w:rFonts w:hint="eastAsia" w:ascii="宋体" w:hAnsi="宋体" w:eastAsia="宋体" w:cs="宋体"/>
                <w:bCs/>
                <w:color w:val="auto"/>
                <w:sz w:val="22"/>
                <w:szCs w:val="22"/>
              </w:rPr>
            </w:pPr>
            <w:bookmarkStart w:id="120" w:name="_GoBack"/>
            <w:r>
              <w:rPr>
                <w:rFonts w:hint="eastAsia" w:ascii="宋体" w:hAnsi="宋体" w:eastAsia="宋体" w:cs="宋体"/>
                <w:bCs/>
                <w:color w:val="auto"/>
                <w:sz w:val="22"/>
                <w:szCs w:val="22"/>
              </w:rPr>
              <w:t>1）供应商选择的主要材料若列入政府采购节能产品品目清单范围（列入强制采购节能产品清单目录的产品不计分）的加1分。</w:t>
            </w:r>
          </w:p>
          <w:p w14:paraId="2BD32B9A">
            <w:pPr>
              <w:suppressAutoHyphens/>
              <w:adjustRightInd w:val="0"/>
              <w:snapToGrid w:val="0"/>
              <w:spacing w:line="320" w:lineRule="exact"/>
              <w:ind w:left="-35" w:leftChars="0" w:right="-38" w:rightChars="0"/>
              <w:rPr>
                <w:rFonts w:hint="eastAsia" w:ascii="宋体" w:hAnsi="宋体" w:eastAsia="宋体" w:cs="宋体"/>
                <w:bCs/>
                <w:color w:val="auto"/>
                <w:sz w:val="22"/>
                <w:szCs w:val="22"/>
              </w:rPr>
            </w:pPr>
            <w:r>
              <w:rPr>
                <w:rFonts w:hint="eastAsia" w:ascii="宋体" w:hAnsi="宋体" w:eastAsia="宋体" w:cs="宋体"/>
                <w:bCs/>
                <w:color w:val="auto"/>
                <w:sz w:val="22"/>
                <w:szCs w:val="22"/>
              </w:rPr>
              <w:t>2）供应商选择的主要材料若列入政府采购环境标志产品品目清单范围的加1分。</w:t>
            </w:r>
          </w:p>
          <w:p w14:paraId="54E98F63">
            <w:pPr>
              <w:suppressAutoHyphens/>
              <w:adjustRightInd w:val="0"/>
              <w:snapToGrid w:val="0"/>
              <w:spacing w:line="320" w:lineRule="exact"/>
              <w:ind w:left="-35" w:leftChars="0" w:right="-38" w:rightChars="0"/>
              <w:rPr>
                <w:rFonts w:hint="eastAsia" w:ascii="宋体" w:hAnsi="宋体" w:eastAsia="宋体" w:cs="宋体"/>
                <w:bCs/>
                <w:color w:val="auto"/>
                <w:sz w:val="22"/>
                <w:szCs w:val="22"/>
              </w:rPr>
            </w:pPr>
            <w:r>
              <w:rPr>
                <w:rFonts w:hint="eastAsia" w:ascii="宋体" w:hAnsi="宋体" w:eastAsia="宋体" w:cs="宋体"/>
                <w:bCs/>
                <w:color w:val="auto"/>
                <w:sz w:val="22"/>
                <w:szCs w:val="22"/>
              </w:rPr>
              <w:t>应同时提供①该产品所在的节能产品（环境标志产品）政府采购品目清单所在页；②该产品国家确定的认证机构出具的、处于有效期之内的节能产品（环境标志产品）认证证书扫描件或中国政府采购网（www.ccgp.gov.cn）查询平台节能产品（环境标志产品）查询结果网页截图。</w:t>
            </w:r>
            <w:bookmarkEnd w:id="120"/>
          </w:p>
        </w:tc>
        <w:tc>
          <w:tcPr>
            <w:tcW w:w="364" w:type="pct"/>
            <w:tcBorders>
              <w:top w:val="single" w:color="auto" w:sz="4" w:space="0"/>
              <w:left w:val="single" w:color="auto" w:sz="4" w:space="0"/>
              <w:bottom w:val="single" w:color="auto" w:sz="4" w:space="0"/>
              <w:right w:val="single" w:color="auto" w:sz="4" w:space="0"/>
            </w:tcBorders>
            <w:noWrap w:val="0"/>
            <w:vAlign w:val="center"/>
          </w:tcPr>
          <w:p w14:paraId="0E57408F">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6CD00E0B">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5F77D48C">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bl>
    <w:p w14:paraId="2BB9E6CB">
      <w:pPr>
        <w:spacing w:line="440" w:lineRule="exact"/>
        <w:rPr>
          <w:rFonts w:hint="eastAsia" w:ascii="宋体" w:hAnsi="宋体"/>
          <w:color w:val="auto"/>
          <w:sz w:val="22"/>
          <w:szCs w:val="22"/>
        </w:rPr>
      </w:pPr>
      <w:r>
        <w:rPr>
          <w:rFonts w:ascii="宋体" w:hAnsi="宋体"/>
          <w:color w:val="auto"/>
          <w:sz w:val="22"/>
          <w:szCs w:val="22"/>
        </w:rPr>
        <w:t>2</w:t>
      </w:r>
      <w:r>
        <w:rPr>
          <w:rFonts w:hint="eastAsia" w:ascii="宋体" w:hAnsi="宋体"/>
          <w:color w:val="auto"/>
          <w:sz w:val="22"/>
          <w:szCs w:val="22"/>
        </w:rPr>
        <w:t xml:space="preserve">.   </w:t>
      </w:r>
      <w:r>
        <w:rPr>
          <w:rFonts w:hint="eastAsia" w:ascii="宋体" w:hAnsi="宋体"/>
          <w:b/>
          <w:color w:val="auto"/>
          <w:sz w:val="22"/>
          <w:szCs w:val="22"/>
        </w:rPr>
        <w:t>价格标的详细评审。</w:t>
      </w:r>
    </w:p>
    <w:p w14:paraId="7CA9609D">
      <w:pPr>
        <w:tabs>
          <w:tab w:val="left" w:pos="-180"/>
          <w:tab w:val="left" w:pos="180"/>
          <w:tab w:val="left" w:pos="360"/>
        </w:tabs>
        <w:spacing w:line="440" w:lineRule="exact"/>
        <w:ind w:left="539" w:hanging="539" w:hangingChars="245"/>
        <w:rPr>
          <w:rFonts w:hint="eastAsia" w:ascii="宋体" w:hAnsi="宋体" w:cs="宋体"/>
          <w:color w:val="auto"/>
          <w:sz w:val="22"/>
          <w:szCs w:val="22"/>
        </w:rPr>
      </w:pPr>
      <w:r>
        <w:rPr>
          <w:rFonts w:ascii="宋体" w:hAnsi="宋体"/>
          <w:color w:val="auto"/>
          <w:sz w:val="22"/>
          <w:szCs w:val="22"/>
        </w:rPr>
        <w:t>2</w:t>
      </w:r>
      <w:r>
        <w:rPr>
          <w:rFonts w:hint="eastAsia" w:ascii="宋体" w:hAnsi="宋体"/>
          <w:color w:val="auto"/>
          <w:sz w:val="22"/>
          <w:szCs w:val="22"/>
        </w:rPr>
        <w:t>.</w:t>
      </w:r>
      <w:r>
        <w:rPr>
          <w:rFonts w:ascii="宋体" w:hAnsi="宋体"/>
          <w:color w:val="auto"/>
          <w:sz w:val="22"/>
          <w:szCs w:val="22"/>
        </w:rPr>
        <w:t>1</w:t>
      </w:r>
      <w:r>
        <w:rPr>
          <w:rFonts w:hint="eastAsia" w:ascii="宋体" w:hAnsi="宋体"/>
          <w:color w:val="auto"/>
          <w:sz w:val="22"/>
          <w:szCs w:val="22"/>
        </w:rPr>
        <w:t xml:space="preserve">  </w:t>
      </w:r>
      <w:r>
        <w:rPr>
          <w:rFonts w:hint="eastAsia" w:ascii="宋体" w:hAnsi="宋体" w:cs="宋体"/>
          <w:color w:val="auto"/>
          <w:sz w:val="22"/>
          <w:szCs w:val="22"/>
          <w:u w:val="single"/>
        </w:rPr>
        <w:t>磋商小组对磋商报价进行详细评审时，出现下列问题时按下述原则进行修正，如磋商供应商拒绝对其作出的修正，则其磋商响应文件按无效标处理</w:t>
      </w:r>
      <w:r>
        <w:rPr>
          <w:rFonts w:hint="eastAsia" w:ascii="宋体" w:hAnsi="宋体" w:cs="宋体"/>
          <w:color w:val="auto"/>
          <w:sz w:val="22"/>
          <w:szCs w:val="22"/>
        </w:rPr>
        <w:t>：</w:t>
      </w:r>
    </w:p>
    <w:p w14:paraId="0555CE77">
      <w:pPr>
        <w:autoSpaceDE w:val="0"/>
        <w:autoSpaceDN w:val="0"/>
        <w:adjustRightInd w:val="0"/>
        <w:spacing w:line="440" w:lineRule="exact"/>
        <w:jc w:val="left"/>
        <w:rPr>
          <w:rFonts w:hint="eastAsia" w:ascii="宋体" w:hAnsi="宋体"/>
          <w:color w:val="auto"/>
          <w:sz w:val="22"/>
          <w:szCs w:val="22"/>
        </w:rPr>
      </w:pPr>
      <w:r>
        <w:rPr>
          <w:rFonts w:hint="eastAsia" w:ascii="宋体" w:hAnsi="宋体"/>
          <w:color w:val="auto"/>
          <w:sz w:val="22"/>
          <w:szCs w:val="22"/>
        </w:rPr>
        <w:t>（1）如果数字表示的金额和用文字表示的金额不一致时，应以文字表示的金额为准；</w:t>
      </w:r>
    </w:p>
    <w:p w14:paraId="0D0930DB">
      <w:pPr>
        <w:autoSpaceDE w:val="0"/>
        <w:autoSpaceDN w:val="0"/>
        <w:adjustRightInd w:val="0"/>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2）当单价与数量的乘积与合价不一致时，以单价为准，除非磋商小组认为单价有明显的小数点错误，此时应以标出的合价为准，并修改单价；当单价出现明显错误时修正单价，并修改合价，其产生误差的绝对值同时加入累计计算偏差值（3%）范围；</w:t>
      </w:r>
    </w:p>
    <w:p w14:paraId="174C25E1">
      <w:pPr>
        <w:autoSpaceDE w:val="0"/>
        <w:autoSpaceDN w:val="0"/>
        <w:adjustRightInd w:val="0"/>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（3）合计累计金额与小计(合计)金额不一致的，以合计累计金额为准，并修改小计（合计）金额及总报价；</w:t>
      </w:r>
    </w:p>
    <w:p w14:paraId="03935FB4">
      <w:pPr>
        <w:autoSpaceDE w:val="0"/>
        <w:autoSpaceDN w:val="0"/>
        <w:adjustRightInd w:val="0"/>
        <w:spacing w:line="440" w:lineRule="exact"/>
        <w:ind w:left="550" w:hanging="550" w:hangingChars="250"/>
        <w:jc w:val="left"/>
        <w:rPr>
          <w:rFonts w:hint="eastAsia" w:ascii="宋体" w:hAnsi="宋体"/>
          <w:color w:val="auto"/>
          <w:sz w:val="22"/>
          <w:szCs w:val="22"/>
        </w:rPr>
      </w:pPr>
      <w:r>
        <w:rPr>
          <w:rFonts w:hint="eastAsia" w:ascii="宋体" w:hAnsi="宋体"/>
          <w:color w:val="auto"/>
          <w:sz w:val="22"/>
          <w:szCs w:val="22"/>
        </w:rPr>
        <w:t>（4）磋商响应函报价与磋商总价上的报价不一致的，以磋商函报价为准；</w:t>
      </w:r>
    </w:p>
    <w:p w14:paraId="4FCD85C2">
      <w:pPr>
        <w:autoSpaceDE w:val="0"/>
        <w:autoSpaceDN w:val="0"/>
        <w:adjustRightInd w:val="0"/>
        <w:spacing w:line="440" w:lineRule="exact"/>
        <w:jc w:val="left"/>
        <w:rPr>
          <w:rFonts w:hint="eastAsia" w:ascii="宋体" w:hAnsi="宋体"/>
          <w:color w:val="auto"/>
          <w:sz w:val="22"/>
          <w:szCs w:val="22"/>
        </w:rPr>
      </w:pPr>
      <w:r>
        <w:rPr>
          <w:rFonts w:hint="eastAsia" w:ascii="宋体" w:hAnsi="宋体"/>
          <w:color w:val="auto"/>
          <w:sz w:val="22"/>
          <w:szCs w:val="22"/>
        </w:rPr>
        <w:t>（5）正本与副本不一致的以正本为准。</w:t>
      </w:r>
    </w:p>
    <w:p w14:paraId="27624449">
      <w:pPr>
        <w:autoSpaceDE w:val="0"/>
        <w:autoSpaceDN w:val="0"/>
        <w:adjustRightInd w:val="0"/>
        <w:spacing w:line="440" w:lineRule="exact"/>
        <w:ind w:left="550" w:hanging="550" w:hangingChars="250"/>
        <w:jc w:val="left"/>
        <w:rPr>
          <w:rFonts w:hint="eastAsia" w:ascii="宋体" w:hAnsi="宋体"/>
          <w:color w:val="auto"/>
          <w:sz w:val="22"/>
          <w:szCs w:val="22"/>
          <w:u w:val="single"/>
        </w:rPr>
      </w:pPr>
      <w:r>
        <w:rPr>
          <w:rFonts w:ascii="宋体" w:hAnsi="宋体"/>
          <w:color w:val="auto"/>
          <w:sz w:val="22"/>
          <w:szCs w:val="22"/>
        </w:rPr>
        <w:t>2</w:t>
      </w:r>
      <w:r>
        <w:rPr>
          <w:rFonts w:hint="eastAsia" w:ascii="宋体" w:hAnsi="宋体"/>
          <w:color w:val="auto"/>
          <w:sz w:val="22"/>
          <w:szCs w:val="22"/>
        </w:rPr>
        <w:t>.</w:t>
      </w:r>
      <w:r>
        <w:rPr>
          <w:rFonts w:ascii="宋体" w:hAnsi="宋体"/>
          <w:color w:val="auto"/>
          <w:sz w:val="22"/>
          <w:szCs w:val="22"/>
        </w:rPr>
        <w:t>2</w:t>
      </w:r>
      <w:r>
        <w:rPr>
          <w:rFonts w:hint="eastAsia" w:ascii="宋体" w:hAnsi="宋体"/>
          <w:color w:val="auto"/>
          <w:sz w:val="22"/>
          <w:szCs w:val="22"/>
        </w:rPr>
        <w:t xml:space="preserve">  </w:t>
      </w:r>
      <w:r>
        <w:rPr>
          <w:rFonts w:hint="eastAsia" w:ascii="宋体" w:hAnsi="宋体"/>
          <w:color w:val="auto"/>
          <w:sz w:val="22"/>
          <w:szCs w:val="22"/>
          <w:u w:val="single"/>
        </w:rPr>
        <w:t>磋商小组在详细评审时，发现因磋商供应商原因造成磋商报价及其综合单价遗漏工程内容、工程数量、费用或发生算术错误等，累计磋商报价缺漏总额（冒算、多报费用不得抵消缺漏费用）占磋商报价3%（含3%）以上者，属于重大偏差，其磋商响应文件作无效标处理。小于3%时，则视为其已分配到其他项目中，</w:t>
      </w:r>
      <w:r>
        <w:rPr>
          <w:rFonts w:ascii="宋体" w:hAnsi="宋体"/>
          <w:color w:val="auto"/>
          <w:sz w:val="22"/>
          <w:szCs w:val="22"/>
          <w:u w:val="single"/>
        </w:rPr>
        <w:t>对磋商供应商报价不进行调整。</w:t>
      </w:r>
    </w:p>
    <w:p w14:paraId="5126232C">
      <w:pPr>
        <w:autoSpaceDE w:val="0"/>
        <w:autoSpaceDN w:val="0"/>
        <w:adjustRightInd w:val="0"/>
        <w:spacing w:line="440" w:lineRule="exact"/>
        <w:ind w:left="550" w:hanging="550" w:hangingChars="250"/>
        <w:jc w:val="left"/>
        <w:rPr>
          <w:rFonts w:hint="eastAsia" w:ascii="宋体" w:hAnsi="宋体"/>
          <w:color w:val="auto"/>
          <w:sz w:val="22"/>
          <w:szCs w:val="22"/>
        </w:rPr>
      </w:pPr>
      <w:r>
        <w:rPr>
          <w:rFonts w:ascii="宋体" w:hAnsi="宋体" w:cs="宋体"/>
          <w:color w:val="auto"/>
          <w:sz w:val="22"/>
          <w:szCs w:val="22"/>
        </w:rPr>
        <w:t>2.3</w:t>
      </w:r>
      <w:r>
        <w:rPr>
          <w:rFonts w:hint="eastAsia" w:ascii="宋体" w:hAnsi="宋体" w:cs="宋体"/>
          <w:color w:val="auto"/>
          <w:sz w:val="22"/>
          <w:szCs w:val="22"/>
        </w:rPr>
        <w:t xml:space="preserve">  对工程量清单漏项的计算原则是：漏项的工程量</w:t>
      </w:r>
      <w:r>
        <w:rPr>
          <w:rFonts w:hint="eastAsia" w:ascii="宋体" w:hAnsi="宋体"/>
          <w:color w:val="auto"/>
          <w:sz w:val="22"/>
          <w:szCs w:val="22"/>
        </w:rPr>
        <w:t>×</w:t>
      </w:r>
      <w:r>
        <w:rPr>
          <w:rFonts w:hint="eastAsia" w:ascii="宋体" w:hAnsi="宋体" w:cs="宋体"/>
          <w:color w:val="auto"/>
          <w:sz w:val="22"/>
          <w:szCs w:val="22"/>
        </w:rPr>
        <w:t>所有有效磋商供应商中该项综合单价最高报价后计取规费、</w:t>
      </w:r>
      <w:r>
        <w:rPr>
          <w:rFonts w:hint="eastAsia" w:ascii="宋体" w:hAnsi="宋体"/>
          <w:color w:val="auto"/>
          <w:sz w:val="22"/>
          <w:szCs w:val="22"/>
        </w:rPr>
        <w:t>税金、安全施工费、工伤保险费等</w:t>
      </w:r>
      <w:r>
        <w:rPr>
          <w:rFonts w:hint="eastAsia" w:ascii="宋体" w:hAnsi="宋体" w:cs="宋体"/>
          <w:color w:val="auto"/>
          <w:sz w:val="22"/>
          <w:szCs w:val="22"/>
        </w:rPr>
        <w:t>；对工程量清单变动的计算原则是：增加或减少的数量</w:t>
      </w:r>
      <w:r>
        <w:rPr>
          <w:rFonts w:hint="eastAsia" w:ascii="宋体" w:hAnsi="宋体"/>
          <w:color w:val="auto"/>
          <w:sz w:val="22"/>
          <w:szCs w:val="22"/>
        </w:rPr>
        <w:t>×</w:t>
      </w:r>
      <w:r>
        <w:rPr>
          <w:rFonts w:hint="eastAsia" w:ascii="宋体" w:hAnsi="宋体" w:cs="宋体"/>
          <w:color w:val="auto"/>
          <w:sz w:val="22"/>
          <w:szCs w:val="22"/>
        </w:rPr>
        <w:t>该项综合单价后计取</w:t>
      </w:r>
      <w:r>
        <w:rPr>
          <w:rFonts w:hint="eastAsia" w:ascii="宋体" w:hAnsi="宋体"/>
          <w:color w:val="auto"/>
          <w:sz w:val="22"/>
          <w:szCs w:val="22"/>
        </w:rPr>
        <w:t>规费、税金、安全施工费、工伤保险费等</w:t>
      </w:r>
      <w:r>
        <w:rPr>
          <w:rFonts w:hint="eastAsia" w:ascii="宋体" w:hAnsi="宋体" w:cs="宋体"/>
          <w:color w:val="auto"/>
          <w:sz w:val="22"/>
          <w:szCs w:val="22"/>
        </w:rPr>
        <w:t>。因磋商供应商原因造成磋商报价及其综合单价遗漏工程内容、工程数量、费用或发生算术错误累计缺漏总额之和小于磋商报价3%的，则视其已分配到其它工程量的报价中，对磋商供应商报价不进行调整。</w:t>
      </w:r>
    </w:p>
    <w:p w14:paraId="559FCA03">
      <w:pPr>
        <w:autoSpaceDE w:val="0"/>
        <w:autoSpaceDN w:val="0"/>
        <w:adjustRightInd w:val="0"/>
        <w:spacing w:line="440" w:lineRule="exact"/>
        <w:ind w:left="550" w:hanging="550" w:hangingChars="250"/>
        <w:jc w:val="left"/>
        <w:rPr>
          <w:rFonts w:hint="eastAsia" w:ascii="宋体" w:hAnsi="宋体"/>
          <w:color w:val="auto"/>
          <w:sz w:val="22"/>
          <w:szCs w:val="22"/>
        </w:rPr>
      </w:pPr>
      <w:r>
        <w:rPr>
          <w:rFonts w:ascii="宋体" w:hAnsi="宋体"/>
          <w:color w:val="auto"/>
          <w:sz w:val="22"/>
          <w:szCs w:val="22"/>
        </w:rPr>
        <w:t>2.4</w:t>
      </w:r>
      <w:r>
        <w:rPr>
          <w:rFonts w:hint="eastAsia" w:ascii="宋体" w:hAnsi="宋体"/>
          <w:color w:val="auto"/>
          <w:sz w:val="22"/>
          <w:szCs w:val="22"/>
        </w:rPr>
        <w:t xml:space="preserve">  凡磋商文件要求或工程造价组成应计算的费用而磋商供应商未报，且磋商响应文件中未阐明充分理由并提供足够证据者，均视为缺漏费用。</w:t>
      </w:r>
    </w:p>
    <w:p w14:paraId="2E6AFCEA">
      <w:pPr>
        <w:spacing w:line="440" w:lineRule="exact"/>
        <w:rPr>
          <w:rFonts w:ascii="宋体" w:hAnsi="宋体"/>
          <w:color w:val="auto"/>
          <w:sz w:val="22"/>
          <w:szCs w:val="22"/>
        </w:rPr>
      </w:pPr>
      <w:r>
        <w:rPr>
          <w:rFonts w:ascii="宋体" w:hAnsi="宋体"/>
          <w:color w:val="auto"/>
          <w:sz w:val="22"/>
          <w:szCs w:val="22"/>
        </w:rPr>
        <w:t>3</w:t>
      </w:r>
      <w:r>
        <w:rPr>
          <w:rFonts w:hint="eastAsia" w:ascii="宋体" w:hAnsi="宋体"/>
          <w:color w:val="auto"/>
          <w:sz w:val="22"/>
          <w:szCs w:val="22"/>
        </w:rPr>
        <w:t xml:space="preserve">.   </w:t>
      </w:r>
      <w:r>
        <w:rPr>
          <w:rFonts w:hint="eastAsia" w:ascii="宋体" w:hAnsi="宋体"/>
          <w:b/>
          <w:color w:val="auto"/>
          <w:sz w:val="22"/>
          <w:szCs w:val="22"/>
        </w:rPr>
        <w:t>价格评分（</w:t>
      </w:r>
      <w:r>
        <w:rPr>
          <w:rFonts w:hint="eastAsia" w:ascii="宋体" w:hAnsi="宋体"/>
          <w:b/>
          <w:color w:val="auto"/>
          <w:sz w:val="22"/>
          <w:szCs w:val="22"/>
          <w:lang w:val="en-US" w:eastAsia="zh-CN"/>
        </w:rPr>
        <w:t>2</w:t>
      </w:r>
      <w:r>
        <w:rPr>
          <w:rFonts w:hint="eastAsia" w:ascii="宋体" w:hAnsi="宋体"/>
          <w:b/>
          <w:color w:val="auto"/>
          <w:sz w:val="22"/>
          <w:szCs w:val="22"/>
        </w:rPr>
        <w:t>0分）</w:t>
      </w:r>
      <w:r>
        <w:rPr>
          <w:rFonts w:hint="eastAsia" w:ascii="宋体" w:hAnsi="宋体"/>
          <w:color w:val="auto"/>
          <w:sz w:val="22"/>
          <w:szCs w:val="22"/>
        </w:rPr>
        <w:t>：</w:t>
      </w:r>
    </w:p>
    <w:p w14:paraId="5B677DA1">
      <w:pPr>
        <w:spacing w:line="440" w:lineRule="exact"/>
        <w:rPr>
          <w:rFonts w:hint="eastAsia"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满足竞争性磋商文件要求且最后报价最低的报价为评标基准价。</w:t>
      </w:r>
    </w:p>
    <w:p w14:paraId="1B48E603">
      <w:pPr>
        <w:spacing w:line="440" w:lineRule="exact"/>
        <w:rPr>
          <w:rFonts w:hint="eastAsia" w:ascii="宋体" w:hAnsi="宋体"/>
          <w:color w:val="auto"/>
          <w:sz w:val="22"/>
          <w:szCs w:val="22"/>
        </w:rPr>
      </w:pPr>
      <w:r>
        <w:rPr>
          <w:rFonts w:hint="eastAsia" w:ascii="宋体" w:hAnsi="宋体"/>
          <w:color w:val="auto"/>
          <w:sz w:val="22"/>
          <w:szCs w:val="22"/>
        </w:rPr>
        <w:t>（1）有效磋商供应商的最后报价等于评标基准价时其价格分为满分</w:t>
      </w:r>
      <w:r>
        <w:rPr>
          <w:rFonts w:hint="eastAsia" w:ascii="宋体" w:hAnsi="宋体"/>
          <w:color w:val="auto"/>
          <w:sz w:val="22"/>
          <w:szCs w:val="22"/>
          <w:lang w:val="en-US" w:eastAsia="zh-CN"/>
        </w:rPr>
        <w:t>2</w:t>
      </w:r>
      <w:r>
        <w:rPr>
          <w:rFonts w:hint="eastAsia" w:ascii="宋体" w:hAnsi="宋体"/>
          <w:color w:val="auto"/>
          <w:sz w:val="22"/>
          <w:szCs w:val="22"/>
        </w:rPr>
        <w:t>0分；</w:t>
      </w:r>
    </w:p>
    <w:p w14:paraId="5EA58A65">
      <w:pPr>
        <w:spacing w:line="440" w:lineRule="exact"/>
        <w:rPr>
          <w:rFonts w:hint="eastAsia" w:ascii="宋体" w:hAnsi="宋体"/>
          <w:color w:val="auto"/>
          <w:sz w:val="22"/>
          <w:szCs w:val="22"/>
        </w:rPr>
      </w:pPr>
      <w:r>
        <w:rPr>
          <w:rFonts w:hint="eastAsia" w:ascii="宋体" w:hAnsi="宋体"/>
          <w:color w:val="auto"/>
          <w:sz w:val="22"/>
          <w:szCs w:val="22"/>
        </w:rPr>
        <w:t>（2）其他磋商供应商的价格分按以下公式计算：</w:t>
      </w:r>
    </w:p>
    <w:p w14:paraId="0669AE44">
      <w:pPr>
        <w:spacing w:line="440" w:lineRule="exact"/>
        <w:ind w:left="548" w:leftChars="261"/>
        <w:rPr>
          <w:rFonts w:hint="eastAsia" w:ascii="宋体" w:hAnsi="宋体"/>
          <w:color w:val="auto"/>
          <w:sz w:val="22"/>
          <w:szCs w:val="22"/>
        </w:rPr>
      </w:pPr>
      <w:r>
        <w:rPr>
          <w:rFonts w:hint="eastAsia" w:ascii="宋体" w:hAnsi="宋体"/>
          <w:color w:val="auto"/>
          <w:sz w:val="22"/>
          <w:szCs w:val="22"/>
        </w:rPr>
        <w:t>得分=（评标基准价/磋商供应商最后报价）× 价格权值 ×100（四舍五入，保留小数点后2位）</w:t>
      </w:r>
    </w:p>
    <w:p w14:paraId="26AEBCBB">
      <w:pPr>
        <w:spacing w:line="440" w:lineRule="exact"/>
        <w:rPr>
          <w:rFonts w:hint="eastAsia" w:ascii="宋体" w:hAnsi="宋体"/>
          <w:color w:val="auto"/>
          <w:sz w:val="22"/>
          <w:szCs w:val="22"/>
        </w:rPr>
      </w:pPr>
      <w:r>
        <w:rPr>
          <w:rFonts w:hint="eastAsia" w:ascii="宋体" w:hAnsi="宋体"/>
          <w:color w:val="auto"/>
          <w:sz w:val="22"/>
          <w:szCs w:val="22"/>
        </w:rPr>
        <w:t>（3）如磋商供应商报价超过采购预算，按无效标处理。</w:t>
      </w:r>
    </w:p>
    <w:p w14:paraId="637D3BD5">
      <w:pPr>
        <w:spacing w:line="460" w:lineRule="exact"/>
        <w:rPr>
          <w:rFonts w:hint="eastAsia" w:ascii="宋体" w:hAnsi="宋体"/>
          <w:color w:val="auto"/>
          <w:sz w:val="22"/>
          <w:szCs w:val="22"/>
        </w:rPr>
      </w:pPr>
      <w:r>
        <w:rPr>
          <w:rFonts w:ascii="宋体" w:hAnsi="宋体"/>
          <w:color w:val="auto"/>
          <w:sz w:val="22"/>
          <w:szCs w:val="22"/>
        </w:rPr>
        <w:t>4</w:t>
      </w:r>
      <w:r>
        <w:rPr>
          <w:rFonts w:hint="eastAsia" w:ascii="宋体" w:hAnsi="宋体"/>
          <w:color w:val="auto"/>
          <w:sz w:val="22"/>
          <w:szCs w:val="22"/>
        </w:rPr>
        <w:t>.</w:t>
      </w:r>
      <w:r>
        <w:rPr>
          <w:rFonts w:ascii="宋体" w:hAnsi="宋体"/>
          <w:color w:val="auto"/>
          <w:sz w:val="22"/>
          <w:szCs w:val="22"/>
        </w:rPr>
        <w:t xml:space="preserve"> </w:t>
      </w:r>
      <w:r>
        <w:rPr>
          <w:rFonts w:hint="eastAsia" w:ascii="宋体" w:hAnsi="宋体"/>
          <w:color w:val="auto"/>
          <w:sz w:val="22"/>
          <w:szCs w:val="22"/>
        </w:rPr>
        <w:t xml:space="preserve">  有效磋商供应商的综合得分为技术资信分和价格分的总和。</w:t>
      </w:r>
    </w:p>
    <w:p w14:paraId="3A467CDA">
      <w:pPr>
        <w:spacing w:line="440" w:lineRule="exact"/>
        <w:ind w:left="550" w:hanging="550" w:hangingChars="250"/>
        <w:rPr>
          <w:rFonts w:hint="eastAsia" w:ascii="宋体" w:hAnsi="宋体"/>
          <w:color w:val="auto"/>
          <w:sz w:val="22"/>
          <w:szCs w:val="22"/>
        </w:rPr>
      </w:pPr>
      <w:r>
        <w:rPr>
          <w:rFonts w:ascii="宋体" w:hAnsi="宋体"/>
          <w:color w:val="auto"/>
          <w:sz w:val="22"/>
          <w:szCs w:val="22"/>
        </w:rPr>
        <w:t>5</w:t>
      </w:r>
      <w:r>
        <w:rPr>
          <w:rFonts w:hint="eastAsia" w:ascii="宋体" w:hAnsi="宋体"/>
          <w:color w:val="auto"/>
          <w:sz w:val="22"/>
          <w:szCs w:val="22"/>
        </w:rPr>
        <w:t>.</w:t>
      </w:r>
      <w:r>
        <w:rPr>
          <w:rFonts w:ascii="宋体" w:hAnsi="宋体"/>
          <w:color w:val="auto"/>
          <w:sz w:val="22"/>
          <w:szCs w:val="22"/>
        </w:rPr>
        <w:t xml:space="preserve"> </w:t>
      </w:r>
      <w:r>
        <w:rPr>
          <w:rFonts w:hint="eastAsia" w:ascii="宋体" w:hAnsi="宋体"/>
          <w:color w:val="auto"/>
          <w:sz w:val="22"/>
          <w:szCs w:val="22"/>
        </w:rPr>
        <w:t xml:space="preserve">  磋商小组按综合得分由高到低顺序排列，综合得分前三名的磋商供应商依次作为该项目第一、第二和第三成交候选供应商向采购人推荐，并提交评审报告（得分相同报价低的排序靠前；得分且报价相同的，技术指标优的排序靠前）。</w:t>
      </w:r>
    </w:p>
    <w:p w14:paraId="7E4A8E10">
      <w:pPr>
        <w:spacing w:line="440" w:lineRule="exact"/>
        <w:ind w:left="552" w:hanging="552" w:hangingChars="250"/>
        <w:rPr>
          <w:rFonts w:hint="eastAsia" w:ascii="宋体" w:hAnsi="宋体"/>
          <w:b/>
          <w:color w:val="auto"/>
          <w:sz w:val="22"/>
          <w:szCs w:val="22"/>
        </w:rPr>
      </w:pPr>
      <w:r>
        <w:rPr>
          <w:rFonts w:hint="eastAsia" w:ascii="宋体" w:hAnsi="宋体"/>
          <w:b/>
          <w:color w:val="auto"/>
          <w:sz w:val="22"/>
          <w:szCs w:val="22"/>
        </w:rPr>
        <w:t>五、 定标办法</w:t>
      </w:r>
    </w:p>
    <w:p w14:paraId="6B8C622B">
      <w:pPr>
        <w:spacing w:line="440" w:lineRule="exact"/>
        <w:ind w:left="548" w:leftChars="261"/>
        <w:rPr>
          <w:rFonts w:hint="eastAsia" w:ascii="宋体" w:hAnsi="宋体"/>
          <w:color w:val="auto"/>
          <w:sz w:val="22"/>
          <w:szCs w:val="22"/>
        </w:rPr>
      </w:pPr>
      <w:r>
        <w:rPr>
          <w:rFonts w:hint="eastAsia" w:ascii="宋体" w:hAnsi="宋体"/>
          <w:color w:val="auto"/>
          <w:sz w:val="22"/>
          <w:szCs w:val="22"/>
        </w:rPr>
        <w:t>本次招标由磋商小组直接确定成交供应商</w:t>
      </w:r>
      <w:r>
        <w:rPr>
          <w:rFonts w:ascii="宋体" w:hAnsi="宋体"/>
          <w:color w:val="auto"/>
          <w:sz w:val="22"/>
          <w:szCs w:val="22"/>
        </w:rPr>
        <w:t>。</w:t>
      </w:r>
      <w:r>
        <w:rPr>
          <w:rFonts w:hint="eastAsia" w:ascii="宋体" w:hAnsi="宋体"/>
          <w:color w:val="auto"/>
          <w:sz w:val="22"/>
          <w:szCs w:val="22"/>
        </w:rPr>
        <w:t>排名第一的成交侯选供应商因自身原因放弃成交或因不可抗力不能履行合同的；或磋商文件规定应当提交履约保证金而在规定的期限内未能提交的；或未能在规定时间内与采购人签订合同的；或经质疑，采购组织机构审查确认因排名第一的候选供应商在本次采购活动中存在违法违规行为或其他原因使质疑成立的，采购人可以直接确定排名第二的侯选供应商为成交供应商。以此类推至第三名。</w:t>
      </w:r>
    </w:p>
    <w:p w14:paraId="0379737C">
      <w:pPr>
        <w:spacing w:line="440" w:lineRule="exact"/>
        <w:rPr>
          <w:rFonts w:hint="eastAsia" w:ascii="宋体" w:hAnsi="宋体"/>
          <w:b/>
          <w:color w:val="auto"/>
          <w:sz w:val="22"/>
          <w:szCs w:val="22"/>
        </w:rPr>
      </w:pPr>
      <w:r>
        <w:rPr>
          <w:rFonts w:hint="eastAsia" w:ascii="宋体" w:hAnsi="宋体"/>
          <w:b/>
          <w:color w:val="auto"/>
          <w:sz w:val="22"/>
          <w:szCs w:val="22"/>
        </w:rPr>
        <w:t>六、 确定成交供应商</w:t>
      </w:r>
    </w:p>
    <w:p w14:paraId="029B686B">
      <w:pPr>
        <w:spacing w:line="440" w:lineRule="exact"/>
        <w:ind w:left="548" w:leftChars="261"/>
        <w:rPr>
          <w:rFonts w:hint="eastAsia" w:ascii="宋体" w:hAnsi="宋体"/>
          <w:color w:val="auto"/>
          <w:sz w:val="22"/>
          <w:szCs w:val="22"/>
        </w:rPr>
      </w:pPr>
      <w:r>
        <w:rPr>
          <w:rFonts w:hint="eastAsia" w:ascii="宋体" w:hAnsi="宋体"/>
          <w:color w:val="auto"/>
          <w:sz w:val="22"/>
          <w:szCs w:val="22"/>
        </w:rPr>
        <w:t>成交供应商经采购人确认后，成交结果在财政部门指定的政府采购信息发布媒体上公告并公布《中小企业声明函》，在发布成交公告的同时，招标采购单位将向成交供应商发出成交通知书。成交通知书对采购人和成交供应商具有同等法律效力。</w:t>
      </w:r>
    </w:p>
    <w:p w14:paraId="1944C077">
      <w:pPr>
        <w:pStyle w:val="15"/>
        <w:adjustRightInd w:val="0"/>
        <w:snapToGrid w:val="0"/>
        <w:spacing w:line="440" w:lineRule="exact"/>
        <w:rPr>
          <w:rFonts w:hint="eastAsia" w:ascii="宋体" w:hAnsi="宋体"/>
          <w:b/>
          <w:color w:val="auto"/>
          <w:sz w:val="22"/>
          <w:szCs w:val="22"/>
        </w:rPr>
      </w:pPr>
      <w:r>
        <w:rPr>
          <w:rFonts w:hint="eastAsia" w:ascii="宋体" w:hAnsi="宋体"/>
          <w:b/>
          <w:color w:val="auto"/>
          <w:sz w:val="22"/>
          <w:szCs w:val="22"/>
        </w:rPr>
        <w:t>七、 磋商供应商义务</w:t>
      </w:r>
    </w:p>
    <w:p w14:paraId="3F04547B">
      <w:pPr>
        <w:pStyle w:val="15"/>
        <w:adjustRightInd w:val="0"/>
        <w:snapToGrid w:val="0"/>
        <w:spacing w:line="440" w:lineRule="exact"/>
        <w:ind w:left="548" w:leftChars="261"/>
        <w:rPr>
          <w:rFonts w:hint="eastAsia" w:ascii="宋体" w:hAnsi="宋体"/>
          <w:color w:val="auto"/>
          <w:sz w:val="22"/>
          <w:szCs w:val="22"/>
        </w:rPr>
      </w:pPr>
      <w:r>
        <w:rPr>
          <w:rFonts w:hint="eastAsia"/>
          <w:color w:val="auto"/>
          <w:sz w:val="22"/>
          <w:szCs w:val="22"/>
        </w:rPr>
        <w:t>磋商供应商应随时接受磋商小组的询标，解答包括有关的商务、技术等问题。磋商结束，所有磋商资料归档备查。</w:t>
      </w:r>
    </w:p>
    <w:p w14:paraId="69A1DB77">
      <w:pPr>
        <w:pStyle w:val="15"/>
        <w:adjustRightInd w:val="0"/>
        <w:snapToGrid w:val="0"/>
        <w:spacing w:line="440" w:lineRule="exact"/>
        <w:ind w:left="546" w:leftChars="260"/>
        <w:rPr>
          <w:rFonts w:hint="eastAsia" w:ascii="宋体" w:hAnsi="宋体"/>
          <w:color w:val="auto"/>
          <w:sz w:val="22"/>
          <w:szCs w:val="22"/>
        </w:rPr>
      </w:pPr>
    </w:p>
    <w:sectPr>
      <w:footerReference r:id="rId6" w:type="first"/>
      <w:headerReference r:id="rId5"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宋黑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86960">
    <w:pPr>
      <w:pStyle w:val="25"/>
      <w:jc w:val="center"/>
    </w:pPr>
    <w:r>
      <w:fldChar w:fldCharType="begin"/>
    </w:r>
    <w:r>
      <w:instrText xml:space="preserve">PAGE   \* MERGEFORMAT</w:instrText>
    </w:r>
    <w:r>
      <w:fldChar w:fldCharType="separate"/>
    </w:r>
    <w:r>
      <w:rPr>
        <w:lang w:val="zh-CN" w:eastAsia="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FFFF">
    <w:pPr>
      <w:pStyle w:val="25"/>
      <w:framePr w:wrap="around" w:vAnchor="text" w:hAnchor="margin" w:xAlign="right" w:y="1"/>
      <w:rPr>
        <w:rStyle w:val="41"/>
      </w:rPr>
    </w:pPr>
    <w:r>
      <w:fldChar w:fldCharType="begin"/>
    </w:r>
    <w:r>
      <w:rPr>
        <w:rStyle w:val="41"/>
      </w:rPr>
      <w:instrText xml:space="preserve">PAGE  </w:instrText>
    </w:r>
    <w:r>
      <w:fldChar w:fldCharType="separate"/>
    </w:r>
    <w:r>
      <w:rPr>
        <w:rStyle w:val="41"/>
        <w:lang w:val="en-US" w:eastAsia="zh-CN"/>
      </w:rPr>
      <w:t>58</w:t>
    </w:r>
    <w:r>
      <w:fldChar w:fldCharType="end"/>
    </w:r>
  </w:p>
  <w:p w14:paraId="632D0B67">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290C">
    <w:pPr>
      <w:pStyle w:val="25"/>
      <w:ind w:firstLine="2415" w:firstLineChars="1150"/>
    </w:pPr>
    <w:r>
      <w:rPr>
        <w:rFonts w:hint="eastAsia" w:ascii="仿宋_GB2312" w:eastAsia="仿宋_GB2312"/>
        <w:sz w:val="21"/>
        <w:szCs w:val="21"/>
      </w:rPr>
      <w:t xml:space="preserve">                                              评标原则及方法 </w:t>
    </w:r>
    <w:r>
      <w:rPr>
        <w:rFonts w:hint="eastAsia" w:ascii="仿宋_GB2312" w:eastAsia="仿宋_GB2312"/>
        <w:sz w:val="21"/>
        <w:szCs w:val="21"/>
      </w:rPr>
      <w:fldChar w:fldCharType="begin"/>
    </w:r>
    <w:r>
      <w:rPr>
        <w:rStyle w:val="41"/>
        <w:rFonts w:hint="eastAsia" w:ascii="仿宋_GB2312" w:eastAsia="仿宋_GB2312"/>
        <w:sz w:val="21"/>
        <w:szCs w:val="21"/>
      </w:rPr>
      <w:instrText xml:space="preserve"> PAGE </w:instrText>
    </w:r>
    <w:r>
      <w:rPr>
        <w:rFonts w:hint="eastAsia" w:ascii="仿宋_GB2312" w:eastAsia="仿宋_GB2312"/>
        <w:sz w:val="21"/>
        <w:szCs w:val="21"/>
      </w:rPr>
      <w:fldChar w:fldCharType="separate"/>
    </w:r>
    <w:r>
      <w:rPr>
        <w:rStyle w:val="41"/>
        <w:rFonts w:ascii="仿宋_GB2312" w:eastAsia="仿宋_GB2312"/>
        <w:sz w:val="21"/>
        <w:szCs w:val="21"/>
        <w:lang w:val="en-US" w:eastAsia="zh-CN"/>
      </w:rPr>
      <w:t>46</w:t>
    </w:r>
    <w:r>
      <w:rPr>
        <w:rFonts w:hint="eastAsia" w:ascii="仿宋_GB2312" w:eastAsia="仿宋_GB2312"/>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F76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E0921"/>
    <w:multiLevelType w:val="singleLevel"/>
    <w:tmpl w:val="B9DE0921"/>
    <w:lvl w:ilvl="0" w:tentative="0">
      <w:start w:val="4"/>
      <w:numFmt w:val="decimal"/>
      <w:suff w:val="nothing"/>
      <w:lvlText w:val="（%1）"/>
      <w:lvlJc w:val="left"/>
    </w:lvl>
  </w:abstractNum>
  <w:abstractNum w:abstractNumId="1">
    <w:nsid w:val="3590227A"/>
    <w:multiLevelType w:val="multilevel"/>
    <w:tmpl w:val="3590227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0BC7635"/>
    <w:multiLevelType w:val="singleLevel"/>
    <w:tmpl w:val="50BC7635"/>
    <w:lvl w:ilvl="0" w:tentative="0">
      <w:start w:val="1"/>
      <w:numFmt w:val="none"/>
      <w:pStyle w:val="6"/>
      <w:lvlText w:val="3.1"/>
      <w:lvlJc w:val="left"/>
      <w:pPr>
        <w:tabs>
          <w:tab w:val="left" w:pos="1060"/>
        </w:tabs>
        <w:ind w:left="425" w:hanging="85"/>
      </w:pPr>
      <w:rPr>
        <w:rFonts w:hint="eastAsia" w:ascii="方正宋黑简体" w:eastAsia="方正宋黑简体"/>
        <w:b w:val="0"/>
        <w:i w:val="0"/>
        <w:sz w:val="32"/>
      </w:rPr>
    </w:lvl>
  </w:abstractNum>
  <w:abstractNum w:abstractNumId="3">
    <w:nsid w:val="555AA50B"/>
    <w:multiLevelType w:val="singleLevel"/>
    <w:tmpl w:val="555AA50B"/>
    <w:lvl w:ilvl="0" w:tentative="0">
      <w:start w:val="8"/>
      <w:numFmt w:val="decimal"/>
      <w:suff w:val="space"/>
      <w:lvlText w:val="%1."/>
      <w:lvlJc w:val="left"/>
    </w:lvl>
  </w:abstractNum>
  <w:abstractNum w:abstractNumId="4">
    <w:nsid w:val="55DC2298"/>
    <w:multiLevelType w:val="multilevel"/>
    <w:tmpl w:val="55DC2298"/>
    <w:lvl w:ilvl="0" w:tentative="0">
      <w:start w:val="1"/>
      <w:numFmt w:val="chineseCountingThousand"/>
      <w:pStyle w:val="33"/>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9BCBB5A"/>
    <w:multiLevelType w:val="singleLevel"/>
    <w:tmpl w:val="69BCBB5A"/>
    <w:lvl w:ilvl="0" w:tentative="0">
      <w:start w:val="1"/>
      <w:numFmt w:val="decimal"/>
      <w:lvlText w:val="%1."/>
      <w:lvlJc w:val="left"/>
      <w:pPr>
        <w:tabs>
          <w:tab w:val="left" w:pos="312"/>
        </w:tabs>
      </w:pPr>
    </w:lvl>
  </w:abstractNum>
  <w:abstractNum w:abstractNumId="6">
    <w:nsid w:val="79FB64D5"/>
    <w:multiLevelType w:val="multilevel"/>
    <w:tmpl w:val="79FB64D5"/>
    <w:lvl w:ilvl="0" w:tentative="0">
      <w:start w:val="1"/>
      <w:numFmt w:val="lowerLetter"/>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0076"/>
    <w:rsid w:val="00002165"/>
    <w:rsid w:val="00002A0A"/>
    <w:rsid w:val="00003769"/>
    <w:rsid w:val="00005864"/>
    <w:rsid w:val="00007090"/>
    <w:rsid w:val="00010F5A"/>
    <w:rsid w:val="000117A4"/>
    <w:rsid w:val="00012A59"/>
    <w:rsid w:val="00013E86"/>
    <w:rsid w:val="00014184"/>
    <w:rsid w:val="00014717"/>
    <w:rsid w:val="00015E3D"/>
    <w:rsid w:val="00021023"/>
    <w:rsid w:val="00024719"/>
    <w:rsid w:val="000252F5"/>
    <w:rsid w:val="00027184"/>
    <w:rsid w:val="000315E1"/>
    <w:rsid w:val="000337EE"/>
    <w:rsid w:val="000363F8"/>
    <w:rsid w:val="00044A30"/>
    <w:rsid w:val="000461A2"/>
    <w:rsid w:val="00057A00"/>
    <w:rsid w:val="000614DE"/>
    <w:rsid w:val="000630A8"/>
    <w:rsid w:val="000654D2"/>
    <w:rsid w:val="000665D0"/>
    <w:rsid w:val="000672E5"/>
    <w:rsid w:val="00067350"/>
    <w:rsid w:val="00076B3D"/>
    <w:rsid w:val="00081D2E"/>
    <w:rsid w:val="00081EC5"/>
    <w:rsid w:val="000831C5"/>
    <w:rsid w:val="0008525E"/>
    <w:rsid w:val="000855C9"/>
    <w:rsid w:val="000856D6"/>
    <w:rsid w:val="00086E86"/>
    <w:rsid w:val="0008733C"/>
    <w:rsid w:val="00094909"/>
    <w:rsid w:val="00096134"/>
    <w:rsid w:val="00096419"/>
    <w:rsid w:val="00096D25"/>
    <w:rsid w:val="0009760E"/>
    <w:rsid w:val="000A0937"/>
    <w:rsid w:val="000A394C"/>
    <w:rsid w:val="000A3C8F"/>
    <w:rsid w:val="000B1E7E"/>
    <w:rsid w:val="000B207E"/>
    <w:rsid w:val="000B2265"/>
    <w:rsid w:val="000B2753"/>
    <w:rsid w:val="000B5D03"/>
    <w:rsid w:val="000C6140"/>
    <w:rsid w:val="000C728D"/>
    <w:rsid w:val="000C734A"/>
    <w:rsid w:val="000C76DB"/>
    <w:rsid w:val="000D0764"/>
    <w:rsid w:val="000D1874"/>
    <w:rsid w:val="000D4A37"/>
    <w:rsid w:val="000E132A"/>
    <w:rsid w:val="000E2D41"/>
    <w:rsid w:val="000E37ED"/>
    <w:rsid w:val="000F31DC"/>
    <w:rsid w:val="000F331F"/>
    <w:rsid w:val="000F546A"/>
    <w:rsid w:val="000F59EA"/>
    <w:rsid w:val="000F6E62"/>
    <w:rsid w:val="000F76FB"/>
    <w:rsid w:val="00100DC2"/>
    <w:rsid w:val="00101A99"/>
    <w:rsid w:val="00101F10"/>
    <w:rsid w:val="00102410"/>
    <w:rsid w:val="001029DD"/>
    <w:rsid w:val="00102C25"/>
    <w:rsid w:val="00103471"/>
    <w:rsid w:val="0010548F"/>
    <w:rsid w:val="0010751C"/>
    <w:rsid w:val="00114FF5"/>
    <w:rsid w:val="00116120"/>
    <w:rsid w:val="00116D79"/>
    <w:rsid w:val="001173EC"/>
    <w:rsid w:val="00121B8B"/>
    <w:rsid w:val="001248D1"/>
    <w:rsid w:val="001332A0"/>
    <w:rsid w:val="00135E2F"/>
    <w:rsid w:val="00136BEA"/>
    <w:rsid w:val="00136EBE"/>
    <w:rsid w:val="00137662"/>
    <w:rsid w:val="001405D5"/>
    <w:rsid w:val="00146677"/>
    <w:rsid w:val="00147793"/>
    <w:rsid w:val="00147C05"/>
    <w:rsid w:val="0015084B"/>
    <w:rsid w:val="00152EDD"/>
    <w:rsid w:val="00155F09"/>
    <w:rsid w:val="00160F84"/>
    <w:rsid w:val="0016139D"/>
    <w:rsid w:val="001653E5"/>
    <w:rsid w:val="00165A39"/>
    <w:rsid w:val="00173752"/>
    <w:rsid w:val="00175932"/>
    <w:rsid w:val="0017630D"/>
    <w:rsid w:val="001846D9"/>
    <w:rsid w:val="00190C3C"/>
    <w:rsid w:val="00192544"/>
    <w:rsid w:val="00194316"/>
    <w:rsid w:val="001944C4"/>
    <w:rsid w:val="001948F0"/>
    <w:rsid w:val="00196D39"/>
    <w:rsid w:val="001A03E8"/>
    <w:rsid w:val="001A1769"/>
    <w:rsid w:val="001A6810"/>
    <w:rsid w:val="001B1480"/>
    <w:rsid w:val="001B1D32"/>
    <w:rsid w:val="001B2FD8"/>
    <w:rsid w:val="001B5412"/>
    <w:rsid w:val="001B5882"/>
    <w:rsid w:val="001B6642"/>
    <w:rsid w:val="001C5583"/>
    <w:rsid w:val="001D277D"/>
    <w:rsid w:val="001D29FD"/>
    <w:rsid w:val="001D2A1D"/>
    <w:rsid w:val="001D33B8"/>
    <w:rsid w:val="001D385D"/>
    <w:rsid w:val="001D6917"/>
    <w:rsid w:val="001E11D0"/>
    <w:rsid w:val="001E29DD"/>
    <w:rsid w:val="001E4113"/>
    <w:rsid w:val="001E4313"/>
    <w:rsid w:val="001E43B8"/>
    <w:rsid w:val="001F203F"/>
    <w:rsid w:val="001F54FF"/>
    <w:rsid w:val="001F65AE"/>
    <w:rsid w:val="00204C17"/>
    <w:rsid w:val="00204DF6"/>
    <w:rsid w:val="00205A6A"/>
    <w:rsid w:val="00205EA9"/>
    <w:rsid w:val="00212022"/>
    <w:rsid w:val="00221DB0"/>
    <w:rsid w:val="0022452B"/>
    <w:rsid w:val="0022556B"/>
    <w:rsid w:val="002263F5"/>
    <w:rsid w:val="0023076B"/>
    <w:rsid w:val="00232D9D"/>
    <w:rsid w:val="0023685F"/>
    <w:rsid w:val="0024133B"/>
    <w:rsid w:val="00243B86"/>
    <w:rsid w:val="00267A69"/>
    <w:rsid w:val="00267AEE"/>
    <w:rsid w:val="00272BBE"/>
    <w:rsid w:val="00273F1B"/>
    <w:rsid w:val="0028148A"/>
    <w:rsid w:val="00282332"/>
    <w:rsid w:val="00283C0F"/>
    <w:rsid w:val="00286D5E"/>
    <w:rsid w:val="00286EA5"/>
    <w:rsid w:val="002A2AD7"/>
    <w:rsid w:val="002A4C89"/>
    <w:rsid w:val="002A5A18"/>
    <w:rsid w:val="002A767F"/>
    <w:rsid w:val="002B2BBD"/>
    <w:rsid w:val="002B6255"/>
    <w:rsid w:val="002B6BC6"/>
    <w:rsid w:val="002B7F31"/>
    <w:rsid w:val="002C3211"/>
    <w:rsid w:val="002C3F2C"/>
    <w:rsid w:val="002D2BA5"/>
    <w:rsid w:val="002F1F22"/>
    <w:rsid w:val="002F40F9"/>
    <w:rsid w:val="00303816"/>
    <w:rsid w:val="003040FB"/>
    <w:rsid w:val="0030447D"/>
    <w:rsid w:val="00310ADB"/>
    <w:rsid w:val="00312CF8"/>
    <w:rsid w:val="003149F5"/>
    <w:rsid w:val="00315BFD"/>
    <w:rsid w:val="003163D1"/>
    <w:rsid w:val="00316829"/>
    <w:rsid w:val="00317F01"/>
    <w:rsid w:val="0032123C"/>
    <w:rsid w:val="00322B25"/>
    <w:rsid w:val="00330213"/>
    <w:rsid w:val="00330C2D"/>
    <w:rsid w:val="00331FAE"/>
    <w:rsid w:val="0033314C"/>
    <w:rsid w:val="0033452F"/>
    <w:rsid w:val="00335CAB"/>
    <w:rsid w:val="003363CE"/>
    <w:rsid w:val="003457E8"/>
    <w:rsid w:val="00346AEF"/>
    <w:rsid w:val="00346C62"/>
    <w:rsid w:val="003502DD"/>
    <w:rsid w:val="00351F6F"/>
    <w:rsid w:val="00352305"/>
    <w:rsid w:val="00354A87"/>
    <w:rsid w:val="00361F6D"/>
    <w:rsid w:val="003634F8"/>
    <w:rsid w:val="00365870"/>
    <w:rsid w:val="00365D0C"/>
    <w:rsid w:val="003717F9"/>
    <w:rsid w:val="00371A92"/>
    <w:rsid w:val="00377A9E"/>
    <w:rsid w:val="00377C49"/>
    <w:rsid w:val="00381149"/>
    <w:rsid w:val="003839B3"/>
    <w:rsid w:val="00383F4C"/>
    <w:rsid w:val="00387A3A"/>
    <w:rsid w:val="00390BBB"/>
    <w:rsid w:val="0039147B"/>
    <w:rsid w:val="00392414"/>
    <w:rsid w:val="00393987"/>
    <w:rsid w:val="0039645E"/>
    <w:rsid w:val="003A0E00"/>
    <w:rsid w:val="003B027E"/>
    <w:rsid w:val="003B3DE6"/>
    <w:rsid w:val="003B4E0D"/>
    <w:rsid w:val="003B7C13"/>
    <w:rsid w:val="003B7D21"/>
    <w:rsid w:val="003C0581"/>
    <w:rsid w:val="003C0EAA"/>
    <w:rsid w:val="003C13E1"/>
    <w:rsid w:val="003C13F7"/>
    <w:rsid w:val="003C159E"/>
    <w:rsid w:val="003C5082"/>
    <w:rsid w:val="003C6FB7"/>
    <w:rsid w:val="003D288B"/>
    <w:rsid w:val="003D51A0"/>
    <w:rsid w:val="003E008C"/>
    <w:rsid w:val="003E67A7"/>
    <w:rsid w:val="003E7B90"/>
    <w:rsid w:val="003F18B5"/>
    <w:rsid w:val="003F1B65"/>
    <w:rsid w:val="003F3133"/>
    <w:rsid w:val="003F3CA3"/>
    <w:rsid w:val="003F3DCB"/>
    <w:rsid w:val="003F6656"/>
    <w:rsid w:val="003F76F0"/>
    <w:rsid w:val="00403962"/>
    <w:rsid w:val="00404E99"/>
    <w:rsid w:val="00406D76"/>
    <w:rsid w:val="00410A67"/>
    <w:rsid w:val="00413C20"/>
    <w:rsid w:val="00414ABC"/>
    <w:rsid w:val="00422E7D"/>
    <w:rsid w:val="00424910"/>
    <w:rsid w:val="0042589A"/>
    <w:rsid w:val="00426C42"/>
    <w:rsid w:val="00427E9B"/>
    <w:rsid w:val="004311A7"/>
    <w:rsid w:val="00433072"/>
    <w:rsid w:val="004349E8"/>
    <w:rsid w:val="0043657C"/>
    <w:rsid w:val="004374B3"/>
    <w:rsid w:val="0044048B"/>
    <w:rsid w:val="004437E4"/>
    <w:rsid w:val="00452D5B"/>
    <w:rsid w:val="00455E7D"/>
    <w:rsid w:val="00455F9E"/>
    <w:rsid w:val="004614C3"/>
    <w:rsid w:val="004704FB"/>
    <w:rsid w:val="004746F0"/>
    <w:rsid w:val="00476F96"/>
    <w:rsid w:val="00480A08"/>
    <w:rsid w:val="0048157B"/>
    <w:rsid w:val="00481B8B"/>
    <w:rsid w:val="00484760"/>
    <w:rsid w:val="00487A09"/>
    <w:rsid w:val="00491371"/>
    <w:rsid w:val="0049161E"/>
    <w:rsid w:val="00492420"/>
    <w:rsid w:val="004963CC"/>
    <w:rsid w:val="004A2CF3"/>
    <w:rsid w:val="004A5C19"/>
    <w:rsid w:val="004A6061"/>
    <w:rsid w:val="004A73FF"/>
    <w:rsid w:val="004B70AF"/>
    <w:rsid w:val="004C4EAA"/>
    <w:rsid w:val="004C68A8"/>
    <w:rsid w:val="004C7E91"/>
    <w:rsid w:val="004D1841"/>
    <w:rsid w:val="004D1C23"/>
    <w:rsid w:val="004D340C"/>
    <w:rsid w:val="004D3AB7"/>
    <w:rsid w:val="004D40B1"/>
    <w:rsid w:val="004E0E5A"/>
    <w:rsid w:val="004E6AC4"/>
    <w:rsid w:val="004E74E6"/>
    <w:rsid w:val="004E7711"/>
    <w:rsid w:val="004F0031"/>
    <w:rsid w:val="004F2288"/>
    <w:rsid w:val="004F3001"/>
    <w:rsid w:val="004F3E89"/>
    <w:rsid w:val="004F564A"/>
    <w:rsid w:val="004F5D4C"/>
    <w:rsid w:val="005013B0"/>
    <w:rsid w:val="0050164C"/>
    <w:rsid w:val="00501AE7"/>
    <w:rsid w:val="00502942"/>
    <w:rsid w:val="005068E6"/>
    <w:rsid w:val="005160A7"/>
    <w:rsid w:val="00521050"/>
    <w:rsid w:val="00522E75"/>
    <w:rsid w:val="00524707"/>
    <w:rsid w:val="0052554A"/>
    <w:rsid w:val="005271B8"/>
    <w:rsid w:val="005361DB"/>
    <w:rsid w:val="005402EC"/>
    <w:rsid w:val="00542FCA"/>
    <w:rsid w:val="00543699"/>
    <w:rsid w:val="00547DB5"/>
    <w:rsid w:val="0055245A"/>
    <w:rsid w:val="00552791"/>
    <w:rsid w:val="005532F5"/>
    <w:rsid w:val="00555009"/>
    <w:rsid w:val="00555657"/>
    <w:rsid w:val="00555E94"/>
    <w:rsid w:val="00557E22"/>
    <w:rsid w:val="00560D46"/>
    <w:rsid w:val="00565A84"/>
    <w:rsid w:val="00572540"/>
    <w:rsid w:val="00572F0E"/>
    <w:rsid w:val="005745B4"/>
    <w:rsid w:val="00583BE4"/>
    <w:rsid w:val="005855CF"/>
    <w:rsid w:val="00587C17"/>
    <w:rsid w:val="005912E5"/>
    <w:rsid w:val="005913FA"/>
    <w:rsid w:val="00593350"/>
    <w:rsid w:val="00596273"/>
    <w:rsid w:val="00596EA8"/>
    <w:rsid w:val="005A217B"/>
    <w:rsid w:val="005A795C"/>
    <w:rsid w:val="005B1169"/>
    <w:rsid w:val="005B5DC0"/>
    <w:rsid w:val="005C27D9"/>
    <w:rsid w:val="005C2D2D"/>
    <w:rsid w:val="005C32DB"/>
    <w:rsid w:val="005C395F"/>
    <w:rsid w:val="005C4CF2"/>
    <w:rsid w:val="005C6219"/>
    <w:rsid w:val="005D5C9E"/>
    <w:rsid w:val="005D7E94"/>
    <w:rsid w:val="005E126B"/>
    <w:rsid w:val="005E4F7E"/>
    <w:rsid w:val="005F23F6"/>
    <w:rsid w:val="006039D3"/>
    <w:rsid w:val="00607BFC"/>
    <w:rsid w:val="00611D98"/>
    <w:rsid w:val="00612661"/>
    <w:rsid w:val="0061337C"/>
    <w:rsid w:val="006159A6"/>
    <w:rsid w:val="00616721"/>
    <w:rsid w:val="00616EBC"/>
    <w:rsid w:val="006210A2"/>
    <w:rsid w:val="00623051"/>
    <w:rsid w:val="00623F3F"/>
    <w:rsid w:val="00624305"/>
    <w:rsid w:val="006244E6"/>
    <w:rsid w:val="0062783B"/>
    <w:rsid w:val="006300B8"/>
    <w:rsid w:val="006336CA"/>
    <w:rsid w:val="00635C1F"/>
    <w:rsid w:val="0064257E"/>
    <w:rsid w:val="0064264F"/>
    <w:rsid w:val="00645B9F"/>
    <w:rsid w:val="00650045"/>
    <w:rsid w:val="006505D1"/>
    <w:rsid w:val="00651875"/>
    <w:rsid w:val="0065548F"/>
    <w:rsid w:val="00656420"/>
    <w:rsid w:val="00662600"/>
    <w:rsid w:val="006629B8"/>
    <w:rsid w:val="00662BFC"/>
    <w:rsid w:val="0066529E"/>
    <w:rsid w:val="00666223"/>
    <w:rsid w:val="0066627E"/>
    <w:rsid w:val="006674F8"/>
    <w:rsid w:val="00670514"/>
    <w:rsid w:val="00680D68"/>
    <w:rsid w:val="006849CF"/>
    <w:rsid w:val="00691E9D"/>
    <w:rsid w:val="00692756"/>
    <w:rsid w:val="00694561"/>
    <w:rsid w:val="0069619E"/>
    <w:rsid w:val="00696201"/>
    <w:rsid w:val="00697E8B"/>
    <w:rsid w:val="006A0D24"/>
    <w:rsid w:val="006A37F8"/>
    <w:rsid w:val="006A509F"/>
    <w:rsid w:val="006A5C17"/>
    <w:rsid w:val="006B2D27"/>
    <w:rsid w:val="006B3723"/>
    <w:rsid w:val="006B5310"/>
    <w:rsid w:val="006B64B7"/>
    <w:rsid w:val="006B6699"/>
    <w:rsid w:val="006B7BBD"/>
    <w:rsid w:val="006C5BB1"/>
    <w:rsid w:val="006D30B1"/>
    <w:rsid w:val="006D6F07"/>
    <w:rsid w:val="006D7914"/>
    <w:rsid w:val="006E176C"/>
    <w:rsid w:val="006E1CEF"/>
    <w:rsid w:val="006E7900"/>
    <w:rsid w:val="006E7EC4"/>
    <w:rsid w:val="006F05E2"/>
    <w:rsid w:val="006F49C6"/>
    <w:rsid w:val="006F5361"/>
    <w:rsid w:val="006F690A"/>
    <w:rsid w:val="00701750"/>
    <w:rsid w:val="00702AF3"/>
    <w:rsid w:val="0070314A"/>
    <w:rsid w:val="00704958"/>
    <w:rsid w:val="007104AA"/>
    <w:rsid w:val="00710952"/>
    <w:rsid w:val="007232EF"/>
    <w:rsid w:val="007250FF"/>
    <w:rsid w:val="00725AE7"/>
    <w:rsid w:val="00725D96"/>
    <w:rsid w:val="0073452F"/>
    <w:rsid w:val="00735DC6"/>
    <w:rsid w:val="00736F1C"/>
    <w:rsid w:val="00741239"/>
    <w:rsid w:val="007440DB"/>
    <w:rsid w:val="0074427B"/>
    <w:rsid w:val="00745AF5"/>
    <w:rsid w:val="00751416"/>
    <w:rsid w:val="0075370A"/>
    <w:rsid w:val="0075590A"/>
    <w:rsid w:val="007560BB"/>
    <w:rsid w:val="007622CF"/>
    <w:rsid w:val="00762813"/>
    <w:rsid w:val="00762FDE"/>
    <w:rsid w:val="00765061"/>
    <w:rsid w:val="00767311"/>
    <w:rsid w:val="00767F80"/>
    <w:rsid w:val="007729E9"/>
    <w:rsid w:val="00772A2F"/>
    <w:rsid w:val="0077546D"/>
    <w:rsid w:val="00777E08"/>
    <w:rsid w:val="007812AC"/>
    <w:rsid w:val="007841E6"/>
    <w:rsid w:val="007875C6"/>
    <w:rsid w:val="00791497"/>
    <w:rsid w:val="007918DF"/>
    <w:rsid w:val="0079298C"/>
    <w:rsid w:val="007936AA"/>
    <w:rsid w:val="007953CB"/>
    <w:rsid w:val="00795B8E"/>
    <w:rsid w:val="007961F9"/>
    <w:rsid w:val="00796574"/>
    <w:rsid w:val="007A0ADC"/>
    <w:rsid w:val="007A45F3"/>
    <w:rsid w:val="007A78E8"/>
    <w:rsid w:val="007B25B2"/>
    <w:rsid w:val="007B34E7"/>
    <w:rsid w:val="007B417A"/>
    <w:rsid w:val="007B6B22"/>
    <w:rsid w:val="007C0D46"/>
    <w:rsid w:val="007C3EBB"/>
    <w:rsid w:val="007C3F9F"/>
    <w:rsid w:val="007C61BE"/>
    <w:rsid w:val="007C62B5"/>
    <w:rsid w:val="007C794F"/>
    <w:rsid w:val="007D0835"/>
    <w:rsid w:val="007D2D39"/>
    <w:rsid w:val="007E10F9"/>
    <w:rsid w:val="007E218E"/>
    <w:rsid w:val="007E31CB"/>
    <w:rsid w:val="007E3850"/>
    <w:rsid w:val="007E617A"/>
    <w:rsid w:val="007F273A"/>
    <w:rsid w:val="007F3509"/>
    <w:rsid w:val="007F508A"/>
    <w:rsid w:val="008027ED"/>
    <w:rsid w:val="0080368C"/>
    <w:rsid w:val="00806051"/>
    <w:rsid w:val="0081065B"/>
    <w:rsid w:val="008141D6"/>
    <w:rsid w:val="008172B3"/>
    <w:rsid w:val="00830D61"/>
    <w:rsid w:val="008311A3"/>
    <w:rsid w:val="008336B7"/>
    <w:rsid w:val="0083381B"/>
    <w:rsid w:val="00841C2D"/>
    <w:rsid w:val="00842E68"/>
    <w:rsid w:val="00844C4F"/>
    <w:rsid w:val="00845552"/>
    <w:rsid w:val="00845DCD"/>
    <w:rsid w:val="0084681C"/>
    <w:rsid w:val="00855682"/>
    <w:rsid w:val="00870908"/>
    <w:rsid w:val="008764D0"/>
    <w:rsid w:val="0087788C"/>
    <w:rsid w:val="00881B49"/>
    <w:rsid w:val="0088386C"/>
    <w:rsid w:val="00884226"/>
    <w:rsid w:val="00885985"/>
    <w:rsid w:val="00891B5D"/>
    <w:rsid w:val="008955F8"/>
    <w:rsid w:val="00895949"/>
    <w:rsid w:val="008A02F9"/>
    <w:rsid w:val="008A79D9"/>
    <w:rsid w:val="008B1AD9"/>
    <w:rsid w:val="008B1B7D"/>
    <w:rsid w:val="008B4ECF"/>
    <w:rsid w:val="008B54BB"/>
    <w:rsid w:val="008B6215"/>
    <w:rsid w:val="008C2141"/>
    <w:rsid w:val="008C285E"/>
    <w:rsid w:val="008C2891"/>
    <w:rsid w:val="008C3502"/>
    <w:rsid w:val="008C3A94"/>
    <w:rsid w:val="008C4E61"/>
    <w:rsid w:val="008D0D2B"/>
    <w:rsid w:val="008D1FB1"/>
    <w:rsid w:val="008D5074"/>
    <w:rsid w:val="008D5A47"/>
    <w:rsid w:val="008D60C2"/>
    <w:rsid w:val="008D6FB9"/>
    <w:rsid w:val="008E43BB"/>
    <w:rsid w:val="008E52F4"/>
    <w:rsid w:val="008E55FB"/>
    <w:rsid w:val="008E5B06"/>
    <w:rsid w:val="008E6045"/>
    <w:rsid w:val="008E6068"/>
    <w:rsid w:val="008F1B2F"/>
    <w:rsid w:val="008F26FD"/>
    <w:rsid w:val="008F4C70"/>
    <w:rsid w:val="008F7F3D"/>
    <w:rsid w:val="0090114A"/>
    <w:rsid w:val="00904342"/>
    <w:rsid w:val="009066DC"/>
    <w:rsid w:val="00907449"/>
    <w:rsid w:val="009124C5"/>
    <w:rsid w:val="00912E87"/>
    <w:rsid w:val="00915028"/>
    <w:rsid w:val="0091666E"/>
    <w:rsid w:val="00920224"/>
    <w:rsid w:val="0092285B"/>
    <w:rsid w:val="009229F7"/>
    <w:rsid w:val="00926774"/>
    <w:rsid w:val="00931769"/>
    <w:rsid w:val="00932675"/>
    <w:rsid w:val="00934FAB"/>
    <w:rsid w:val="00935306"/>
    <w:rsid w:val="00936055"/>
    <w:rsid w:val="00936F43"/>
    <w:rsid w:val="00937D5A"/>
    <w:rsid w:val="0094308F"/>
    <w:rsid w:val="00944EE9"/>
    <w:rsid w:val="00945EE8"/>
    <w:rsid w:val="009564E6"/>
    <w:rsid w:val="00956642"/>
    <w:rsid w:val="00957835"/>
    <w:rsid w:val="00960228"/>
    <w:rsid w:val="009613B9"/>
    <w:rsid w:val="00964E68"/>
    <w:rsid w:val="009726D8"/>
    <w:rsid w:val="00972FC3"/>
    <w:rsid w:val="009732A7"/>
    <w:rsid w:val="009749A6"/>
    <w:rsid w:val="009759A1"/>
    <w:rsid w:val="0098148E"/>
    <w:rsid w:val="0098232E"/>
    <w:rsid w:val="009824F8"/>
    <w:rsid w:val="00983B48"/>
    <w:rsid w:val="00984EBF"/>
    <w:rsid w:val="00991252"/>
    <w:rsid w:val="00993657"/>
    <w:rsid w:val="009943DE"/>
    <w:rsid w:val="00994973"/>
    <w:rsid w:val="009B11A0"/>
    <w:rsid w:val="009B3992"/>
    <w:rsid w:val="009B4910"/>
    <w:rsid w:val="009B7B6D"/>
    <w:rsid w:val="009C0520"/>
    <w:rsid w:val="009C1C59"/>
    <w:rsid w:val="009C3836"/>
    <w:rsid w:val="009C3F99"/>
    <w:rsid w:val="009C54CD"/>
    <w:rsid w:val="009D21C9"/>
    <w:rsid w:val="009D3E80"/>
    <w:rsid w:val="009D79D5"/>
    <w:rsid w:val="009E0A4D"/>
    <w:rsid w:val="009E1115"/>
    <w:rsid w:val="009E20AF"/>
    <w:rsid w:val="009E20B1"/>
    <w:rsid w:val="009E3A64"/>
    <w:rsid w:val="009E5B1B"/>
    <w:rsid w:val="009F065D"/>
    <w:rsid w:val="009F13BA"/>
    <w:rsid w:val="009F2B55"/>
    <w:rsid w:val="009F3EC3"/>
    <w:rsid w:val="009F6272"/>
    <w:rsid w:val="009F62F4"/>
    <w:rsid w:val="00A02751"/>
    <w:rsid w:val="00A02E1F"/>
    <w:rsid w:val="00A0316F"/>
    <w:rsid w:val="00A0684F"/>
    <w:rsid w:val="00A15273"/>
    <w:rsid w:val="00A15294"/>
    <w:rsid w:val="00A202CA"/>
    <w:rsid w:val="00A21D4A"/>
    <w:rsid w:val="00A26588"/>
    <w:rsid w:val="00A26E3A"/>
    <w:rsid w:val="00A26E58"/>
    <w:rsid w:val="00A31E60"/>
    <w:rsid w:val="00A31F38"/>
    <w:rsid w:val="00A33BE4"/>
    <w:rsid w:val="00A35619"/>
    <w:rsid w:val="00A411F2"/>
    <w:rsid w:val="00A41FB0"/>
    <w:rsid w:val="00A42C7E"/>
    <w:rsid w:val="00A438AE"/>
    <w:rsid w:val="00A44346"/>
    <w:rsid w:val="00A44F28"/>
    <w:rsid w:val="00A460FE"/>
    <w:rsid w:val="00A47970"/>
    <w:rsid w:val="00A5131F"/>
    <w:rsid w:val="00A53A0E"/>
    <w:rsid w:val="00A53AE7"/>
    <w:rsid w:val="00A53DD5"/>
    <w:rsid w:val="00A5688A"/>
    <w:rsid w:val="00A60B0C"/>
    <w:rsid w:val="00A61825"/>
    <w:rsid w:val="00A61BAB"/>
    <w:rsid w:val="00A67479"/>
    <w:rsid w:val="00A71753"/>
    <w:rsid w:val="00A75E05"/>
    <w:rsid w:val="00A76550"/>
    <w:rsid w:val="00A77E7D"/>
    <w:rsid w:val="00A80360"/>
    <w:rsid w:val="00A85526"/>
    <w:rsid w:val="00A85E67"/>
    <w:rsid w:val="00A87F91"/>
    <w:rsid w:val="00A90D50"/>
    <w:rsid w:val="00A90F7B"/>
    <w:rsid w:val="00AA26A8"/>
    <w:rsid w:val="00AA5DAB"/>
    <w:rsid w:val="00AB16E7"/>
    <w:rsid w:val="00AB2A4D"/>
    <w:rsid w:val="00AB41A0"/>
    <w:rsid w:val="00AC045F"/>
    <w:rsid w:val="00AC0E2B"/>
    <w:rsid w:val="00AC46E6"/>
    <w:rsid w:val="00AC6572"/>
    <w:rsid w:val="00AC7F27"/>
    <w:rsid w:val="00AD5370"/>
    <w:rsid w:val="00AD5B74"/>
    <w:rsid w:val="00AD6A37"/>
    <w:rsid w:val="00AE18EE"/>
    <w:rsid w:val="00AE1E73"/>
    <w:rsid w:val="00AE3DAB"/>
    <w:rsid w:val="00AE41DD"/>
    <w:rsid w:val="00AE55E8"/>
    <w:rsid w:val="00AF12B5"/>
    <w:rsid w:val="00AF549B"/>
    <w:rsid w:val="00B00B48"/>
    <w:rsid w:val="00B02715"/>
    <w:rsid w:val="00B04481"/>
    <w:rsid w:val="00B04A02"/>
    <w:rsid w:val="00B05F3B"/>
    <w:rsid w:val="00B06765"/>
    <w:rsid w:val="00B0760E"/>
    <w:rsid w:val="00B07C5B"/>
    <w:rsid w:val="00B1187A"/>
    <w:rsid w:val="00B12B16"/>
    <w:rsid w:val="00B170A1"/>
    <w:rsid w:val="00B17EF5"/>
    <w:rsid w:val="00B23BAB"/>
    <w:rsid w:val="00B244CD"/>
    <w:rsid w:val="00B24506"/>
    <w:rsid w:val="00B24CC6"/>
    <w:rsid w:val="00B2644C"/>
    <w:rsid w:val="00B276FB"/>
    <w:rsid w:val="00B319CF"/>
    <w:rsid w:val="00B331D9"/>
    <w:rsid w:val="00B3679C"/>
    <w:rsid w:val="00B40F50"/>
    <w:rsid w:val="00B41995"/>
    <w:rsid w:val="00B435D2"/>
    <w:rsid w:val="00B4621F"/>
    <w:rsid w:val="00B47F6B"/>
    <w:rsid w:val="00B51205"/>
    <w:rsid w:val="00B5153C"/>
    <w:rsid w:val="00B51804"/>
    <w:rsid w:val="00B53882"/>
    <w:rsid w:val="00B551EF"/>
    <w:rsid w:val="00B55C5E"/>
    <w:rsid w:val="00B56827"/>
    <w:rsid w:val="00B644E5"/>
    <w:rsid w:val="00B668D5"/>
    <w:rsid w:val="00B67301"/>
    <w:rsid w:val="00B7027E"/>
    <w:rsid w:val="00B75410"/>
    <w:rsid w:val="00B811F2"/>
    <w:rsid w:val="00B82BE0"/>
    <w:rsid w:val="00B8442C"/>
    <w:rsid w:val="00B90438"/>
    <w:rsid w:val="00B93437"/>
    <w:rsid w:val="00B93629"/>
    <w:rsid w:val="00BA024E"/>
    <w:rsid w:val="00BB4F9B"/>
    <w:rsid w:val="00BC6FEC"/>
    <w:rsid w:val="00BD0E4D"/>
    <w:rsid w:val="00BD4967"/>
    <w:rsid w:val="00BD4B1F"/>
    <w:rsid w:val="00BD5D51"/>
    <w:rsid w:val="00BD7119"/>
    <w:rsid w:val="00BE4687"/>
    <w:rsid w:val="00BE5F09"/>
    <w:rsid w:val="00BE7C4A"/>
    <w:rsid w:val="00BF06EB"/>
    <w:rsid w:val="00C018B6"/>
    <w:rsid w:val="00C06C45"/>
    <w:rsid w:val="00C07AAA"/>
    <w:rsid w:val="00C101A5"/>
    <w:rsid w:val="00C159D9"/>
    <w:rsid w:val="00C159DB"/>
    <w:rsid w:val="00C24037"/>
    <w:rsid w:val="00C24109"/>
    <w:rsid w:val="00C25215"/>
    <w:rsid w:val="00C2649A"/>
    <w:rsid w:val="00C33541"/>
    <w:rsid w:val="00C353C9"/>
    <w:rsid w:val="00C35841"/>
    <w:rsid w:val="00C37AB2"/>
    <w:rsid w:val="00C46158"/>
    <w:rsid w:val="00C470ED"/>
    <w:rsid w:val="00C47F29"/>
    <w:rsid w:val="00C655C7"/>
    <w:rsid w:val="00C65AA4"/>
    <w:rsid w:val="00C66EED"/>
    <w:rsid w:val="00C70F0A"/>
    <w:rsid w:val="00C7282C"/>
    <w:rsid w:val="00C73E08"/>
    <w:rsid w:val="00C74B4E"/>
    <w:rsid w:val="00C77910"/>
    <w:rsid w:val="00C85134"/>
    <w:rsid w:val="00C87E8B"/>
    <w:rsid w:val="00C91881"/>
    <w:rsid w:val="00C9206C"/>
    <w:rsid w:val="00C92E9B"/>
    <w:rsid w:val="00C93590"/>
    <w:rsid w:val="00C9421B"/>
    <w:rsid w:val="00C9443B"/>
    <w:rsid w:val="00C94669"/>
    <w:rsid w:val="00C9533B"/>
    <w:rsid w:val="00CA20CF"/>
    <w:rsid w:val="00CA6A07"/>
    <w:rsid w:val="00CB1AF7"/>
    <w:rsid w:val="00CB2773"/>
    <w:rsid w:val="00CB2F44"/>
    <w:rsid w:val="00CB3C9C"/>
    <w:rsid w:val="00CC03A5"/>
    <w:rsid w:val="00CC1107"/>
    <w:rsid w:val="00CC2037"/>
    <w:rsid w:val="00CC4344"/>
    <w:rsid w:val="00CC547A"/>
    <w:rsid w:val="00CD4A5A"/>
    <w:rsid w:val="00CD59D5"/>
    <w:rsid w:val="00CE0258"/>
    <w:rsid w:val="00CE3902"/>
    <w:rsid w:val="00CE39B5"/>
    <w:rsid w:val="00CE40E0"/>
    <w:rsid w:val="00CE4178"/>
    <w:rsid w:val="00CF5160"/>
    <w:rsid w:val="00D013F4"/>
    <w:rsid w:val="00D06BDF"/>
    <w:rsid w:val="00D10983"/>
    <w:rsid w:val="00D117D9"/>
    <w:rsid w:val="00D119E3"/>
    <w:rsid w:val="00D12BD3"/>
    <w:rsid w:val="00D12D90"/>
    <w:rsid w:val="00D1470E"/>
    <w:rsid w:val="00D15AFC"/>
    <w:rsid w:val="00D20476"/>
    <w:rsid w:val="00D22C7A"/>
    <w:rsid w:val="00D231AB"/>
    <w:rsid w:val="00D2342B"/>
    <w:rsid w:val="00D25837"/>
    <w:rsid w:val="00D25FF6"/>
    <w:rsid w:val="00D27678"/>
    <w:rsid w:val="00D3325B"/>
    <w:rsid w:val="00D34934"/>
    <w:rsid w:val="00D407FA"/>
    <w:rsid w:val="00D40B27"/>
    <w:rsid w:val="00D414E8"/>
    <w:rsid w:val="00D42807"/>
    <w:rsid w:val="00D4339C"/>
    <w:rsid w:val="00D44012"/>
    <w:rsid w:val="00D4419A"/>
    <w:rsid w:val="00D45A52"/>
    <w:rsid w:val="00D50076"/>
    <w:rsid w:val="00D52383"/>
    <w:rsid w:val="00D52A7E"/>
    <w:rsid w:val="00D535FB"/>
    <w:rsid w:val="00D53F19"/>
    <w:rsid w:val="00D562F5"/>
    <w:rsid w:val="00D62B09"/>
    <w:rsid w:val="00D63896"/>
    <w:rsid w:val="00D63F49"/>
    <w:rsid w:val="00D6442C"/>
    <w:rsid w:val="00D672F0"/>
    <w:rsid w:val="00D674A3"/>
    <w:rsid w:val="00D70DF4"/>
    <w:rsid w:val="00D72547"/>
    <w:rsid w:val="00D72C48"/>
    <w:rsid w:val="00D72FD2"/>
    <w:rsid w:val="00D74847"/>
    <w:rsid w:val="00D75D71"/>
    <w:rsid w:val="00D800C1"/>
    <w:rsid w:val="00D824D2"/>
    <w:rsid w:val="00D82CF3"/>
    <w:rsid w:val="00D86621"/>
    <w:rsid w:val="00D90445"/>
    <w:rsid w:val="00D929E3"/>
    <w:rsid w:val="00D93104"/>
    <w:rsid w:val="00D95899"/>
    <w:rsid w:val="00DA37B8"/>
    <w:rsid w:val="00DA469E"/>
    <w:rsid w:val="00DA6590"/>
    <w:rsid w:val="00DA7967"/>
    <w:rsid w:val="00DB537C"/>
    <w:rsid w:val="00DB706D"/>
    <w:rsid w:val="00DB72B9"/>
    <w:rsid w:val="00DB7632"/>
    <w:rsid w:val="00DC0E2F"/>
    <w:rsid w:val="00DC2050"/>
    <w:rsid w:val="00DC2DCF"/>
    <w:rsid w:val="00DC3DEF"/>
    <w:rsid w:val="00DC4663"/>
    <w:rsid w:val="00DC6F15"/>
    <w:rsid w:val="00DD1109"/>
    <w:rsid w:val="00DD4A5D"/>
    <w:rsid w:val="00DD4AF0"/>
    <w:rsid w:val="00DD6752"/>
    <w:rsid w:val="00DE2C09"/>
    <w:rsid w:val="00DE3EE4"/>
    <w:rsid w:val="00DF64BC"/>
    <w:rsid w:val="00E006EC"/>
    <w:rsid w:val="00E02FAE"/>
    <w:rsid w:val="00E04744"/>
    <w:rsid w:val="00E052C5"/>
    <w:rsid w:val="00E063A3"/>
    <w:rsid w:val="00E07011"/>
    <w:rsid w:val="00E07F94"/>
    <w:rsid w:val="00E12B48"/>
    <w:rsid w:val="00E149F2"/>
    <w:rsid w:val="00E1680F"/>
    <w:rsid w:val="00E17B8F"/>
    <w:rsid w:val="00E250BE"/>
    <w:rsid w:val="00E25223"/>
    <w:rsid w:val="00E25234"/>
    <w:rsid w:val="00E26D7B"/>
    <w:rsid w:val="00E3452F"/>
    <w:rsid w:val="00E34CE2"/>
    <w:rsid w:val="00E353BC"/>
    <w:rsid w:val="00E362CB"/>
    <w:rsid w:val="00E37AB7"/>
    <w:rsid w:val="00E43B3A"/>
    <w:rsid w:val="00E44C23"/>
    <w:rsid w:val="00E44E74"/>
    <w:rsid w:val="00E456CA"/>
    <w:rsid w:val="00E4696F"/>
    <w:rsid w:val="00E47D74"/>
    <w:rsid w:val="00E546A9"/>
    <w:rsid w:val="00E55610"/>
    <w:rsid w:val="00E56277"/>
    <w:rsid w:val="00E61E6A"/>
    <w:rsid w:val="00E62F46"/>
    <w:rsid w:val="00E6351E"/>
    <w:rsid w:val="00E63F6D"/>
    <w:rsid w:val="00E65B07"/>
    <w:rsid w:val="00E70631"/>
    <w:rsid w:val="00E716ED"/>
    <w:rsid w:val="00E724E5"/>
    <w:rsid w:val="00E72CCE"/>
    <w:rsid w:val="00E75562"/>
    <w:rsid w:val="00E77E2F"/>
    <w:rsid w:val="00E77FC1"/>
    <w:rsid w:val="00E800B5"/>
    <w:rsid w:val="00E83E66"/>
    <w:rsid w:val="00E851A9"/>
    <w:rsid w:val="00E957B6"/>
    <w:rsid w:val="00E973D2"/>
    <w:rsid w:val="00EA1A40"/>
    <w:rsid w:val="00EA3514"/>
    <w:rsid w:val="00EA35D8"/>
    <w:rsid w:val="00EA55B5"/>
    <w:rsid w:val="00EA65A2"/>
    <w:rsid w:val="00EA6C63"/>
    <w:rsid w:val="00EA6DA0"/>
    <w:rsid w:val="00EB0627"/>
    <w:rsid w:val="00EB0672"/>
    <w:rsid w:val="00EB1002"/>
    <w:rsid w:val="00EB15D8"/>
    <w:rsid w:val="00EB27AC"/>
    <w:rsid w:val="00EB49E2"/>
    <w:rsid w:val="00EB7A48"/>
    <w:rsid w:val="00EB7B5C"/>
    <w:rsid w:val="00EC2DF2"/>
    <w:rsid w:val="00EC3E65"/>
    <w:rsid w:val="00ED2703"/>
    <w:rsid w:val="00ED557D"/>
    <w:rsid w:val="00ED708A"/>
    <w:rsid w:val="00EE29C5"/>
    <w:rsid w:val="00EE33AF"/>
    <w:rsid w:val="00EE3C1C"/>
    <w:rsid w:val="00EE5A70"/>
    <w:rsid w:val="00EE5E6B"/>
    <w:rsid w:val="00EF029A"/>
    <w:rsid w:val="00F01275"/>
    <w:rsid w:val="00F03948"/>
    <w:rsid w:val="00F04152"/>
    <w:rsid w:val="00F07748"/>
    <w:rsid w:val="00F119A0"/>
    <w:rsid w:val="00F1362D"/>
    <w:rsid w:val="00F166CE"/>
    <w:rsid w:val="00F16F13"/>
    <w:rsid w:val="00F17740"/>
    <w:rsid w:val="00F17BEA"/>
    <w:rsid w:val="00F17FAE"/>
    <w:rsid w:val="00F20D75"/>
    <w:rsid w:val="00F24AF8"/>
    <w:rsid w:val="00F30869"/>
    <w:rsid w:val="00F30F32"/>
    <w:rsid w:val="00F374FD"/>
    <w:rsid w:val="00F4018A"/>
    <w:rsid w:val="00F409F8"/>
    <w:rsid w:val="00F4229E"/>
    <w:rsid w:val="00F465BB"/>
    <w:rsid w:val="00F5127B"/>
    <w:rsid w:val="00F521B0"/>
    <w:rsid w:val="00F52F3E"/>
    <w:rsid w:val="00F550FC"/>
    <w:rsid w:val="00F55CF0"/>
    <w:rsid w:val="00F6006D"/>
    <w:rsid w:val="00F63565"/>
    <w:rsid w:val="00F654E2"/>
    <w:rsid w:val="00F65BB1"/>
    <w:rsid w:val="00F70B24"/>
    <w:rsid w:val="00F74AC1"/>
    <w:rsid w:val="00F82E44"/>
    <w:rsid w:val="00F82F88"/>
    <w:rsid w:val="00F836AC"/>
    <w:rsid w:val="00F852AE"/>
    <w:rsid w:val="00F8587B"/>
    <w:rsid w:val="00F97568"/>
    <w:rsid w:val="00F97DC4"/>
    <w:rsid w:val="00FA1F72"/>
    <w:rsid w:val="00FA27FA"/>
    <w:rsid w:val="00FA3C1B"/>
    <w:rsid w:val="00FA432E"/>
    <w:rsid w:val="00FA4D44"/>
    <w:rsid w:val="00FA7E55"/>
    <w:rsid w:val="00FB6CA7"/>
    <w:rsid w:val="00FB7F24"/>
    <w:rsid w:val="00FC0BC8"/>
    <w:rsid w:val="00FC2200"/>
    <w:rsid w:val="00FC4C3D"/>
    <w:rsid w:val="00FD05EF"/>
    <w:rsid w:val="00FD07AA"/>
    <w:rsid w:val="00FE39A7"/>
    <w:rsid w:val="00FE681F"/>
    <w:rsid w:val="00FF0B3B"/>
    <w:rsid w:val="00FF2240"/>
    <w:rsid w:val="00FF2544"/>
    <w:rsid w:val="00FF7886"/>
    <w:rsid w:val="01074C66"/>
    <w:rsid w:val="018743DF"/>
    <w:rsid w:val="02001EA6"/>
    <w:rsid w:val="02446EC9"/>
    <w:rsid w:val="02BE5A89"/>
    <w:rsid w:val="04AE043B"/>
    <w:rsid w:val="04D137FB"/>
    <w:rsid w:val="05811F43"/>
    <w:rsid w:val="06EC54E1"/>
    <w:rsid w:val="073B7794"/>
    <w:rsid w:val="077759D7"/>
    <w:rsid w:val="07F9174B"/>
    <w:rsid w:val="0803355E"/>
    <w:rsid w:val="08A5745A"/>
    <w:rsid w:val="08AD0B33"/>
    <w:rsid w:val="08F65C71"/>
    <w:rsid w:val="09002089"/>
    <w:rsid w:val="095D6ED2"/>
    <w:rsid w:val="0A8E38FC"/>
    <w:rsid w:val="0A8F322B"/>
    <w:rsid w:val="0A9E7CF1"/>
    <w:rsid w:val="0AAB6A8D"/>
    <w:rsid w:val="0B9263C7"/>
    <w:rsid w:val="0BE24221"/>
    <w:rsid w:val="0C822A07"/>
    <w:rsid w:val="0CB909CF"/>
    <w:rsid w:val="0CD45278"/>
    <w:rsid w:val="0DA42DF2"/>
    <w:rsid w:val="0EA25DE6"/>
    <w:rsid w:val="0EBB1C03"/>
    <w:rsid w:val="0ECB7337"/>
    <w:rsid w:val="0F0C4F76"/>
    <w:rsid w:val="0F3C7685"/>
    <w:rsid w:val="101B1978"/>
    <w:rsid w:val="10C051AA"/>
    <w:rsid w:val="114F022B"/>
    <w:rsid w:val="12697FFC"/>
    <w:rsid w:val="12BF64DE"/>
    <w:rsid w:val="13210CE0"/>
    <w:rsid w:val="13596EAB"/>
    <w:rsid w:val="13D33102"/>
    <w:rsid w:val="14464CFD"/>
    <w:rsid w:val="14A054D1"/>
    <w:rsid w:val="150A3217"/>
    <w:rsid w:val="16F11139"/>
    <w:rsid w:val="175B6808"/>
    <w:rsid w:val="175D2BA6"/>
    <w:rsid w:val="176E1A41"/>
    <w:rsid w:val="177F0B18"/>
    <w:rsid w:val="194F6F7D"/>
    <w:rsid w:val="1A8937AB"/>
    <w:rsid w:val="1B1150C5"/>
    <w:rsid w:val="1B73680B"/>
    <w:rsid w:val="1B80572D"/>
    <w:rsid w:val="1C3152E5"/>
    <w:rsid w:val="1CF0137D"/>
    <w:rsid w:val="1CF90D50"/>
    <w:rsid w:val="1D49311C"/>
    <w:rsid w:val="1D55090F"/>
    <w:rsid w:val="1E104C5B"/>
    <w:rsid w:val="1E8F2EB6"/>
    <w:rsid w:val="1E9B49CF"/>
    <w:rsid w:val="1EA10EBF"/>
    <w:rsid w:val="1EBF1A24"/>
    <w:rsid w:val="208B563A"/>
    <w:rsid w:val="213F1D99"/>
    <w:rsid w:val="215D14A7"/>
    <w:rsid w:val="219351A4"/>
    <w:rsid w:val="22315C65"/>
    <w:rsid w:val="22B45DF5"/>
    <w:rsid w:val="2370448F"/>
    <w:rsid w:val="24700C6E"/>
    <w:rsid w:val="24CA6AEB"/>
    <w:rsid w:val="25181C0D"/>
    <w:rsid w:val="252E0C2E"/>
    <w:rsid w:val="254B3D1E"/>
    <w:rsid w:val="25EC5947"/>
    <w:rsid w:val="25ED6474"/>
    <w:rsid w:val="269473DD"/>
    <w:rsid w:val="27437672"/>
    <w:rsid w:val="29454C08"/>
    <w:rsid w:val="2CD862F5"/>
    <w:rsid w:val="2D8A133C"/>
    <w:rsid w:val="2DE04A05"/>
    <w:rsid w:val="2FB8361E"/>
    <w:rsid w:val="30AB7548"/>
    <w:rsid w:val="30CC38A1"/>
    <w:rsid w:val="318A421C"/>
    <w:rsid w:val="319456AF"/>
    <w:rsid w:val="31A2285A"/>
    <w:rsid w:val="31A52667"/>
    <w:rsid w:val="32751132"/>
    <w:rsid w:val="32E045F0"/>
    <w:rsid w:val="339E3D1D"/>
    <w:rsid w:val="33CD1108"/>
    <w:rsid w:val="33E946EE"/>
    <w:rsid w:val="347577EC"/>
    <w:rsid w:val="361305C2"/>
    <w:rsid w:val="37287FEF"/>
    <w:rsid w:val="37DC4CD1"/>
    <w:rsid w:val="37DE65AA"/>
    <w:rsid w:val="384F45E1"/>
    <w:rsid w:val="3891070E"/>
    <w:rsid w:val="38A82EF3"/>
    <w:rsid w:val="39FC3A97"/>
    <w:rsid w:val="3A4F6132"/>
    <w:rsid w:val="3A757BEE"/>
    <w:rsid w:val="3B4B5303"/>
    <w:rsid w:val="3B810A38"/>
    <w:rsid w:val="3B960571"/>
    <w:rsid w:val="3C1A12FA"/>
    <w:rsid w:val="3C2B1BDE"/>
    <w:rsid w:val="3E9D4D8D"/>
    <w:rsid w:val="3ED3750C"/>
    <w:rsid w:val="3FFD22B2"/>
    <w:rsid w:val="40A8016D"/>
    <w:rsid w:val="41E3763E"/>
    <w:rsid w:val="42AA212E"/>
    <w:rsid w:val="43010C43"/>
    <w:rsid w:val="43A87C7C"/>
    <w:rsid w:val="44343A03"/>
    <w:rsid w:val="44FA5B43"/>
    <w:rsid w:val="47301AC8"/>
    <w:rsid w:val="47363735"/>
    <w:rsid w:val="47E937B4"/>
    <w:rsid w:val="48CD001A"/>
    <w:rsid w:val="4955770A"/>
    <w:rsid w:val="4A635C53"/>
    <w:rsid w:val="4AA16DB5"/>
    <w:rsid w:val="4B172311"/>
    <w:rsid w:val="4BE60ADE"/>
    <w:rsid w:val="4C6B039A"/>
    <w:rsid w:val="4F6110FE"/>
    <w:rsid w:val="4FF51D98"/>
    <w:rsid w:val="5065421D"/>
    <w:rsid w:val="50BE32E5"/>
    <w:rsid w:val="512C04ED"/>
    <w:rsid w:val="515950F0"/>
    <w:rsid w:val="52BC4342"/>
    <w:rsid w:val="52D7537C"/>
    <w:rsid w:val="53AE7235"/>
    <w:rsid w:val="54647BC1"/>
    <w:rsid w:val="54D1508A"/>
    <w:rsid w:val="54F601F4"/>
    <w:rsid w:val="564F0E9E"/>
    <w:rsid w:val="56AC2F4B"/>
    <w:rsid w:val="56B61101"/>
    <w:rsid w:val="56BC597E"/>
    <w:rsid w:val="57B72DFD"/>
    <w:rsid w:val="58301579"/>
    <w:rsid w:val="58EC577F"/>
    <w:rsid w:val="59070E3B"/>
    <w:rsid w:val="593C4D00"/>
    <w:rsid w:val="593C58B7"/>
    <w:rsid w:val="59CD78E2"/>
    <w:rsid w:val="5A326CFA"/>
    <w:rsid w:val="5A7D5A3A"/>
    <w:rsid w:val="5AD84208"/>
    <w:rsid w:val="5B3C06C0"/>
    <w:rsid w:val="5C0B26A2"/>
    <w:rsid w:val="5C60285B"/>
    <w:rsid w:val="5CE04EC1"/>
    <w:rsid w:val="5E441980"/>
    <w:rsid w:val="5E940365"/>
    <w:rsid w:val="5F5675B3"/>
    <w:rsid w:val="60491FE1"/>
    <w:rsid w:val="60BC4414"/>
    <w:rsid w:val="622D4012"/>
    <w:rsid w:val="62955156"/>
    <w:rsid w:val="62A448BA"/>
    <w:rsid w:val="62B92BA8"/>
    <w:rsid w:val="632D38A8"/>
    <w:rsid w:val="632F7D01"/>
    <w:rsid w:val="63C754A6"/>
    <w:rsid w:val="63C903BF"/>
    <w:rsid w:val="644A1124"/>
    <w:rsid w:val="6555694C"/>
    <w:rsid w:val="66E070A1"/>
    <w:rsid w:val="673D40BA"/>
    <w:rsid w:val="67756717"/>
    <w:rsid w:val="678C2EA1"/>
    <w:rsid w:val="67B251AF"/>
    <w:rsid w:val="67DC2006"/>
    <w:rsid w:val="689E06CF"/>
    <w:rsid w:val="69253897"/>
    <w:rsid w:val="69314FEE"/>
    <w:rsid w:val="6938515C"/>
    <w:rsid w:val="6A276D16"/>
    <w:rsid w:val="6B634DD3"/>
    <w:rsid w:val="6B6A15F1"/>
    <w:rsid w:val="6DCE0412"/>
    <w:rsid w:val="6EAF34BF"/>
    <w:rsid w:val="70662017"/>
    <w:rsid w:val="716C7007"/>
    <w:rsid w:val="731E46F0"/>
    <w:rsid w:val="740E1A34"/>
    <w:rsid w:val="74826C5A"/>
    <w:rsid w:val="74D06B98"/>
    <w:rsid w:val="75361363"/>
    <w:rsid w:val="76E566AA"/>
    <w:rsid w:val="77AC0459"/>
    <w:rsid w:val="77DC38DF"/>
    <w:rsid w:val="7A294666"/>
    <w:rsid w:val="7A6464BB"/>
    <w:rsid w:val="7A6A02C8"/>
    <w:rsid w:val="7B34564C"/>
    <w:rsid w:val="7B5B5ADF"/>
    <w:rsid w:val="7C041E51"/>
    <w:rsid w:val="7E00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autoRedefine/>
    <w:qFormat/>
    <w:uiPriority w:val="0"/>
    <w:pPr>
      <w:keepNext/>
      <w:keepLines/>
      <w:numPr>
        <w:ilvl w:val="0"/>
        <w:numId w:val="1"/>
      </w:numPr>
      <w:spacing w:before="280" w:after="290" w:line="500" w:lineRule="exact"/>
      <w:outlineLvl w:val="4"/>
    </w:pPr>
    <w:rPr>
      <w:rFonts w:eastAsia="黑体"/>
      <w:spacing w:val="8"/>
      <w:sz w:val="32"/>
      <w:szCs w:val="20"/>
    </w:rPr>
  </w:style>
  <w:style w:type="paragraph" w:styleId="8">
    <w:name w:val="heading 6"/>
    <w:basedOn w:val="1"/>
    <w:next w:val="7"/>
    <w:autoRedefine/>
    <w:qFormat/>
    <w:uiPriority w:val="0"/>
    <w:pPr>
      <w:keepNext/>
      <w:keepLines/>
      <w:numPr>
        <w:ilvl w:val="5"/>
        <w:numId w:val="2"/>
      </w:numPr>
      <w:spacing w:before="240" w:after="64" w:line="320" w:lineRule="auto"/>
      <w:jc w:val="left"/>
      <w:outlineLvl w:val="5"/>
    </w:pPr>
    <w:rPr>
      <w:rFonts w:ascii="Arial" w:hAnsi="Arial" w:eastAsia="黑体"/>
      <w:b/>
      <w:bCs/>
      <w:spacing w:val="6"/>
      <w:sz w:val="24"/>
    </w:rPr>
  </w:style>
  <w:style w:type="paragraph" w:styleId="9">
    <w:name w:val="heading 7"/>
    <w:basedOn w:val="1"/>
    <w:next w:val="7"/>
    <w:autoRedefine/>
    <w:qFormat/>
    <w:uiPriority w:val="0"/>
    <w:pPr>
      <w:keepNext/>
      <w:keepLines/>
      <w:numPr>
        <w:ilvl w:val="6"/>
        <w:numId w:val="2"/>
      </w:numPr>
      <w:spacing w:before="240" w:after="64" w:line="320" w:lineRule="auto"/>
      <w:jc w:val="left"/>
      <w:outlineLvl w:val="6"/>
    </w:pPr>
    <w:rPr>
      <w:b/>
      <w:bCs/>
      <w:spacing w:val="6"/>
      <w:sz w:val="24"/>
    </w:rPr>
  </w:style>
  <w:style w:type="paragraph" w:styleId="10">
    <w:name w:val="heading 8"/>
    <w:basedOn w:val="1"/>
    <w:next w:val="7"/>
    <w:autoRedefine/>
    <w:qFormat/>
    <w:uiPriority w:val="0"/>
    <w:pPr>
      <w:keepNext/>
      <w:keepLines/>
      <w:numPr>
        <w:ilvl w:val="7"/>
        <w:numId w:val="2"/>
      </w:numPr>
      <w:spacing w:before="240" w:after="64" w:line="320" w:lineRule="auto"/>
      <w:jc w:val="left"/>
      <w:outlineLvl w:val="7"/>
    </w:pPr>
    <w:rPr>
      <w:rFonts w:ascii="Arial" w:hAnsi="Arial" w:eastAsia="黑体"/>
      <w:spacing w:val="6"/>
      <w:sz w:val="24"/>
    </w:rPr>
  </w:style>
  <w:style w:type="paragraph" w:styleId="11">
    <w:name w:val="heading 9"/>
    <w:basedOn w:val="1"/>
    <w:next w:val="7"/>
    <w:autoRedefine/>
    <w:qFormat/>
    <w:uiPriority w:val="0"/>
    <w:pPr>
      <w:keepNext/>
      <w:keepLines/>
      <w:numPr>
        <w:ilvl w:val="8"/>
        <w:numId w:val="2"/>
      </w:numPr>
      <w:spacing w:before="240" w:after="64" w:line="320" w:lineRule="auto"/>
      <w:jc w:val="left"/>
      <w:outlineLvl w:val="8"/>
    </w:pPr>
    <w:rPr>
      <w:rFonts w:ascii="Arial" w:hAnsi="Arial" w:eastAsia="黑体"/>
      <w:spacing w:val="6"/>
      <w:sz w:val="24"/>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spacing w:line="460" w:lineRule="exact"/>
      <w:ind w:firstLine="420"/>
    </w:pPr>
    <w:rPr>
      <w:kern w:val="28"/>
      <w:sz w:val="28"/>
      <w:szCs w:val="20"/>
    </w:rPr>
  </w:style>
  <w:style w:type="paragraph" w:styleId="12">
    <w:name w:val="toc 7"/>
    <w:basedOn w:val="1"/>
    <w:next w:val="1"/>
    <w:autoRedefine/>
    <w:semiHidden/>
    <w:qFormat/>
    <w:uiPriority w:val="0"/>
    <w:pPr>
      <w:ind w:left="1260"/>
      <w:jc w:val="left"/>
    </w:pPr>
    <w:rPr>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autoRedefine/>
    <w:qFormat/>
    <w:uiPriority w:val="0"/>
    <w:pPr>
      <w:jc w:val="left"/>
    </w:pPr>
  </w:style>
  <w:style w:type="paragraph" w:styleId="15">
    <w:name w:val="Body Text"/>
    <w:basedOn w:val="1"/>
    <w:next w:val="16"/>
    <w:link w:val="45"/>
    <w:autoRedefine/>
    <w:qFormat/>
    <w:uiPriority w:val="0"/>
    <w:pPr>
      <w:spacing w:after="120"/>
    </w:pPr>
  </w:style>
  <w:style w:type="paragraph" w:styleId="16">
    <w:name w:val="toc 4"/>
    <w:basedOn w:val="1"/>
    <w:next w:val="1"/>
    <w:autoRedefine/>
    <w:semiHidden/>
    <w:qFormat/>
    <w:uiPriority w:val="0"/>
    <w:pPr>
      <w:ind w:left="630"/>
      <w:jc w:val="left"/>
    </w:pPr>
    <w:rPr>
      <w:sz w:val="18"/>
      <w:szCs w:val="18"/>
    </w:rPr>
  </w:style>
  <w:style w:type="paragraph" w:styleId="17">
    <w:name w:val="Body Text Indent"/>
    <w:basedOn w:val="1"/>
    <w:autoRedefine/>
    <w:qFormat/>
    <w:uiPriority w:val="0"/>
    <w:pPr>
      <w:ind w:left="480" w:hanging="480" w:hangingChars="200"/>
    </w:pPr>
    <w:rPr>
      <w:sz w:val="24"/>
    </w:rPr>
  </w:style>
  <w:style w:type="paragraph" w:styleId="18">
    <w:name w:val="toc 5"/>
    <w:basedOn w:val="1"/>
    <w:next w:val="1"/>
    <w:autoRedefine/>
    <w:semiHidden/>
    <w:qFormat/>
    <w:uiPriority w:val="0"/>
    <w:pPr>
      <w:ind w:left="840"/>
      <w:jc w:val="left"/>
    </w:pPr>
    <w:rPr>
      <w:sz w:val="18"/>
      <w:szCs w:val="18"/>
    </w:rPr>
  </w:style>
  <w:style w:type="paragraph" w:styleId="19">
    <w:name w:val="toc 3"/>
    <w:basedOn w:val="1"/>
    <w:next w:val="1"/>
    <w:autoRedefine/>
    <w:semiHidden/>
    <w:qFormat/>
    <w:uiPriority w:val="0"/>
    <w:pPr>
      <w:ind w:left="420"/>
      <w:jc w:val="left"/>
    </w:pPr>
    <w:rPr>
      <w:i/>
      <w:iCs/>
      <w:sz w:val="20"/>
      <w:szCs w:val="20"/>
    </w:rPr>
  </w:style>
  <w:style w:type="paragraph" w:styleId="20">
    <w:name w:val="Plain Text"/>
    <w:basedOn w:val="1"/>
    <w:link w:val="47"/>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1">
    <w:name w:val="toc 8"/>
    <w:basedOn w:val="1"/>
    <w:next w:val="1"/>
    <w:autoRedefine/>
    <w:semiHidden/>
    <w:qFormat/>
    <w:uiPriority w:val="0"/>
    <w:pPr>
      <w:ind w:left="1470"/>
      <w:jc w:val="left"/>
    </w:pPr>
    <w:rPr>
      <w:sz w:val="18"/>
      <w:szCs w:val="18"/>
    </w:rPr>
  </w:style>
  <w:style w:type="paragraph" w:styleId="22">
    <w:name w:val="Date"/>
    <w:basedOn w:val="1"/>
    <w:next w:val="1"/>
    <w:autoRedefine/>
    <w:qFormat/>
    <w:uiPriority w:val="0"/>
    <w:pPr>
      <w:ind w:left="100" w:leftChars="2500"/>
    </w:pPr>
  </w:style>
  <w:style w:type="paragraph" w:styleId="23">
    <w:name w:val="Body Text Indent 2"/>
    <w:basedOn w:val="1"/>
    <w:autoRedefine/>
    <w:qFormat/>
    <w:uiPriority w:val="0"/>
    <w:pPr>
      <w:spacing w:line="500" w:lineRule="exact"/>
      <w:ind w:firstLine="511" w:firstLineChars="213"/>
    </w:pPr>
    <w:rPr>
      <w:sz w:val="24"/>
    </w:rPr>
  </w:style>
  <w:style w:type="paragraph" w:styleId="24">
    <w:name w:val="Balloon Text"/>
    <w:basedOn w:val="1"/>
    <w:autoRedefine/>
    <w:qFormat/>
    <w:uiPriority w:val="0"/>
    <w:rPr>
      <w:sz w:val="18"/>
      <w:szCs w:val="18"/>
    </w:rPr>
  </w:style>
  <w:style w:type="paragraph" w:styleId="25">
    <w:name w:val="footer"/>
    <w:basedOn w:val="1"/>
    <w:link w:val="48"/>
    <w:autoRedefine/>
    <w:qFormat/>
    <w:uiPriority w:val="99"/>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b/>
      <w:bCs/>
      <w:caps/>
      <w:sz w:val="20"/>
      <w:szCs w:val="20"/>
    </w:rPr>
  </w:style>
  <w:style w:type="paragraph" w:styleId="28">
    <w:name w:val="toc 6"/>
    <w:basedOn w:val="1"/>
    <w:next w:val="1"/>
    <w:autoRedefine/>
    <w:qFormat/>
    <w:uiPriority w:val="0"/>
    <w:pPr>
      <w:ind w:left="1050"/>
      <w:jc w:val="left"/>
    </w:pPr>
    <w:rPr>
      <w:sz w:val="18"/>
      <w:szCs w:val="18"/>
    </w:rPr>
  </w:style>
  <w:style w:type="paragraph" w:styleId="29">
    <w:name w:val="Body Text Indent 3"/>
    <w:basedOn w:val="1"/>
    <w:autoRedefine/>
    <w:qFormat/>
    <w:uiPriority w:val="0"/>
    <w:pPr>
      <w:spacing w:line="500" w:lineRule="exact"/>
      <w:ind w:left="511" w:hanging="511" w:hangingChars="213"/>
    </w:pPr>
    <w:rPr>
      <w:sz w:val="24"/>
    </w:rPr>
  </w:style>
  <w:style w:type="paragraph" w:styleId="30">
    <w:name w:val="toc 2"/>
    <w:basedOn w:val="1"/>
    <w:next w:val="1"/>
    <w:autoRedefine/>
    <w:qFormat/>
    <w:uiPriority w:val="39"/>
    <w:pPr>
      <w:ind w:left="210"/>
      <w:jc w:val="left"/>
    </w:pPr>
    <w:rPr>
      <w:smallCaps/>
      <w:sz w:val="20"/>
      <w:szCs w:val="20"/>
    </w:rPr>
  </w:style>
  <w:style w:type="paragraph" w:styleId="31">
    <w:name w:val="toc 9"/>
    <w:basedOn w:val="1"/>
    <w:next w:val="1"/>
    <w:autoRedefine/>
    <w:semiHidden/>
    <w:qFormat/>
    <w:uiPriority w:val="0"/>
    <w:pPr>
      <w:ind w:left="1680"/>
      <w:jc w:val="left"/>
    </w:pPr>
    <w:rPr>
      <w:sz w:val="18"/>
      <w:szCs w:val="18"/>
    </w:rPr>
  </w:style>
  <w:style w:type="paragraph" w:styleId="32">
    <w:name w:val="Normal (Web)"/>
    <w:basedOn w:val="1"/>
    <w:autoRedefine/>
    <w:qFormat/>
    <w:uiPriority w:val="0"/>
    <w:pPr>
      <w:widowControl/>
      <w:spacing w:before="100" w:after="100"/>
      <w:jc w:val="left"/>
    </w:pPr>
    <w:rPr>
      <w:rFonts w:ascii="宋体" w:hAnsi="宋体"/>
      <w:kern w:val="0"/>
      <w:sz w:val="24"/>
      <w:szCs w:val="20"/>
    </w:rPr>
  </w:style>
  <w:style w:type="paragraph" w:styleId="33">
    <w:name w:val="Title"/>
    <w:basedOn w:val="1"/>
    <w:next w:val="1"/>
    <w:autoRedefine/>
    <w:qFormat/>
    <w:uiPriority w:val="0"/>
    <w:pPr>
      <w:numPr>
        <w:ilvl w:val="0"/>
        <w:numId w:val="3"/>
      </w:numPr>
      <w:spacing w:before="240" w:after="60"/>
      <w:jc w:val="center"/>
      <w:outlineLvl w:val="0"/>
    </w:pPr>
    <w:rPr>
      <w:rFonts w:ascii="Cambria" w:hAnsi="Cambria"/>
      <w:b/>
      <w:bCs/>
      <w:sz w:val="36"/>
      <w:szCs w:val="32"/>
    </w:rPr>
  </w:style>
  <w:style w:type="paragraph" w:styleId="34">
    <w:name w:val="annotation subject"/>
    <w:basedOn w:val="14"/>
    <w:next w:val="14"/>
    <w:autoRedefine/>
    <w:qFormat/>
    <w:uiPriority w:val="0"/>
    <w:rPr>
      <w:b/>
      <w:bCs/>
    </w:rPr>
  </w:style>
  <w:style w:type="paragraph" w:styleId="35">
    <w:name w:val="Body Text First Indent"/>
    <w:basedOn w:val="15"/>
    <w:next w:val="28"/>
    <w:link w:val="46"/>
    <w:autoRedefine/>
    <w:qFormat/>
    <w:uiPriority w:val="0"/>
    <w:pPr>
      <w:ind w:firstLine="420"/>
    </w:pPr>
  </w:style>
  <w:style w:type="paragraph" w:styleId="36">
    <w:name w:val="Body Text First Indent 2"/>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3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0">
    <w:name w:val="Strong"/>
    <w:autoRedefine/>
    <w:qFormat/>
    <w:uiPriority w:val="7"/>
    <w:rPr>
      <w:b/>
      <w:bCs/>
    </w:rPr>
  </w:style>
  <w:style w:type="character" w:styleId="41">
    <w:name w:val="page number"/>
    <w:autoRedefine/>
    <w:qFormat/>
    <w:uiPriority w:val="0"/>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customStyle="1" w:styleId="44">
    <w:name w:val="标题 2 字符"/>
    <w:link w:val="3"/>
    <w:autoRedefine/>
    <w:qFormat/>
    <w:uiPriority w:val="9"/>
    <w:rPr>
      <w:rFonts w:ascii="Arial" w:hAnsi="Arial" w:eastAsia="黑体"/>
      <w:b/>
      <w:bCs/>
      <w:kern w:val="2"/>
      <w:sz w:val="32"/>
      <w:szCs w:val="32"/>
    </w:rPr>
  </w:style>
  <w:style w:type="character" w:customStyle="1" w:styleId="45">
    <w:name w:val="正文文本 字符"/>
    <w:link w:val="15"/>
    <w:autoRedefine/>
    <w:qFormat/>
    <w:uiPriority w:val="0"/>
    <w:rPr>
      <w:rFonts w:eastAsia="宋体"/>
      <w:kern w:val="2"/>
      <w:sz w:val="21"/>
      <w:szCs w:val="24"/>
      <w:lang w:val="en-US" w:eastAsia="zh-CN" w:bidi="ar-SA"/>
    </w:rPr>
  </w:style>
  <w:style w:type="character" w:customStyle="1" w:styleId="46">
    <w:name w:val="正文文本首行缩进 字符"/>
    <w:link w:val="35"/>
    <w:autoRedefine/>
    <w:qFormat/>
    <w:uiPriority w:val="0"/>
    <w:rPr>
      <w:kern w:val="2"/>
      <w:sz w:val="21"/>
      <w:szCs w:val="24"/>
    </w:rPr>
  </w:style>
  <w:style w:type="character" w:customStyle="1" w:styleId="47">
    <w:name w:val="纯文本 字符"/>
    <w:link w:val="20"/>
    <w:autoRedefine/>
    <w:qFormat/>
    <w:uiPriority w:val="0"/>
    <w:rPr>
      <w:rFonts w:ascii="宋体" w:hAnsi="Courier New" w:eastAsia="宋体"/>
      <w:sz w:val="21"/>
      <w:szCs w:val="21"/>
      <w:lang w:val="en-US" w:eastAsia="zh-CN" w:bidi="ar-SA"/>
    </w:rPr>
  </w:style>
  <w:style w:type="character" w:customStyle="1" w:styleId="48">
    <w:name w:val="页脚 字符"/>
    <w:link w:val="25"/>
    <w:autoRedefine/>
    <w:qFormat/>
    <w:uiPriority w:val="99"/>
    <w:rPr>
      <w:kern w:val="2"/>
      <w:sz w:val="18"/>
      <w:szCs w:val="18"/>
    </w:rPr>
  </w:style>
  <w:style w:type="paragraph" w:customStyle="1" w:styleId="49">
    <w:name w:val="正文首行缩进1"/>
    <w:basedOn w:val="15"/>
    <w:autoRedefine/>
    <w:qFormat/>
    <w:uiPriority w:val="0"/>
    <w:pPr>
      <w:adjustRightInd w:val="0"/>
      <w:spacing w:after="0"/>
      <w:ind w:firstLine="482"/>
      <w:textAlignment w:val="baseline"/>
    </w:pPr>
    <w:rPr>
      <w:kern w:val="0"/>
      <w:sz w:val="24"/>
    </w:rPr>
  </w:style>
  <w:style w:type="character" w:customStyle="1" w:styleId="50">
    <w:name w:val="纯文本 Char"/>
    <w:autoRedefine/>
    <w:qFormat/>
    <w:uiPriority w:val="0"/>
    <w:rPr>
      <w:rFonts w:ascii="宋体" w:hAnsi="Courier New" w:eastAsia="宋体"/>
      <w:sz w:val="21"/>
      <w:szCs w:val="21"/>
      <w:lang w:val="en-US" w:eastAsia="zh-CN" w:bidi="ar-SA"/>
    </w:rPr>
  </w:style>
  <w:style w:type="character" w:customStyle="1" w:styleId="51">
    <w:name w:val="表格文字 Char Char"/>
    <w:link w:val="52"/>
    <w:autoRedefine/>
    <w:qFormat/>
    <w:uiPriority w:val="0"/>
    <w:rPr>
      <w:kern w:val="21"/>
      <w:sz w:val="21"/>
      <w:szCs w:val="21"/>
      <w:lang w:bidi="ar-SA"/>
    </w:rPr>
  </w:style>
  <w:style w:type="paragraph" w:customStyle="1" w:styleId="52">
    <w:name w:val="表格文字"/>
    <w:next w:val="15"/>
    <w:link w:val="51"/>
    <w:autoRedefine/>
    <w:qFormat/>
    <w:uiPriority w:val="0"/>
    <w:pPr>
      <w:widowControl w:val="0"/>
    </w:pPr>
    <w:rPr>
      <w:rFonts w:ascii="Times New Roman" w:hAnsi="Times New Roman" w:eastAsia="宋体" w:cs="Times New Roman"/>
      <w:kern w:val="21"/>
      <w:sz w:val="21"/>
      <w:szCs w:val="21"/>
      <w:lang w:val="en-US" w:eastAsia="zh-CN" w:bidi="ar-SA"/>
    </w:rPr>
  </w:style>
  <w:style w:type="paragraph" w:customStyle="1" w:styleId="53">
    <w:name w:val=" Char1"/>
    <w:basedOn w:val="1"/>
    <w:qFormat/>
    <w:uiPriority w:val="0"/>
    <w:rPr>
      <w:rFonts w:ascii="仿宋_GB2312" w:eastAsia="仿宋_GB2312"/>
      <w:b/>
      <w:sz w:val="32"/>
      <w:szCs w:val="32"/>
    </w:rPr>
  </w:style>
  <w:style w:type="paragraph" w:customStyle="1" w:styleId="54">
    <w:name w:val=" Char Char Char Char Char Char Char"/>
    <w:basedOn w:val="1"/>
    <w:autoRedefine/>
    <w:qFormat/>
    <w:uiPriority w:val="0"/>
    <w:rPr>
      <w:rFonts w:ascii="仿宋_GB2312" w:eastAsia="仿宋_GB2312"/>
      <w:b/>
      <w:sz w:val="32"/>
      <w:szCs w:val="32"/>
    </w:rPr>
  </w:style>
  <w:style w:type="paragraph" w:customStyle="1" w:styleId="55">
    <w:name w:val="Char1 Char Char Char Char Char Char"/>
    <w:basedOn w:val="1"/>
    <w:autoRedefine/>
    <w:qFormat/>
    <w:uiPriority w:val="0"/>
    <w:rPr>
      <w:rFonts w:ascii="宋体" w:hAnsi="宋体"/>
      <w:color w:val="000000"/>
      <w:sz w:val="24"/>
    </w:rPr>
  </w:style>
  <w:style w:type="paragraph" w:customStyle="1" w:styleId="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57">
    <w:name w:val="[Normal]"/>
    <w:autoRedefine/>
    <w:qFormat/>
    <w:uiPriority w:val="0"/>
    <w:rPr>
      <w:rFonts w:ascii="宋体" w:hAnsi="宋体" w:eastAsia="宋体" w:cs="Times New Roman"/>
      <w:sz w:val="24"/>
      <w:szCs w:val="22"/>
      <w:lang w:val="zh-CN" w:eastAsia="zh-CN" w:bidi="ar-SA"/>
    </w:rPr>
  </w:style>
  <w:style w:type="paragraph" w:customStyle="1" w:styleId="58">
    <w:name w:val="Char Char Char"/>
    <w:basedOn w:val="1"/>
    <w:qFormat/>
    <w:uiPriority w:val="0"/>
    <w:rPr>
      <w:rFonts w:ascii="Tahoma" w:hAnsi="Tahoma"/>
      <w:sz w:val="24"/>
      <w:szCs w:val="20"/>
    </w:rPr>
  </w:style>
  <w:style w:type="paragraph" w:customStyle="1" w:styleId="59">
    <w:name w:val="保留正文"/>
    <w:basedOn w:val="15"/>
    <w:qFormat/>
    <w:uiPriority w:val="0"/>
    <w:pPr>
      <w:keepNext/>
      <w:spacing w:after="160"/>
    </w:pPr>
  </w:style>
  <w:style w:type="paragraph" w:customStyle="1" w:styleId="60">
    <w:name w:val=" Char3"/>
    <w:basedOn w:val="13"/>
    <w:autoRedefine/>
    <w:qFormat/>
    <w:uiPriority w:val="0"/>
  </w:style>
  <w:style w:type="paragraph" w:customStyle="1" w:styleId="61">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62">
    <w:name w:val="内文正文"/>
    <w:basedOn w:val="20"/>
    <w:autoRedefine/>
    <w:qFormat/>
    <w:uiPriority w:val="0"/>
    <w:pPr>
      <w:widowControl w:val="0"/>
      <w:overflowPunct/>
      <w:autoSpaceDE/>
      <w:autoSpaceDN/>
      <w:snapToGrid w:val="0"/>
      <w:spacing w:line="400" w:lineRule="exact"/>
      <w:ind w:firstLine="200" w:firstLineChars="200"/>
      <w:jc w:val="both"/>
      <w:textAlignment w:val="auto"/>
    </w:pPr>
    <w:rPr>
      <w:rFonts w:ascii="Arial" w:hAnsi="Arial" w:cs="Courier New"/>
      <w:b/>
      <w:color w:val="000000"/>
    </w:rPr>
  </w:style>
  <w:style w:type="character" w:customStyle="1" w:styleId="63">
    <w:name w:val="正文文本 Char1"/>
    <w:autoRedefine/>
    <w:qFormat/>
    <w:uiPriority w:val="0"/>
    <w:rPr>
      <w:rFonts w:ascii="Tahoma" w:hAnsi="Tahoma"/>
      <w:kern w:val="2"/>
      <w:sz w:val="21"/>
      <w:szCs w:val="24"/>
    </w:rPr>
  </w:style>
  <w:style w:type="character" w:customStyle="1" w:styleId="64">
    <w:name w:val="NormalCharacter"/>
    <w:autoRedefine/>
    <w:qFormat/>
    <w:uiPriority w:val="0"/>
    <w:rPr>
      <w:rFonts w:ascii="Tahoma" w:hAnsi="Tahoma"/>
      <w:sz w:val="24"/>
      <w:szCs w:val="20"/>
    </w:rPr>
  </w:style>
  <w:style w:type="paragraph" w:customStyle="1" w:styleId="65">
    <w:name w:val="BodyText"/>
    <w:basedOn w:val="1"/>
    <w:next w:val="1"/>
    <w:autoRedefine/>
    <w:qFormat/>
    <w:uiPriority w:val="0"/>
    <w:pPr>
      <w:widowControl/>
      <w:spacing w:after="120" w:line="360" w:lineRule="auto"/>
      <w:ind w:firstLine="1846" w:firstLineChars="200"/>
      <w:textAlignment w:val="baseline"/>
    </w:pPr>
    <w:rPr>
      <w:rFonts w:ascii="Tahoma" w:hAnsi="Tahoma"/>
    </w:rPr>
  </w:style>
  <w:style w:type="paragraph" w:styleId="66">
    <w:name w:val="List Paragraph"/>
    <w:basedOn w:val="1"/>
    <w:autoRedefine/>
    <w:qFormat/>
    <w:uiPriority w:val="34"/>
    <w:pPr>
      <w:ind w:firstLine="420" w:firstLineChars="200"/>
    </w:pPr>
    <w:rPr>
      <w:rFonts w:ascii="Calibri" w:hAnsi="Calibri"/>
      <w:szCs w:val="22"/>
    </w:rPr>
  </w:style>
  <w:style w:type="character" w:customStyle="1" w:styleId="67">
    <w:name w:val="Unresolved Mention"/>
    <w:autoRedefine/>
    <w:unhideWhenUsed/>
    <w:qFormat/>
    <w:uiPriority w:val="99"/>
    <w:rPr>
      <w:color w:val="605E5C"/>
      <w:shd w:val="clear" w:color="auto" w:fill="E1DFDD"/>
    </w:rPr>
  </w:style>
  <w:style w:type="character" w:customStyle="1" w:styleId="68">
    <w:name w:val="纯文本 Char2"/>
    <w:autoRedefine/>
    <w:qFormat/>
    <w:uiPriority w:val="0"/>
    <w:rPr>
      <w:rFonts w:ascii="宋体" w:hAnsi="Courier New"/>
      <w:sz w:val="22"/>
      <w:szCs w:val="21"/>
    </w:rPr>
  </w:style>
  <w:style w:type="character" w:customStyle="1" w:styleId="69">
    <w:name w:val="标题 2 Char1"/>
    <w:autoRedefine/>
    <w:qFormat/>
    <w:uiPriority w:val="9"/>
    <w:rPr>
      <w:rFonts w:ascii="Arial" w:hAnsi="Arial" w:eastAsia="黑体"/>
      <w:b/>
      <w:bCs/>
      <w:kern w:val="2"/>
      <w:sz w:val="32"/>
      <w:szCs w:val="32"/>
    </w:rPr>
  </w:style>
  <w:style w:type="paragraph" w:customStyle="1" w:styleId="70">
    <w:name w:val="正文1"/>
    <w:basedOn w:val="1"/>
    <w:autoRedefine/>
    <w:qFormat/>
    <w:uiPriority w:val="0"/>
    <w:pPr>
      <w:widowControl/>
      <w:spacing w:line="360" w:lineRule="auto"/>
      <w:ind w:left="360" w:firstLine="420" w:firstLineChars="200"/>
      <w:jc w:val="left"/>
    </w:pPr>
    <w:rPr>
      <w:rFonts w:ascii="宋体" w:hAnsi="宋体" w:cs="宋体"/>
      <w:b/>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芳向电脑工作室</Company>
  <Pages>82</Pages>
  <Words>50746</Words>
  <Characters>54295</Characters>
  <Lines>444</Lines>
  <Paragraphs>125</Paragraphs>
  <TotalTime>22</TotalTime>
  <ScaleCrop>false</ScaleCrop>
  <LinksUpToDate>false</LinksUpToDate>
  <CharactersWithSpaces>60712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2016-11-14T02:08:00Z</dcterms:created>
  <dc:creator>张芳向 Netboy</dc:creator>
  <cp:lastModifiedBy>liuhuicong</cp:lastModifiedBy>
  <cp:lastPrinted>2024-07-08T09:59:00Z</cp:lastPrinted>
  <dcterms:modified xsi:type="dcterms:W3CDTF">2024-07-10T08:50:14Z</dcterms:modified>
  <dc:title>温州市政府采购中心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38E24B0D1E6F41508F5CFAD06172BA32_13</vt:lpwstr>
  </property>
  <property fmtid="{D5CDD505-2E9C-101B-9397-08002B2CF9AE}" pid="4" name="commondata">
    <vt:lpwstr>eyJoZGlkIjoiMjZiNWY0N2EzZmMxMTE3ZmQ1YzgyN2YzZDMyYmI2ZjIifQ==</vt:lpwstr>
  </property>
</Properties>
</file>